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Ɔkɔbɔ Ahorow a ɛne Ho Hyia - Nnɔmba Anan</w:t>
      </w:r>
    </w:p>
    <w:p>
      <w:pPr>
        <w:pStyle w:val="ArticleSubtitle"/>
        <w:jc w:val="left"/>
      </w:pPr>
      <w:r>
        <w:rPr>
          <w:rFonts w:ascii="Nirmala UI" w:hAnsi="Nirmala UI" w:eastAsia="Nirmala UI" w:cs="Nirmala UI"/>
        </w:rPr>
        <w:t>ඇදහිල්ලේ</w:t>
      </w:r>
      <w:r>
        <w:rPr>
          <w:rFonts w:ascii="Arial" w:hAnsi="Arial" w:eastAsia="Arial" w:cs="Arial"/>
        </w:rPr>
        <w:t xml:space="preserve"> </w:t>
      </w:r>
      <w:r>
        <w:rPr>
          <w:rFonts w:ascii="Nirmala UI" w:hAnsi="Nirmala UI" w:eastAsia="Nirmala UI" w:cs="Nirmala UI"/>
        </w:rPr>
        <w:t>අත්තිවාරම්</w:t>
      </w:r>
      <w:r>
        <w:rPr>
          <w:rFonts w:ascii="Arial" w:hAnsi="Arial" w:eastAsia="Arial" w:cs="Arial"/>
        </w:rPr>
        <w:t xml:space="preserve"> </w:t>
      </w:r>
      <w:r>
        <w:rPr>
          <w:rFonts w:ascii="Nirmala UI" w:hAnsi="Nirmala UI" w:eastAsia="Nirmala UI" w:cs="Nirmala UI"/>
        </w:rPr>
        <w:t>සහ</w:t>
      </w:r>
      <w:r>
        <w:rPr>
          <w:rFonts w:ascii="Arial" w:hAnsi="Arial" w:eastAsia="Arial" w:cs="Arial"/>
        </w:rPr>
        <w:t xml:space="preserve"> </w:t>
      </w:r>
      <w:r>
        <w:rPr>
          <w:rFonts w:ascii="Nirmala UI" w:hAnsi="Nirmala UI" w:eastAsia="Nirmala UI" w:cs="Nirmala UI"/>
        </w:rPr>
        <w:t>අමතක</w:t>
      </w:r>
      <w:r>
        <w:rPr>
          <w:rFonts w:ascii="Arial" w:hAnsi="Arial" w:eastAsia="Arial" w:cs="Arial"/>
        </w:rPr>
        <w:t xml:space="preserve"> </w:t>
      </w:r>
      <w:r>
        <w:rPr>
          <w:rFonts w:ascii="Nirmala UI" w:hAnsi="Nirmala UI" w:eastAsia="Nirmala UI" w:cs="Nirmala UI"/>
        </w:rPr>
        <w:t>කිරීමේ</w:t>
      </w:r>
      <w:r>
        <w:rPr>
          <w:rFonts w:ascii="Arial" w:hAnsi="Arial" w:eastAsia="Arial" w:cs="Arial"/>
        </w:rPr>
        <w:t xml:space="preserve"> </w:t>
      </w:r>
      <w:r>
        <w:rPr>
          <w:rFonts w:ascii="Nirmala UI" w:hAnsi="Nirmala UI" w:eastAsia="Nirmala UI" w:cs="Nirmala UI"/>
        </w:rPr>
        <w:t>භයානකත්වය</w:t>
      </w:r>
      <w:r>
        <w:rPr>
          <w:rFonts w:ascii="Arial" w:hAnsi="Arial" w:eastAsia="Arial" w:cs="Arial"/>
        </w:rPr>
        <w:t xml:space="preserve">: </w:t>
      </w:r>
      <w:r>
        <w:rPr>
          <w:rFonts w:ascii="Nirmala UI" w:hAnsi="Nirmala UI" w:eastAsia="Nirmala UI" w:cs="Nirmala UI"/>
        </w:rPr>
        <w:t>අනාවැකි</w:t>
      </w:r>
      <w:r>
        <w:rPr>
          <w:rFonts w:ascii="Arial" w:hAnsi="Arial" w:eastAsia="Arial" w:cs="Arial"/>
        </w:rPr>
        <w:t xml:space="preserve"> </w:t>
      </w:r>
      <w:r>
        <w:rPr>
          <w:rFonts w:ascii="Nirmala UI" w:hAnsi="Nirmala UI" w:eastAsia="Nirmala UI" w:cs="Nirmala UI"/>
        </w:rPr>
        <w:t>හා</w:t>
      </w:r>
      <w:r>
        <w:rPr>
          <w:rFonts w:ascii="Arial" w:hAnsi="Arial" w:eastAsia="Arial" w:cs="Arial"/>
        </w:rPr>
        <w:t xml:space="preserve"> </w:t>
      </w:r>
      <w:r>
        <w:rPr>
          <w:rFonts w:ascii="Nirmala UI" w:hAnsi="Nirmala UI" w:eastAsia="Nirmala UI" w:cs="Nirmala UI"/>
        </w:rPr>
        <w:t>ඉතිහාසයෙන්</w:t>
      </w:r>
      <w:r>
        <w:rPr>
          <w:rFonts w:ascii="Arial" w:hAnsi="Arial" w:eastAsia="Arial" w:cs="Arial"/>
        </w:rPr>
        <w:t xml:space="preserve"> </w:t>
      </w:r>
      <w:r>
        <w:rPr>
          <w:rFonts w:ascii="Nirmala UI" w:hAnsi="Nirmala UI" w:eastAsia="Nirmala UI" w:cs="Nirmala UI"/>
        </w:rPr>
        <w:t>ලබන</w:t>
      </w:r>
      <w:r>
        <w:rPr>
          <w:rFonts w:ascii="Arial" w:hAnsi="Arial" w:eastAsia="Arial" w:cs="Arial"/>
        </w:rPr>
        <w:t xml:space="preserve"> </w:t>
      </w:r>
      <w:r>
        <w:rPr>
          <w:rFonts w:ascii="Nirmala UI" w:hAnsi="Nirmala UI" w:eastAsia="Nirmala UI" w:cs="Nirmala UI"/>
        </w:rPr>
        <w:t>පාඩම්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Kinsaël yalimpaq yachayta? kinsaëltataq allin yachachinqa doctrina-ta? ñuñumanta qichusqa, ñuñunmanta rakisqa runakunata.</w:t>
      </w:r>
    </w:p>
    <w:p>
      <w:pPr>
        <w:pStyle w:val="ArticleScripture"/>
        <w:jc w:val="left"/>
      </w:pPr>
      <w:r>
        <w:rPr>
          <w:rFonts w:ascii="Times New Roman" w:hAnsi="Times New Roman" w:eastAsia="Times New Roman" w:cs="Times New Roman"/>
        </w:rPr>
        <w:t>Ñe’ẽmondo ári va’erã ñe’ẽmondo, ñe’ẽmondo ári ñe’ẽmondo; línea ári línea, línea ári línea; ko’ápe michĩmi, ha pépe michĩmi:</w:t>
      </w:r>
    </w:p>
    <w:p>
      <w:pPr>
        <w:pStyle w:val="ArticleScripture"/>
        <w:jc w:val="left"/>
      </w:pPr>
      <w:r>
        <w:rPr>
          <w:rFonts w:ascii="Times New Roman" w:hAnsi="Times New Roman" w:eastAsia="Times New Roman" w:cs="Times New Roman"/>
        </w:rPr>
        <w:t>Ngoba ngezindebe ezizingingizayo nangolunye ulimi uyakukhuluma kulesi sizwe. Kubo wathi: Lokhu kungukuphumula eningaphumuza ngakho okhatheleyo; nalokhu kungukuvuselelwa; kodwa kabafunanga ukuzwa.</w:t>
      </w:r>
    </w:p>
    <w:p>
      <w:pPr>
        <w:pStyle w:val="ArticleScripture"/>
        <w:jc w:val="left"/>
      </w:pPr>
      <w:r>
        <w:rPr>
          <w:rFonts w:ascii="Times New Roman" w:hAnsi="Times New Roman" w:eastAsia="Times New Roman" w:cs="Times New Roman"/>
        </w:rPr>
        <w:t>دە ربّ کلام ئاوَان‌وَر پێشکەوتن‌ل سەر پێشکەوتن، پێشکەوتن‌ل سەر پێشکەوتن؛ هێل ل سەر هێل، هێل ل سەر هێل؛ لێرە هندەکێک، و لەوێرە هندەکێک؛ دا کو بِڕۆن، و ب کەونە دواوە، و بشکێن، و بکەونە داو، و بگیرێن. إشعیا 28:9–13.</w:t>
      </w:r>
    </w:p>
    <w:p>
      <w:pPr>
        <w:pStyle w:val="ArticleBody"/>
        <w:jc w:val="left"/>
      </w:pPr>
      <w:r>
        <w:rPr>
          <w:rFonts w:ascii="Times New Roman" w:hAnsi="Times New Roman" w:eastAsia="Times New Roman" w:cs="Times New Roman"/>
        </w:rPr>
        <w:t>Isaiah nni nsɛm yi, wɔaka ho asɛm mpɛn pii wɔ Habakkuk Mponpon no mu. Ha de, ɛho hia sɛ meka bi kɛkɛ fi nkyekyem a atwam yi mu, na mede ka asɛm a yɛreka mprempren yi ho. Saa afa yi kyerɛ ɔman bi a wotwaa wɔn sɔhwɛ mu gui, efisɛ “wɔkɔ, na wɔhwe ase kɔ akyi, na wobubu wɔn, na wɔsum wɔn afiri mu, na wɔkyere wɔn.” Wɔyɛɛ ɔman bi a wotwaa wɔn sɔhwɛ mu gui fa wɔn a Onyankopɔn bɛpɛ sɛ ɔ“kyerɛ” wɔn ma wɔ“te ase” “nimdeɛ” anaa “nkyerɛkyerɛ” ho. Ɛyɛɛ sɔhwɛ bi a egyina nimdeɛ nkɔso bi ho ntease so, enti na ɛyɛ sɔhwɛ koro no ara a ɛtetew anyansafo ne amumɔyɛfo mu wɔ Daniel ti dumien no mu, efisɛ adiyifo no nyinaa yɛ adwene koro na wɔkyerɛ wiase awiei no. Wɔ Daniel dumien mu no, “anyansafo” no te ase, nanso “amumɔyɛfo” no nte nimdeɛ nkɔso no ase.</w:t>
      </w:r>
    </w:p>
    <w:p>
      <w:pPr>
        <w:pStyle w:val="ArticleBody"/>
        <w:jc w:val="left"/>
      </w:pPr>
      <w:r>
        <w:rPr>
          <w:rFonts w:ascii="Times New Roman" w:hAnsi="Times New Roman" w:eastAsia="Times New Roman" w:cs="Times New Roman"/>
        </w:rPr>
        <w:t>Isaiah-ի հատվածում ժողովուրդը փորձության ենթարկվեց «Տիրոջ խոսքով», «որին չէին կամենում լսել»։ Իսկ այն առանձնահատուկ «Տիրոջ խոսքը», որ նրանք մերժեցին, և որը նրանց հնարավորություն կտար «հասկանալու» «գիտության» աճը, աստվածաշնչյան այն կանոնն էր, որը սահմանում է, թե ինչպես պետք է ճշգրտորեն համապատասխանեցնել մարգարեական պատմությունները։ Նրանք, ովքեր ընկնում են Isaiah-ի հատվածում, մերժեցին այն կանոնը, որը ցույց է տալիս, որ մարգարեական պատմություն հասկանալու համար պետք է որոնել այդ գիծը «այստեղ՝ մի քիչ, այնտեղ՝ մի քիչ»։ Այն Տիրոջ խոսքը, որ ստեղծեց այն փորձությունը, որը նրանք մերժեցին, այստեղից ու այնտեղից մարգարեական գծեր ընտրելու մեթոդն էր, ապա ընտրված մարգարեական պատմության այդ գծերից մեկը զուգահեռ դնել մյուս մարգարեական պատմության գծերին, որոնք անդրադառնում են նույն թեմային։ Այս կերպ գիծ առ գիծ շարադրելու գործի հաջողությունը կախված է մարգարեական մեկնաբանության ճշմարիտ կանոնների կիրառությունից։ Այդ կանոնները, որոնք նաև «պատվիրաններ» են, նույնպես պետք է ի մի բերվեն, և դրանք գտնվում են Աստվածաշնչի մեջ՝ այստեղ ու այնտեղ։ Isaiah-ի այն կույսերը, որոնք չեն անցնում փորձությունը, ձախողվում են, որովհետև մոռանում են այն գլխավոր բանը, որ չպետք է մոռանային, և այն է՝ որ պատմությունը կրկնվում է։</w:t>
      </w:r>
    </w:p>
    <w:p>
      <w:pPr>
        <w:pStyle w:val="ArticleScripture"/>
        <w:jc w:val="left"/>
      </w:pPr>
      <w:r>
        <w:rPr>
          <w:rFonts w:ascii="Times New Roman" w:hAnsi="Times New Roman" w:eastAsia="Times New Roman" w:cs="Times New Roman"/>
        </w:rPr>
        <w:t>“Nunataqassaanngilagut siunissamut ernumassutissamik, kisimiilluta puigussanngikkutsigu qanoq Naalakkap aqqutissatsinnik siulersuinera, aammalu ilinniartitaanera oqaluttuarisaanitsinni siornatigut.” Life Sketches, 196.</w:t>
      </w:r>
    </w:p>
    <w:p>
      <w:pPr>
        <w:pStyle w:val="ArticleBody"/>
        <w:jc w:val="left"/>
      </w:pPr>
      <w:r>
        <w:rPr>
          <w:rFonts w:ascii="Times New Roman" w:hAnsi="Times New Roman" w:eastAsia="Times New Roman" w:cs="Times New Roman"/>
        </w:rPr>
        <w:t>Icmal Yalla qelmi jahuyta, uk fakttaanih meqe marak qafar baxxaqa kinni injiili gubat yan kulle nabii usuk isih baxxaqisa qaddo qaddo qafar qaddo wahda kinni. Usun kulli qaddo-tan gudgudak tan dhacdoota wahda siini ma arkan, kinnih immay usuk deqsita addunyaa xaylo-leh wagitta tan dhacdootat qaddo wahda kinni. Ta qaddo usuk imtihhaanih albaaba cufma fanah gexa dhacdoota kinni; tohuk lakal malcina nammaati ayro xibikta xunubih qasaadit yan, kaadu Masiihih namma haytoh yemeeteh gacsaatiyya fanah gaba kalta. Nabii tokkoh seecoyta toh qaddot Yallih aamintô marah taariikhah taaba yakkem duudik takkeeh, aka nabii tokkoh markha toh Yallih amaanat maleh marah, hinnay Amerika-Qafaar, Vatikaan, Ummatta Addunyaa Tokkoobah, baaxô gaddaak suuqiyyeh marah hinnay Islaamah yakkem duudik takkem duudik takke, kinnih immay usuk dugda qaddo wahda kinni.</w:t>
      </w:r>
    </w:p>
    <w:p>
      <w:pPr>
        <w:pStyle w:val="ArticleBody"/>
        <w:jc w:val="left"/>
      </w:pPr>
      <w:r>
        <w:rPr>
          <w:rFonts w:ascii="Times New Roman" w:hAnsi="Times New Roman" w:eastAsia="Times New Roman" w:cs="Times New Roman"/>
        </w:rPr>
        <w:t>ئەلیاش پیامیِ مەلاخی، هەروەها ئەو پەیامانەی کە لە ئاشکراکردنەوە بەشەکانی یەک، چواردە و هەژدەدا نوێنەرایەتی دەکرێن، و پەیامی دانیال یازدە و دوازدە، هەمان پەیامن. هەموویان هەمان هێڵی مێژوون، بەڵام هەر یەکێکیان هاوبەشیدانی تایبەتی خۆی هەیە بۆ چیرۆکەکە.</w:t>
      </w:r>
    </w:p>
    <w:p>
      <w:pPr>
        <w:pStyle w:val="ArticleBody"/>
        <w:jc w:val="left"/>
      </w:pPr>
      <w:r>
        <w:rPr>
          <w:rFonts w:ascii="Myanmar Text" w:hAnsi="Myanmar Text" w:eastAsia="Myanmar Text" w:cs="Myanmar Text"/>
        </w:rPr>
        <w:t>ဤအထူးသတင်းစကားနှင့်ပတ်သက်၍</w:t>
      </w:r>
      <w:r>
        <w:rPr>
          <w:rFonts w:ascii="Times New Roman" w:hAnsi="Times New Roman" w:eastAsia="Times New Roman" w:cs="Times New Roman"/>
        </w:rPr>
        <w:t xml:space="preserve"> </w:t>
      </w:r>
      <w:r>
        <w:rPr>
          <w:rFonts w:ascii="Myanmar Text" w:hAnsi="Myanmar Text" w:eastAsia="Myanmar Text" w:cs="Myanmar Text"/>
        </w:rPr>
        <w:t>အများအားဖြင့်</w:t>
      </w:r>
      <w:r>
        <w:rPr>
          <w:rFonts w:ascii="Times New Roman" w:hAnsi="Times New Roman" w:eastAsia="Times New Roman" w:cs="Times New Roman"/>
        </w:rPr>
        <w:t xml:space="preserve"> </w:t>
      </w:r>
      <w:r>
        <w:rPr>
          <w:rFonts w:ascii="Myanmar Text" w:hAnsi="Myanmar Text" w:eastAsia="Myanmar Text" w:cs="Myanmar Text"/>
        </w:rPr>
        <w:t>လုံးဝနီးပါး</w:t>
      </w:r>
      <w:r>
        <w:rPr>
          <w:rFonts w:ascii="Times New Roman" w:hAnsi="Times New Roman" w:eastAsia="Times New Roman" w:cs="Times New Roman"/>
        </w:rPr>
        <w:t xml:space="preserve"> </w:t>
      </w:r>
      <w:r>
        <w:rPr>
          <w:rFonts w:ascii="Myanmar Text" w:hAnsi="Myanmar Text" w:eastAsia="Myanmar Text" w:cs="Myanmar Text"/>
        </w:rPr>
        <w:t>နားလည်မှုမှားယွင်းနေသော</w:t>
      </w:r>
      <w:r>
        <w:rPr>
          <w:rFonts w:ascii="Times New Roman" w:hAnsi="Times New Roman" w:eastAsia="Times New Roman" w:cs="Times New Roman"/>
        </w:rPr>
        <w:t xml:space="preserve"> </w:t>
      </w:r>
      <w:r>
        <w:rPr>
          <w:rFonts w:ascii="Myanmar Text" w:hAnsi="Myanmar Text" w:eastAsia="Myanmar Text" w:cs="Myanmar Text"/>
        </w:rPr>
        <w:t>အချက်မှာ၊</w:t>
      </w:r>
      <w:r>
        <w:rPr>
          <w:rFonts w:ascii="Times New Roman" w:hAnsi="Times New Roman" w:eastAsia="Times New Roman" w:cs="Times New Roman"/>
        </w:rPr>
        <w:t xml:space="preserve"> </w:t>
      </w:r>
      <w:r>
        <w:rPr>
          <w:rFonts w:ascii="Myanmar Text" w:hAnsi="Myanmar Text" w:eastAsia="Myanmar Text" w:cs="Myanmar Text"/>
        </w:rPr>
        <w:t>လူသားတို့၏</w:t>
      </w:r>
      <w:r>
        <w:rPr>
          <w:rFonts w:ascii="Times New Roman" w:hAnsi="Times New Roman" w:eastAsia="Times New Roman" w:cs="Times New Roman"/>
        </w:rPr>
        <w:t xml:space="preserve"> </w:t>
      </w:r>
      <w:r>
        <w:rPr>
          <w:rFonts w:ascii="Myanmar Text" w:hAnsi="Myanmar Text" w:eastAsia="Myanmar Text" w:cs="Myanmar Text"/>
        </w:rPr>
        <w:t>ကရုဏာကာလ</w:t>
      </w:r>
      <w:r>
        <w:rPr>
          <w:rFonts w:ascii="Times New Roman" w:hAnsi="Times New Roman" w:eastAsia="Times New Roman" w:cs="Times New Roman"/>
        </w:rPr>
        <w:t xml:space="preserve"> </w:t>
      </w:r>
      <w:r>
        <w:rPr>
          <w:rFonts w:ascii="Myanmar Text" w:hAnsi="Myanmar Text" w:eastAsia="Myanmar Text" w:cs="Myanmar Text"/>
        </w:rPr>
        <w:t>ပိတ်သိမ်းလုနီးခါနီးတွင်သာ</w:t>
      </w:r>
      <w:r>
        <w:rPr>
          <w:rFonts w:ascii="Times New Roman" w:hAnsi="Times New Roman" w:eastAsia="Times New Roman" w:cs="Times New Roman"/>
        </w:rPr>
        <w:t xml:space="preserve"> </w:t>
      </w:r>
      <w:r>
        <w:rPr>
          <w:rFonts w:ascii="Myanmar Text" w:hAnsi="Myanmar Text" w:eastAsia="Myanmar Text" w:cs="Myanmar Text"/>
        </w:rPr>
        <w:t>ယင်းသတင်းစကားကို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လူမျိုးတော်အား</w:t>
      </w:r>
      <w:r>
        <w:rPr>
          <w:rFonts w:ascii="Times New Roman" w:hAnsi="Times New Roman" w:eastAsia="Times New Roman" w:cs="Times New Roman"/>
        </w:rPr>
        <w:t xml:space="preserve"> </w:t>
      </w:r>
      <w:r>
        <w:rPr>
          <w:rFonts w:ascii="Myanmar Text" w:hAnsi="Myanmar Text" w:eastAsia="Myanmar Text" w:cs="Myanmar Text"/>
        </w:rPr>
        <w:t>ထင်ရှားဖော်ပြတော်မူသည်ဟူသော</w:t>
      </w:r>
      <w:r>
        <w:rPr>
          <w:rFonts w:ascii="Times New Roman" w:hAnsi="Times New Roman" w:eastAsia="Times New Roman" w:cs="Times New Roman"/>
        </w:rPr>
        <w:t xml:space="preserve"> </w:t>
      </w:r>
      <w:r>
        <w:rPr>
          <w:rFonts w:ascii="Myanmar Text" w:hAnsi="Myanmar Text" w:eastAsia="Myanmar Text" w:cs="Myanmar Text"/>
        </w:rPr>
        <w:t>အချက်ဖြစ်သည်။</w:t>
      </w:r>
      <w:r>
        <w:rPr>
          <w:rFonts w:ascii="Times New Roman" w:hAnsi="Times New Roman" w:eastAsia="Times New Roman" w:cs="Times New Roman"/>
        </w:rPr>
        <w:t xml:space="preserve"> </w:t>
      </w:r>
      <w:r>
        <w:rPr>
          <w:rFonts w:ascii="Myanmar Text" w:hAnsi="Myanmar Text" w:eastAsia="Myanmar Text" w:cs="Myanmar Text"/>
        </w:rPr>
        <w:t>အထူးသတင်းစကားသည်</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ကရုဏာကာလ</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ပိတ်သိမ်းမည့်အကြောင်း</w:t>
      </w:r>
      <w:r>
        <w:rPr>
          <w:rFonts w:ascii="Times New Roman" w:hAnsi="Times New Roman" w:eastAsia="Times New Roman" w:cs="Times New Roman"/>
        </w:rPr>
        <w:t xml:space="preserve"> </w:t>
      </w:r>
      <w:r>
        <w:rPr>
          <w:rFonts w:ascii="Myanmar Text" w:hAnsi="Myanmar Text" w:eastAsia="Myanmar Text" w:cs="Myanmar Text"/>
        </w:rPr>
        <w:t>သတိပေးလေ့ရှိကြောင်းကို</w:t>
      </w:r>
      <w:r>
        <w:rPr>
          <w:rFonts w:ascii="Times New Roman" w:hAnsi="Times New Roman" w:eastAsia="Times New Roman" w:cs="Times New Roman"/>
        </w:rPr>
        <w:t xml:space="preserve"> </w:t>
      </w:r>
      <w:r>
        <w:rPr>
          <w:rFonts w:ascii="Myanmar Text" w:hAnsi="Myanmar Text" w:eastAsia="Myanmar Text" w:cs="Myanmar Text"/>
        </w:rPr>
        <w:t>သိရှိသဖြင့်၊</w:t>
      </w:r>
      <w:r>
        <w:rPr>
          <w:rFonts w:ascii="Times New Roman" w:hAnsi="Times New Roman" w:eastAsia="Times New Roman" w:cs="Times New Roman"/>
        </w:rPr>
        <w:t xml:space="preserve"> </w:t>
      </w:r>
      <w:r>
        <w:rPr>
          <w:rFonts w:ascii="Myanmar Text" w:hAnsi="Myanmar Text" w:eastAsia="Myanmar Text" w:cs="Myanmar Text"/>
        </w:rPr>
        <w:t>သမ္မာကျမ်းစာထဲတွင်</w:t>
      </w:r>
      <w:r>
        <w:rPr>
          <w:rFonts w:ascii="Times New Roman" w:hAnsi="Times New Roman" w:eastAsia="Times New Roman" w:cs="Times New Roman"/>
        </w:rPr>
        <w:t xml:space="preserve"> </w:t>
      </w:r>
      <w:r>
        <w:rPr>
          <w:rFonts w:ascii="Myanmar Text" w:hAnsi="Myanmar Text" w:eastAsia="Myanmar Text" w:cs="Myanmar Text"/>
        </w:rPr>
        <w:t>ကရုဏာကာလ</w:t>
      </w:r>
      <w:r>
        <w:rPr>
          <w:rFonts w:ascii="Times New Roman" w:hAnsi="Times New Roman" w:eastAsia="Times New Roman" w:cs="Times New Roman"/>
        </w:rPr>
        <w:t xml:space="preserve"> </w:t>
      </w:r>
      <w:r>
        <w:rPr>
          <w:rFonts w:ascii="Myanmar Text" w:hAnsi="Myanmar Text" w:eastAsia="Myanmar Text" w:cs="Myanmar Text"/>
        </w:rPr>
        <w:t>ပိတ်သိမ်းခြင်းနှင့်ပတ်သက်သော</w:t>
      </w:r>
      <w:r>
        <w:rPr>
          <w:rFonts w:ascii="Times New Roman" w:hAnsi="Times New Roman" w:eastAsia="Times New Roman" w:cs="Times New Roman"/>
        </w:rPr>
        <w:t xml:space="preserve"> </w:t>
      </w:r>
      <w:r>
        <w:rPr>
          <w:rFonts w:ascii="Myanmar Text" w:hAnsi="Myanmar Text" w:eastAsia="Myanmar Text" w:cs="Myanmar Text"/>
        </w:rPr>
        <w:t>အရှင်းလင်းဆုံး</w:t>
      </w:r>
      <w:r>
        <w:rPr>
          <w:rFonts w:ascii="Times New Roman" w:hAnsi="Times New Roman" w:eastAsia="Times New Roman" w:cs="Times New Roman"/>
        </w:rPr>
        <w:t xml:space="preserve"> </w:t>
      </w:r>
      <w:r>
        <w:rPr>
          <w:rFonts w:ascii="Myanmar Text" w:hAnsi="Myanmar Text" w:eastAsia="Myanmar Text" w:cs="Myanmar Text"/>
        </w:rPr>
        <w:t>သရုပ်ဖော်ချက်ဟု</w:t>
      </w:r>
      <w:r>
        <w:rPr>
          <w:rFonts w:ascii="Times New Roman" w:hAnsi="Times New Roman" w:eastAsia="Times New Roman" w:cs="Times New Roman"/>
        </w:rPr>
        <w:t xml:space="preserve"> </w:t>
      </w:r>
      <w:r>
        <w:rPr>
          <w:rFonts w:ascii="Myanmar Text" w:hAnsi="Myanmar Text" w:eastAsia="Myanmar Text" w:cs="Myanmar Text"/>
        </w:rPr>
        <w:t>ဆိုနိုင်မည့်</w:t>
      </w:r>
      <w:r>
        <w:rPr>
          <w:rFonts w:ascii="Times New Roman" w:hAnsi="Times New Roman" w:eastAsia="Times New Roman" w:cs="Times New Roman"/>
        </w:rPr>
        <w:t xml:space="preserve"> </w:t>
      </w:r>
      <w:r>
        <w:rPr>
          <w:rFonts w:ascii="Myanmar Text" w:hAnsi="Myanmar Text" w:eastAsia="Myanmar Text" w:cs="Myanmar Text"/>
        </w:rPr>
        <w:t>ဥပမာတစ်ရပ်ကို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ဆင်ခြင်လေ့လာကြမည်။</w:t>
      </w:r>
    </w:p>
    <w:p>
      <w:pPr>
        <w:pStyle w:val="ArticleScripture"/>
        <w:jc w:val="left"/>
      </w:pPr>
      <w:r>
        <w:rPr>
          <w:rFonts w:ascii="Times New Roman" w:hAnsi="Times New Roman" w:eastAsia="Times New Roman" w:cs="Times New Roman"/>
        </w:rPr>
        <w:t>U ka bymhok noh, to ngin dang bymhok noh; u ba jaboh, to ngin dang jaboh noh; bad u ba hok, to ngin dang hok noh; bad u ba khuid, to ngin dang khuid noh. Jingpynpaw 22:11.</w:t>
      </w:r>
    </w:p>
    <w:p>
      <w:pPr>
        <w:pStyle w:val="ArticleBody"/>
        <w:jc w:val="left"/>
      </w:pPr>
      <w:r>
        <w:rPr>
          <w:rFonts w:ascii="Times New Roman" w:hAnsi="Times New Roman" w:eastAsia="Times New Roman" w:cs="Times New Roman"/>
        </w:rPr>
        <w:t>Tuakápe okañy hag̃ua pe ára de prueba, pe santuario yvateguápe oñemombeʼu mboyve versíkulo once ñeʼẽme, oĩvaʼerã peteĩ marandu profétiko ñemongetaha Revelación arandukágui, ojeipeʼáva Tupã rembiguáipe g̃uarã.</w:t>
      </w:r>
    </w:p>
    <w:p>
      <w:pPr>
        <w:pStyle w:val="ArticleScripture"/>
        <w:jc w:val="left"/>
      </w:pPr>
      <w:r>
        <w:rPr>
          <w:rFonts w:ascii="Times New Roman" w:hAnsi="Times New Roman" w:eastAsia="Times New Roman" w:cs="Times New Roman"/>
        </w:rPr>
        <w:t>Уа маған былай дейді: «Осы кітаптағы пайғамбарлық сөздерді мөрлеме, өйткені уақыт жақын. Әділетсіз адам әлі де әділетсіз бола берсін; арам адам әлі де арам бола берсін; әділ адам әлі де әділ бола берсін; киелі адам әлі де киелі бола берсін». Аян 22:10, 11.</w:t>
      </w:r>
    </w:p>
    <w:p>
      <w:pPr>
        <w:pStyle w:val="ArticleBody"/>
        <w:jc w:val="left"/>
      </w:pPr>
      <w:r>
        <w:rPr>
          <w:rFonts w:ascii="Times New Roman" w:hAnsi="Times New Roman" w:eastAsia="Times New Roman" w:cs="Times New Roman"/>
        </w:rPr>
        <w:t>Ka la sa epòk i ad a mensahe profétiko espesial nga pagailahon sa katawhan ti Dios sakbay dagiti pito a maudi a didigra. Inton dayta “panawen ket asidegen” “ti padto daytoy a libro” (ti padto ti Apocalipsis) a naiselyoan ket mairuar a di maikubli. Ti maymaysa laeng a padto iti libro ti Apocalipsis a naiselyoan ket ti padto dagiti pito a dunor.</w:t>
      </w:r>
    </w:p>
    <w:p>
      <w:pPr>
        <w:pStyle w:val="ArticleScripture"/>
        <w:jc w:val="left"/>
      </w:pPr>
      <w:r>
        <w:rPr>
          <w:rFonts w:ascii="Times New Roman" w:hAnsi="Times New Roman" w:eastAsia="Times New Roman" w:cs="Times New Roman"/>
        </w:rPr>
        <w:t>Y vi a otro ángel poderoso que descendía del cielo, vestido de una nube; y sobre su cabeza había un arco iris, y su rostro era como el sol, y sus pies como columnas de fuego; y tenía en su mano un librito abierto; y puso su pie derecho sobre el mar, y el izquierdo sobre la tierra, y clamó a gran voz, como cuando ruge un león; y cuando hubo clamado, siete truenos emitieron sus voces. Y cuando los siete truenos hubieron emitido sus voces, yo iba a escribir; pero oí una voz del cielo que me decía: Sella las cosas que los siete truenos han dicho, y no las escribas. Apocalipsis 10:1–4.</w:t>
      </w:r>
    </w:p>
    <w:p>
      <w:pPr>
        <w:pStyle w:val="ArticleBody"/>
        <w:jc w:val="left"/>
      </w:pPr>
      <w:r>
        <w:rPr>
          <w:rFonts w:ascii="Times New Roman" w:hAnsi="Times New Roman" w:eastAsia="Times New Roman" w:cs="Times New Roman"/>
        </w:rPr>
        <w:t>İnsan sınağı kapanmadan hemen önce, “vakit yakındır” denildiği zaman, “yakında olması gereken şeyleri” belirleyen özel bir Kutsal Kitap gerçeğinin mührü açılacaktır. Vahiy 10’daki kudretli melek, bir Aslan gibi haykıran İsa Mesih’tir.</w:t>
      </w:r>
    </w:p>
    <w:p>
      <w:pPr>
        <w:pStyle w:val="ArticleScripture"/>
        <w:jc w:val="left"/>
      </w:pPr>
      <w:r>
        <w:rPr>
          <w:rFonts w:ascii="Times New Roman" w:hAnsi="Times New Roman" w:eastAsia="Times New Roman" w:cs="Times New Roman"/>
        </w:rPr>
        <w:t>«Ақыретте Жоханды нұсқаған құдіретті періште Иса Мәсіхтің Өзінен кем емес Тұлға еді. Оның оң аяғын теңізге, ал сол аяғын құрлыққа қоюы — Оның Шайтанмен жүріп жатқан ұлы тартыстың соңғы көріністерінде қандай рөл атқарып тұрғанын көрсетеді. Бұл ұстаным Оның бүкіл жер жүзі үстінен жүргізетін жоғарғы күші мен билігін білдіреді. Бұл тартыс ғасырдан ғасырға қарай барған сайын күшейіп, барынша табанды сипат алып келді, әрі қараңғылық күштерінің асқан айлакерлікпен жүргізілген әрекеті өз шегіне жететін қорытынды көріністерге дейін солай жалғаса береді. Шайтан, зұлым адамдармен біріккен күйде, шындықты сүюді қабылдамаған бүкіл дүниені және шіркеулерді алдайды. Бірақ құдіретті періште назар аударуды талап етеді. Ол қатты дауыспен айқайлайды. Ол шындыққа қарсы тұру үшін Шайтанмен біріккендерге Өз дауысының күші мен билігін көрсетуге тиіс». The Seventh-day Adventist Bible Commentary, volume 7, 971.</w:t>
      </w:r>
    </w:p>
    <w:p>
      <w:pPr>
        <w:pStyle w:val="ArticleBody"/>
        <w:jc w:val="left"/>
      </w:pPr>
      <w:r>
        <w:rPr>
          <w:rFonts w:ascii="Times New Roman" w:hAnsi="Times New Roman" w:eastAsia="Times New Roman" w:cs="Times New Roman"/>
        </w:rPr>
        <w:t>Икырыр ахырында «Сатан» алдап соккан «чиркевлер» «хакъыйкъатны» севмекни къабул этмегенлери себебинден алданалар. Къарындаш Уайт азыр тильге алгъан Икенджи Селаниклилерден парчадаки «хакъыйкъат» сёзю, Ибранийде «хакъыйкъат» деп тәрҗиме этильген, учь ибраний харфындан къуралып Альфа ве Омеганы темсиль эткен сёзден чыккъан эсас юнан сёзюдюр. Ильк зикр къаидеси иле багълы оларакъ, Месихнин сеҗиесинин бир хасиетини темсиль эткен хакъыйкъатны ред этильген ве нетиджеде къувветли бир сапкъынлыкъ хасыл эткен хакъыйкъат олдугъуна даир Мукъаддес Китапта бир делиль бармы?</w:t>
      </w:r>
    </w:p>
    <w:p>
      <w:pPr>
        <w:pStyle w:val="ArticleScripture"/>
        <w:jc w:val="left"/>
      </w:pPr>
      <w:r>
        <w:rPr>
          <w:rFonts w:ascii="Times New Roman" w:hAnsi="Times New Roman" w:eastAsia="Times New Roman" w:cs="Times New Roman"/>
        </w:rPr>
        <w:t>Ñanqanakuykuna, taytakuna, Señor Jesucristo hamuyninrayku, hinaspa payman huñunakusqanchikrayku, ruwasqaykuta qankunata mañakuyku: ama utqaylla yuyayniykichikpi kuyuchisqa kaychikchu, nitaq mancharichisqa kaychikchu, ni espíritu nisqawan, ni simiwan, ni qelqawan noqaykumanta hina hamusqawan, Cristo p’unchayninña chayamusqanta nispa. Ama pipas ima hina kaptinpas qankunata pantachichunchu; chay p’unchayqa manaraq hamunqachu, ñawpaqta hatun urmay hamunankama, hinaspa huchayoq runa rikuchisqa kanankama, chinkachisqa churin; paymi Dios sutichasqa llapa imapa contranpi sayan, yupaychasqa llapa imamantapas hawanman hatarikun, chhaynaqa Dios hina Diospa templonpi tiyaykuspa, kikinta Dios kasqanta rikuchikun. ¿Manachu yuyarinkichik, qankunawanraq kashaspa kaykunata niq kaptiy? Kunanqa yachankichikña ima hark’akusqanta, paypa pachanpi rikuchisqa kananpaq. Mana allin kaypa pakasqa misterioñaqa ñam llamk’ashanña; ichaqa kunan hark’akuqmi hark’akullanqa, ñanmantam hurqusqakama. Chaymantaqa chay mana allin runa rikuchisqa kanqa, pichus Señorqa siminpa samayninwan tukuchinqa, hinaspa hamuyninpa k’anchariyninwan chinkachinqa: payqa Satanaspa llamk’ayninman hinam hamun, llapa atiywan, señalkunawan, llulla maravillakunawan, hinaspa chinkaqkunapi mana chiqap kananpa llapa engañonwan; imaraykuchus mana chaskirqankuchu cheqaq kaypa munakuyninta, salvasqa kanankupaq. Chayraykum Diosqa sinchi pantayta paykunaman kachanqa, llullata creenankupaq; chhaynapim llapankupas huchachasqa kanqaku, cheqaq kayta mana creenakuspanku, aswanpas mana allin kaypi kusisqa kasqankurayku. 2 Tesalonicenses 2:1–12.</w:t>
      </w:r>
    </w:p>
    <w:p>
      <w:pPr>
        <w:pStyle w:val="ArticleBody"/>
        <w:jc w:val="left"/>
      </w:pPr>
      <w:r>
        <w:rPr>
          <w:rFonts w:ascii="Times New Roman" w:hAnsi="Times New Roman" w:eastAsia="Times New Roman" w:cs="Times New Roman"/>
        </w:rPr>
        <w:t>ڕێبازەکەی لە تەسالۆنیکییەکان زۆرجار لە خشتەکانی حەبقوق باس کراوە؛ بۆیە لەم قۆناغەدا تەنها لێدوانێکی کورت دەکەین. ئەوەی خوشک وایت بە «کاری سەرسوڕهێنەری شەیتان» ناودەبات، هەمان ئەوەی پۆڵسە کە دەڵێت: «کردەوەی شەیتان بە هەموو هێز و نیشانە و پەرجووی درۆزنەوە.» ئەو کاری فریودەرەی کە خوشک وایت و پۆڵس دەستنیشانی دەکەن، لە کاتی یاسای یەکشەممە لە ویلایەتە یەکگرتووەکانی ئەمریکا دەست پێ دەکات.</w:t>
      </w:r>
    </w:p>
    <w:p>
      <w:pPr>
        <w:pStyle w:val="ArticleScripture"/>
        <w:jc w:val="left"/>
      </w:pPr>
      <w:r>
        <w:rPr>
          <w:rFonts w:ascii="Times New Roman" w:hAnsi="Times New Roman" w:eastAsia="Times New Roman" w:cs="Times New Roman"/>
        </w:rPr>
        <w:t>«Божьярық заңын бұзып, Папалық мекемесін күштеп енгізетін жарлық арқылы, біздің ұлтымыз өзін әділдіктен толық ажыратады. Протестантизм тұңғиықтың ар жағына қолын созып, Рим билігінің қолын ұстағанда, шыңыраудың үстінен өтіп, Спиритизммен қол алысқанда, осы үштік одақтың ықпалымен біздің еліміз өзінің Конституциясындағы протестанттық әрі республикалық басқару ретіндегі әрбір принциптен бас тартып, папалық жалғандықтар мен адасуларды таратуға жағдай жасағанда, сонда біз Шайтанның ғажайып әрекетінің уақыты келгенін және ақырдың жақын екенін біле аламыз». Testimonies, volume 5, 451.</w:t>
      </w:r>
    </w:p>
    <w:p>
      <w:pPr>
        <w:pStyle w:val="ArticleBody"/>
        <w:jc w:val="left"/>
      </w:pPr>
      <w:r>
        <w:rPr>
          <w:rFonts w:ascii="Nirmala UI" w:hAnsi="Nirmala UI" w:eastAsia="Nirmala UI" w:cs="Nirmala UI"/>
        </w:rPr>
        <w:t>ഥെസ്സലോനിക്ക്യരിലേക്കുള്ള</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പരിഗണിക്കുന്നതിൽ</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ലോകാവസാനത്തിലെ</w:t>
      </w:r>
      <w:r>
        <w:rPr>
          <w:rFonts w:ascii="Times New Roman" w:hAnsi="Times New Roman" w:eastAsia="Times New Roman" w:cs="Times New Roman"/>
        </w:rPr>
        <w:t xml:space="preserve"> </w:t>
      </w:r>
      <w:r>
        <w:rPr>
          <w:rFonts w:ascii="Nirmala UI" w:hAnsi="Nirmala UI" w:eastAsia="Nirmala UI" w:cs="Nirmala UI"/>
        </w:rPr>
        <w:t>പാപ്പാവിനെ</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വ്യത്യസ്ത</w:t>
      </w:r>
      <w:r>
        <w:rPr>
          <w:rFonts w:ascii="Times New Roman" w:hAnsi="Times New Roman" w:eastAsia="Times New Roman" w:cs="Times New Roman"/>
        </w:rPr>
        <w:t xml:space="preserve"> </w:t>
      </w:r>
      <w:r>
        <w:rPr>
          <w:rFonts w:ascii="Nirmala UI" w:hAnsi="Nirmala UI" w:eastAsia="Nirmala UI" w:cs="Nirmala UI"/>
        </w:rPr>
        <w:t>പദങ്ങളാൽ</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പാപ്പാവ്</w:t>
      </w:r>
      <w:r>
        <w:rPr>
          <w:rFonts w:ascii="Times New Roman" w:hAnsi="Times New Roman" w:eastAsia="Times New Roman" w:cs="Times New Roman"/>
        </w:rPr>
        <w:t xml:space="preserve"> “</w:t>
      </w:r>
      <w:r>
        <w:rPr>
          <w:rFonts w:ascii="Nirmala UI" w:hAnsi="Nirmala UI" w:eastAsia="Nirmala UI" w:cs="Nirmala UI"/>
        </w:rPr>
        <w:t>പാപത്തിന്റെ</w:t>
      </w:r>
      <w:r>
        <w:rPr>
          <w:rFonts w:ascii="Times New Roman" w:hAnsi="Times New Roman" w:eastAsia="Times New Roman" w:cs="Times New Roman"/>
        </w:rPr>
        <w:t xml:space="preserve"> </w:t>
      </w:r>
      <w:r>
        <w:rPr>
          <w:rFonts w:ascii="Nirmala UI" w:hAnsi="Nirmala UI" w:eastAsia="Nirmala UI" w:cs="Nirmala UI"/>
        </w:rPr>
        <w:t>മനുഷ്യൻ</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നാശത്തിന്റെ</w:t>
      </w:r>
      <w:r>
        <w:rPr>
          <w:rFonts w:ascii="Times New Roman" w:hAnsi="Times New Roman" w:eastAsia="Times New Roman" w:cs="Times New Roman"/>
        </w:rPr>
        <w:t xml:space="preserve"> </w:t>
      </w:r>
      <w:r>
        <w:rPr>
          <w:rFonts w:ascii="Nirmala UI" w:hAnsi="Nirmala UI" w:eastAsia="Nirmala UI" w:cs="Nirmala UI"/>
        </w:rPr>
        <w:t>പുത്രൻ</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അധർമ്മത്തിന്റെ</w:t>
      </w:r>
      <w:r>
        <w:rPr>
          <w:rFonts w:ascii="Times New Roman" w:hAnsi="Times New Roman" w:eastAsia="Times New Roman" w:cs="Times New Roman"/>
        </w:rPr>
        <w:t xml:space="preserve"> </w:t>
      </w:r>
      <w:r>
        <w:rPr>
          <w:rFonts w:ascii="Nirmala UI" w:hAnsi="Nirmala UI" w:eastAsia="Nirmala UI" w:cs="Nirmala UI"/>
        </w:rPr>
        <w:t>മർമ്മം</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ദുഷ്ടൻ</w:t>
      </w:r>
      <w:r>
        <w:rPr>
          <w:rFonts w:ascii="Times New Roman" w:hAnsi="Times New Roman" w:eastAsia="Times New Roman" w:cs="Times New Roman"/>
        </w:rPr>
        <w:t xml:space="preserve">” </w:t>
      </w:r>
      <w:r>
        <w:rPr>
          <w:rFonts w:ascii="Nirmala UI" w:hAnsi="Nirmala UI" w:eastAsia="Nirmala UI" w:cs="Nirmala UI"/>
        </w:rPr>
        <w:t>കൂടിയാകുന്നു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നാല്</w:t>
      </w:r>
      <w:r>
        <w:rPr>
          <w:rFonts w:ascii="Times New Roman" w:hAnsi="Times New Roman" w:eastAsia="Times New Roman" w:cs="Times New Roman"/>
        </w:rPr>
        <w:t xml:space="preserve"> </w:t>
      </w:r>
      <w:r>
        <w:rPr>
          <w:rFonts w:ascii="Nirmala UI" w:hAnsi="Nirmala UI" w:eastAsia="Nirmala UI" w:cs="Nirmala UI"/>
        </w:rPr>
        <w:t>പേരുകൾക്കു</w:t>
      </w:r>
      <w:r>
        <w:rPr>
          <w:rFonts w:ascii="Times New Roman" w:hAnsi="Times New Roman" w:eastAsia="Times New Roman" w:cs="Times New Roman"/>
        </w:rPr>
        <w:t xml:space="preserve"> </w:t>
      </w:r>
      <w:r>
        <w:rPr>
          <w:rFonts w:ascii="Nirmala UI" w:hAnsi="Nirmala UI" w:eastAsia="Nirmala UI" w:cs="Nirmala UI"/>
        </w:rPr>
        <w:t>പുറമെ</w:t>
      </w:r>
      <w:r>
        <w:rPr>
          <w:rFonts w:ascii="Times New Roman" w:hAnsi="Times New Roman" w:eastAsia="Times New Roman" w:cs="Times New Roman"/>
        </w:rPr>
        <w:t xml:space="preserve"> </w:t>
      </w:r>
      <w:r>
        <w:rPr>
          <w:rFonts w:ascii="Nirmala UI" w:hAnsi="Nirmala UI" w:eastAsia="Nirmala UI" w:cs="Nirmala UI"/>
        </w:rPr>
        <w:t>പാപ്പാവിന്റെ</w:t>
      </w:r>
      <w:r>
        <w:rPr>
          <w:rFonts w:ascii="Times New Roman" w:hAnsi="Times New Roman" w:eastAsia="Times New Roman" w:cs="Times New Roman"/>
        </w:rPr>
        <w:t xml:space="preserve"> </w:t>
      </w:r>
      <w:r>
        <w:rPr>
          <w:rFonts w:ascii="Nirmala UI" w:hAnsi="Nirmala UI" w:eastAsia="Nirmala UI" w:cs="Nirmala UI"/>
        </w:rPr>
        <w:t>കുറെ</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സവിശേഷതകളും</w:t>
      </w:r>
      <w:r>
        <w:rPr>
          <w:rFonts w:ascii="Times New Roman" w:hAnsi="Times New Roman" w:eastAsia="Times New Roman" w:cs="Times New Roman"/>
        </w:rPr>
        <w:t xml:space="preserve"> </w:t>
      </w:r>
      <w:r>
        <w:rPr>
          <w:rFonts w:ascii="Nirmala UI" w:hAnsi="Nirmala UI" w:eastAsia="Nirmala UI" w:cs="Nirmala UI"/>
        </w:rPr>
        <w:t>പൗലൊസ്</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പാപ്പാവ്</w:t>
      </w:r>
      <w:r>
        <w:rPr>
          <w:rFonts w:ascii="Times New Roman" w:hAnsi="Times New Roman" w:eastAsia="Times New Roman" w:cs="Times New Roman"/>
        </w:rPr>
        <w:t xml:space="preserve"> (</w:t>
      </w:r>
      <w:r>
        <w:rPr>
          <w:rFonts w:ascii="Nirmala UI" w:hAnsi="Nirmala UI" w:eastAsia="Nirmala UI" w:cs="Nirmala UI"/>
        </w:rPr>
        <w:t>പൗലോസിന്റെ</w:t>
      </w:r>
      <w:r>
        <w:rPr>
          <w:rFonts w:ascii="Times New Roman" w:hAnsi="Times New Roman" w:eastAsia="Times New Roman" w:cs="Times New Roman"/>
        </w:rPr>
        <w:t xml:space="preserve"> </w:t>
      </w:r>
      <w:r>
        <w:rPr>
          <w:rFonts w:ascii="Nirmala UI" w:hAnsi="Nirmala UI" w:eastAsia="Nirmala UI" w:cs="Nirmala UI"/>
        </w:rPr>
        <w:t>കാലത്ത്</w:t>
      </w:r>
      <w:r>
        <w:rPr>
          <w:rFonts w:ascii="Times New Roman" w:hAnsi="Times New Roman" w:eastAsia="Times New Roman" w:cs="Times New Roman"/>
        </w:rPr>
        <w:t xml:space="preserve"> </w:t>
      </w:r>
      <w:r>
        <w:rPr>
          <w:rFonts w:ascii="Nirmala UI" w:hAnsi="Nirmala UI" w:eastAsia="Nirmala UI" w:cs="Nirmala UI"/>
        </w:rPr>
        <w:t>ഇപ്പോഴും</w:t>
      </w:r>
      <w:r>
        <w:rPr>
          <w:rFonts w:ascii="Times New Roman" w:hAnsi="Times New Roman" w:eastAsia="Times New Roman" w:cs="Times New Roman"/>
        </w:rPr>
        <w:t xml:space="preserve"> </w:t>
      </w:r>
      <w:r>
        <w:rPr>
          <w:rFonts w:ascii="Nirmala UI" w:hAnsi="Nirmala UI" w:eastAsia="Nirmala UI" w:cs="Nirmala UI"/>
        </w:rPr>
        <w:t>ഭാവിയിലെവനായിരുന്നു</w:t>
      </w:r>
      <w:r>
        <w:rPr>
          <w:rFonts w:ascii="Times New Roman" w:hAnsi="Times New Roman" w:eastAsia="Times New Roman" w:cs="Times New Roman"/>
        </w:rPr>
        <w:t>)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സമയത്ത്</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നമ്മെ</w:t>
      </w:r>
      <w:r>
        <w:rPr>
          <w:rFonts w:ascii="Times New Roman" w:hAnsi="Times New Roman" w:eastAsia="Times New Roman" w:cs="Times New Roman"/>
        </w:rPr>
        <w:t xml:space="preserve"> </w:t>
      </w:r>
      <w:r>
        <w:rPr>
          <w:rFonts w:ascii="Nirmala UI" w:hAnsi="Nirmala UI" w:eastAsia="Nirmala UI" w:cs="Nirmala UI"/>
        </w:rPr>
        <w:t>അറിയിക്കുന്നു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پوپ «در زمانِ خود آشکار می‌شد»؛ و روشن‌ترین دلیلِ کتاب‌مقدسی—هرچند به هیچ‌وجه تنها حقیقتِ کتاب‌مقدسی نیست—روشن‌ترین حقیقتِ کتاب‌مقدسی که نشان می‌دهد پوپِ کلیسای روم همان ضدّمسیحِ نبوتِ کتاب‌مقدس است، به‌وسیلهٔ هفت اشارهٔ متفاوت و مستقیم در کتاب‌مقدس تثبیت می‌شود که «زمانی» را که پاپیّت بر زمین سلطه می‌یافت مشخص می‌سازند؛ همان «زمانی» که بشریت آن را اعصارِ تاریک می‌نامد. کتاب‌مقدس با مشخص ساختنِ مکررِ دورهٔ دقیقِ «زمان»، از 538 تا 1798، که در آن پاپیّت بر جهان حکم می‌راند، پوپ را به‌عنوان پاپیّت آشکار می‌سازد. پولس گفت که او در زمانِ خود آشکار خواهد شد.</w:t>
      </w:r>
    </w:p>
    <w:p>
      <w:pPr>
        <w:pStyle w:val="ArticleBody"/>
        <w:jc w:val="left"/>
      </w:pPr>
      <w:r>
        <w:rPr>
          <w:rFonts w:ascii="Times New Roman" w:hAnsi="Times New Roman" w:eastAsia="Times New Roman" w:cs="Times New Roman"/>
        </w:rPr>
        <w:t>Paul ukham uñt’ayarakiwa papax “Dios sata, jan ukax yupaychatäki taqi ukanakat sipansa sayt’asina jach’anchasi; ukhamat jupax Diosjamaw Diosan templopan qunt’asi, jupa pachpaw Diosätapa uñacht’ayasi” sasa. Yaqha walja yänak taypinxa, akax Biblia profecían anticristopax mä religioso símbolo ukhamätap uñt’ayi. Jupax janiw mä Hitleräkiti, janirakiw mä Alejandro Magno ukhamäkiti. Ukax juk’ampiw papan uñt’ayäwip qhananchaski, jupax janiw mä religioso tirano sapa ukhamäkiti; jan ukasti, Diosan templopan manqhan jikxatasiñapataki arsuri mä religioso tiranowa. Anticristox cristiano iglesian manqhan qunt’atätapwa sarnaqayi.</w:t>
      </w:r>
    </w:p>
    <w:p>
      <w:pPr>
        <w:pStyle w:val="ArticleBody"/>
        <w:jc w:val="left"/>
      </w:pPr>
      <w:r>
        <w:rPr>
          <w:rFonts w:ascii="Times New Roman" w:hAnsi="Times New Roman" w:eastAsia="Times New Roman" w:cs="Times New Roman"/>
        </w:rPr>
        <w:t>Павел және Даниялдың айтуынша, папа өзі жариялаған христиан шіркеуінің ішінде болғанда, Құдайдың тағының үстіне отыруды және барша нәрседен жоғары көтерілуге ұмтылған Шайтанның мінезін көрсетеді. Мен «Павел және Даниял» деп айтып отырмын, өйткені Киелі кітапқа түсіндірме берушілердің көбі Павел папаның сипаттарының бірі — оның толықтай нарцисс екендігін көрсеткенде, Павел жай ғана Даниял кітабының он бірінші тарауындағы папаға берген сипаттамасынан үзінді келтіргенін мойындайды; сол жерде Даниял былай деп жазады:</w:t>
      </w:r>
    </w:p>
    <w:p>
      <w:pPr>
        <w:pStyle w:val="ArticleScripture"/>
        <w:jc w:val="left"/>
      </w:pPr>
      <w:r>
        <w:rPr>
          <w:rFonts w:ascii="Times New Roman" w:hAnsi="Times New Roman" w:eastAsia="Times New Roman" w:cs="Times New Roman"/>
        </w:rPr>
        <w:t>“Y rey yat qachkanman munasqanman hina; hinaspa payqa kikinmanta hatunchakuspa, llapa dioskunamanta aswan hatunchasqa kanqa, hinaspa dioskunaq Diosninpa contranpi manchay musphaynin rimaykunata rimarinqa, hinaspa piñakuynin hunt’akunan kama allinllata purinqa; imaraykuchus chay kamasqa kasqanqa rurasqa kanqa. Daniel 11:36.</w:t>
      </w:r>
    </w:p>
    <w:p>
      <w:pPr>
        <w:pStyle w:val="ArticleBody"/>
        <w:jc w:val="left"/>
      </w:pPr>
      <w:r>
        <w:rPr>
          <w:rFonts w:ascii="Times New Roman" w:hAnsi="Times New Roman" w:eastAsia="Times New Roman" w:cs="Times New Roman"/>
        </w:rPr>
        <w:t>Nen Pablor ojayvu pe papa rembiapo tekotevẽ’ỹ ha ijeheguigua rekóre, omombe’upyrũ hag̃ua Daniel ñe’ẽ, ha he’i hese ha’eha upe “oñemoĩva ha oñemomba’eguasúva ijehegui opa mba’e oñembohéra hag̃ua Tupã térã oñemomba’e guasúva ári; upéicha hag̃uáicha ha’e Tupãramo oguapy Tupã tupaópe, ohechaukávo ijehegui ha’eha Tupã.” Pe versíkulo Daniel-pe ohechaukaáva pe papado reko avei oñe’ẽ pe “ára” rehe, oñemoĩva’ekue hag̃ua “oikuaauka” hag̃ua pe papado ha’eha pe anticristo, omombe’úgui pe papado “oñakãrapu’ãtaha” pe “pochy” oñemohu’ã meve.</w:t>
      </w:r>
    </w:p>
    <w:p>
      <w:pPr>
        <w:pStyle w:val="ArticleBody"/>
        <w:jc w:val="left"/>
      </w:pPr>
      <w:r>
        <w:rPr>
          <w:rFonts w:ascii="Times New Roman" w:hAnsi="Times New Roman" w:eastAsia="Times New Roman" w:cs="Times New Roman"/>
        </w:rPr>
        <w:t>Ang “kapungot” natapos niadtong 1798, busa si Daniel sa maong bersikulo (bisan tuod kini dili usa sa pito ka tuwirang mga dapit sa mga basahon ni Daniel ug Pinadayag diin gihisgutan ang 1260 ka tuig nga kasaysayan), hinoon tuwirang nagpaila sa gahom sa kapapahan ug nagtimaan nga kini nakadawat ug “samad nga makamatay,” sumala sa tawag niini ni Juan, niadtong 1798. Busa, ang bersikulo nagpaila sa katapusan sa panahon sa pagmando sa kapapahan, bisan dili kini nagpaila sa gidugayon sa maong pagmando.</w:t>
      </w:r>
    </w:p>
    <w:p>
      <w:pPr>
        <w:pStyle w:val="ArticleBody"/>
        <w:jc w:val="left"/>
      </w:pP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538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ਕਬਜ਼ਾ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ਥੱਸਲੁਨੀਕੀਆਂ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ਪ੍ਰਸ਼ਨ</w:t>
      </w:r>
      <w:r>
        <w:rPr>
          <w:rFonts w:ascii="Times New Roman" w:hAnsi="Times New Roman" w:eastAsia="Times New Roman" w:cs="Times New Roman"/>
        </w:rPr>
        <w:t xml:space="preserve"> </w:t>
      </w:r>
      <w:r>
        <w:rPr>
          <w:rFonts w:ascii="Nirmala UI" w:hAnsi="Nirmala UI" w:eastAsia="Nirmala UI" w:cs="Nirmala UI"/>
        </w:rPr>
        <w:t>ਉਠਾਇਆ</w:t>
      </w:r>
      <w:r>
        <w:rPr>
          <w:rFonts w:ascii="Times New Roman" w:hAnsi="Times New Roman" w:eastAsia="Times New Roman" w:cs="Times New Roman"/>
        </w:rPr>
        <w:t xml:space="preserve">, “Remember ye not, that, when I was yet with you, I told you these things?”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ਯਾਦ</w:t>
      </w:r>
      <w:r>
        <w:rPr>
          <w:rFonts w:ascii="Times New Roman" w:hAnsi="Times New Roman" w:eastAsia="Times New Roman" w:cs="Times New Roman"/>
        </w:rPr>
        <w:t xml:space="preserve"> </w:t>
      </w:r>
      <w:r>
        <w:rPr>
          <w:rFonts w:ascii="Nirmala UI" w:hAnsi="Nirmala UI" w:eastAsia="Nirmala UI" w:cs="Nirmala UI"/>
        </w:rPr>
        <w:t>ਦਿਵਾਉਂਦਾ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“what withholdeth”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ਰੋਕਦਾ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“be revealed in his time.”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ਕਬਜ਼ਾ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ਰੋਕਿਆ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ਲਿਖਣ</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ਕਾਬੂ</w:t>
      </w:r>
      <w:r>
        <w:rPr>
          <w:rFonts w:ascii="Times New Roman" w:hAnsi="Times New Roman" w:eastAsia="Times New Roman" w:cs="Times New Roman"/>
        </w:rPr>
        <w:t xml:space="preserve"> </w:t>
      </w:r>
      <w:r>
        <w:rPr>
          <w:rFonts w:ascii="Nirmala UI" w:hAnsi="Nirmala UI" w:eastAsia="Nirmala UI" w:cs="Nirmala UI"/>
        </w:rPr>
        <w:t>ਰੱਖਦੀ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ਮੂਰਤੀਪੂਜਕ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ਪੌਲੁਸ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ਕਾਬੂ</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ਮੂਰਤੀਪੂਜਕ</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“taken out of the way”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Xewna ev têgihiştinê bû ku William Miller gihand ku hêza ku di pirtûka Daniel de wekî “rojane” hatiye nîşankirin, Romaya pagan bû. Adventîzm qebûl dike ku avahî, û bi vî awayî hemû têgihiştinên pêxemberî yên William Miller, li ser têgihiştina wî ya pirtûkên Daniel û Vahiyê hatine avakirin û ku ew her du pirtûk li ser du hêzên wêranker, Romaya pagan û Romaya papal, diaxivin. Di beşa Selanîkîyan de Miller, ku ji pêş ve dizanibû (wek her Protestantek di roja wî de dizanibû ku pop antîxrist bû); dema ku wî nas kir ku Romaya pagan ew hêza dîrokî bû ku berî hukumdariya papal hatibû, û ku Pawlos gotibû ku pêdivî ye Romaya pagan berî ku papatî li ser textê erdê hilkişe were rakirin, hingê wî ev yek bi pirtûka Daniel û “rojane” re girêda, li wir ku sê caran tê gotin ku pêdivî bû rojane “were rakirin” berî ku papatî kontrola cîhanê bistîne. Şehadeta Pawlos destûr da Miller ku bibîne ku Romaya pagan “rojane” ya Daniel e, û paşê wî dikaribû bibîne ku du hêzên wêranker ên Daniel Romaya pagan û Romaya papal in. Ev rastî bingehê tevgera Milleriyan pêk tîne. Adventîzm îro bêguman xebata Miller red dike, lê dîsa ew fam dikin ku ev kurte nêrîna pêşveçûna têgihiştina Miller ya “rojane” di Daniel de îspat dike ku ew hêza ku Pawlos dibêje rabûna hêza papal “digire” heta ku ew hate rakirin, Romaya pagan bû; ev yek analîza rast a ramana Miller li ser van mijaran e.</w:t>
      </w:r>
    </w:p>
    <w:p>
      <w:pPr>
        <w:pStyle w:val="ArticleBody"/>
        <w:jc w:val="left"/>
      </w:pPr>
      <w:r>
        <w:rPr>
          <w:rFonts w:ascii="Times New Roman" w:hAnsi="Times New Roman" w:eastAsia="Times New Roman" w:cs="Times New Roman"/>
        </w:rPr>
        <w:t>No truth of “di daili” insaid long buk bilong Daniel i wanpela mak bilong pagan Rom we i bin i go pas long kingdom bilong papal Rom, em kingdom we Daniel i bin soim olsem detestable samting bilong bagarapim ples i stap nating, Miller i ken luksave long ol taim bilong profesi we i pas wantaim ol kingdom bilong profesi bilong Baibel. Na taim tingting bilong em i op long ol dispela save, em i bungim wanpela lain tok i tru we i soim ol as ston bilong Adventism. Ol dispela tok i tru i kam stap olsem samting i stap strong long tupela tebol bilong ol pionia sat bilong 1843 na 1850. Ol dispela tok i tru em i as ston bilong Adventism, na ol i bin stap long luksave bilong “taim.” Stori bilong taim ol i putim ol as ston dispela long ples em i wanpela bikpela tok pait long ol Tebol bilong Habakkuk.</w:t>
      </w:r>
    </w:p>
    <w:p>
      <w:pPr>
        <w:pStyle w:val="ArticleBody"/>
        <w:jc w:val="left"/>
      </w:pPr>
      <w:r>
        <w:rPr>
          <w:rFonts w:ascii="Times New Roman" w:hAnsi="Times New Roman" w:eastAsia="Times New Roman" w:cs="Times New Roman"/>
        </w:rPr>
        <w:t>Հաբակուկի Աղյուսակներում չի մատնանշվում այն, որ ժամանակի վրա հիմնված հիմքերը առաջ բերեցին մի կառուցվածք, որը տալիս է այն տեսանկյունը, որն անհրաժեշտ է վերջին սերնդին՝ ճանաչելու համար, որ կային ճշմարտություններ, որոնք ներկայացված էին որպես հիմքեր։ Կար մի առաջին ճշմարտություն, որ հենց առաջին քարն էր, դրված հիմքի մեջ, սակայն Դանիելի գրքի «ամենօրյա»-ն Միլլերի առաջին ճշմարտությունը չէր։ Այն ճշմարտությունը, որ պիտի դառնար հիմքի առաջին քարը, որի կառուցման համար Միլլերը բարձրացվեց, Ղևտական քսանվեցերորդ գլխի «յոթ ժամանակներն» էին, սակայն առանց «ամենօրյա»-ի ճշմարտության Միլլերը չէր ճանաչի մարգարեության այն կառուցվածքը, որը պետք էր, որ նա ճանաչեր՝ առաջին հրեշտակի պատգամը ներկայացնելու համար։ Նրա կառուցվածքը մարգարեությունը դնում էր երկու ամայացնող զորությունների տեսանկյան մեջ։ Միլլերը դիմում էր վիշապին (հեթանոսական Հռոմ) և գազանին (պապականությանը)։ Երրորդ հրեշտակը դիմում է վիշապին (Միավորված ազգերի կազմակերպությունը), գազանին (պապականությունը) և սուտ մարգարեին (Միացյալ Նահանգները)։</w:t>
      </w:r>
    </w:p>
    <w:p>
      <w:pPr>
        <w:pStyle w:val="ArticleBody"/>
        <w:jc w:val="left"/>
      </w:pPr>
      <w:r>
        <w:rPr>
          <w:rFonts w:ascii="Myanmar Text" w:hAnsi="Myanmar Text" w:eastAsia="Myanmar Text" w:cs="Myanmar Text"/>
        </w:rPr>
        <w:t>မစ်လာရိုက်တို့က</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ရှေ့ပြေးသူတို့၏</w:t>
      </w:r>
      <w:r>
        <w:rPr>
          <w:rFonts w:ascii="Times New Roman" w:hAnsi="Times New Roman" w:eastAsia="Times New Roman" w:cs="Times New Roman"/>
        </w:rPr>
        <w:t xml:space="preserve"> </w:t>
      </w:r>
      <w:r>
        <w:rPr>
          <w:rFonts w:ascii="Myanmar Text" w:hAnsi="Myanmar Text" w:eastAsia="Myanmar Text" w:cs="Myanmar Text"/>
        </w:rPr>
        <w:t>ဇယားနှစ်စောင်ပေါ်တွင်</w:t>
      </w:r>
      <w:r>
        <w:rPr>
          <w:rFonts w:ascii="Times New Roman" w:hAnsi="Times New Roman" w:eastAsia="Times New Roman" w:cs="Times New Roman"/>
        </w:rPr>
        <w:t xml:space="preserve"> </w:t>
      </w:r>
      <w:r>
        <w:rPr>
          <w:rFonts w:ascii="Myanmar Text" w:hAnsi="Myanmar Text" w:eastAsia="Myanmar Text" w:cs="Myanmar Text"/>
        </w:rPr>
        <w:t>တင်ပြထားသော</w:t>
      </w:r>
      <w:r>
        <w:rPr>
          <w:rFonts w:ascii="Times New Roman" w:hAnsi="Times New Roman" w:eastAsia="Times New Roman" w:cs="Times New Roman"/>
        </w:rPr>
        <w:t xml:space="preserve"> </w:t>
      </w:r>
      <w:r>
        <w:rPr>
          <w:rFonts w:ascii="Myanmar Text" w:hAnsi="Myanmar Text" w:eastAsia="Myanmar Text" w:cs="Myanmar Text"/>
        </w:rPr>
        <w:t>အချိန်ဆိုင်ရာ</w:t>
      </w:r>
      <w:r>
        <w:rPr>
          <w:rFonts w:ascii="Times New Roman" w:hAnsi="Times New Roman" w:eastAsia="Times New Roman" w:cs="Times New Roman"/>
        </w:rPr>
        <w:t xml:space="preserve"> </w:t>
      </w:r>
      <w:r>
        <w:rPr>
          <w:rFonts w:ascii="Myanmar Text" w:hAnsi="Myanmar Text" w:eastAsia="Myanmar Text" w:cs="Myanmar Text"/>
        </w:rPr>
        <w:t>ပရောဖက်ပြုချက်များအား</w:t>
      </w:r>
      <w:r>
        <w:rPr>
          <w:rFonts w:ascii="Times New Roman" w:hAnsi="Times New Roman" w:eastAsia="Times New Roman" w:cs="Times New Roman"/>
        </w:rPr>
        <w:t xml:space="preserve"> </w:t>
      </w:r>
      <w:r>
        <w:rPr>
          <w:rFonts w:ascii="Myanmar Text" w:hAnsi="Myanmar Text" w:eastAsia="Myanmar Text" w:cs="Myanmar Text"/>
        </w:rPr>
        <w:t>အချို့မျှမဟုတ်ဘဲ</w:t>
      </w:r>
      <w:r>
        <w:rPr>
          <w:rFonts w:ascii="Times New Roman" w:hAnsi="Times New Roman" w:eastAsia="Times New Roman" w:cs="Times New Roman"/>
        </w:rPr>
        <w:t xml:space="preserve"> </w:t>
      </w:r>
      <w:r>
        <w:rPr>
          <w:rFonts w:ascii="Myanmar Text" w:hAnsi="Myanmar Text" w:eastAsia="Myanmar Text" w:cs="Myanmar Text"/>
        </w:rPr>
        <w:t>အားလုံးကို</w:t>
      </w:r>
      <w:r>
        <w:rPr>
          <w:rFonts w:ascii="Times New Roman" w:hAnsi="Times New Roman" w:eastAsia="Times New Roman" w:cs="Times New Roman"/>
        </w:rPr>
        <w:t xml:space="preserve"> </w:t>
      </w:r>
      <w:r>
        <w:rPr>
          <w:rFonts w:ascii="Myanmar Text" w:hAnsi="Myanmar Text" w:eastAsia="Myanmar Text" w:cs="Myanmar Text"/>
        </w:rPr>
        <w:t>လက်ခံသောသူတစ်ဦးသည်၊</w:t>
      </w:r>
      <w:r>
        <w:rPr>
          <w:rFonts w:ascii="Times New Roman" w:hAnsi="Times New Roman" w:eastAsia="Times New Roman" w:cs="Times New Roman"/>
        </w:rPr>
        <w:t xml:space="preserve"> </w:t>
      </w:r>
      <w:r>
        <w:rPr>
          <w:rFonts w:ascii="Myanmar Text" w:hAnsi="Myanmar Text" w:eastAsia="Myanmar Text" w:cs="Myanmar Text"/>
        </w:rPr>
        <w:t>ထိုသမ္မာတရားများကို</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စူးစမ်းစစ်ဆေးရမည်ဖြစ်သည်။</w:t>
      </w:r>
      <w:r>
        <w:rPr>
          <w:rFonts w:ascii="Times New Roman" w:hAnsi="Times New Roman" w:eastAsia="Times New Roman" w:cs="Times New Roman"/>
        </w:rPr>
        <w:t xml:space="preserve"> </w:t>
      </w:r>
      <w:r>
        <w:rPr>
          <w:rFonts w:ascii="Myanmar Text" w:hAnsi="Myanmar Text" w:eastAsia="Myanmar Text" w:cs="Myanmar Text"/>
        </w:rPr>
        <w:t>မိမိကိုယ်တိုင်</w:t>
      </w:r>
      <w:r>
        <w:rPr>
          <w:rFonts w:ascii="Times New Roman" w:hAnsi="Times New Roman" w:eastAsia="Times New Roman" w:cs="Times New Roman"/>
        </w:rPr>
        <w:t xml:space="preserve"> </w:t>
      </w:r>
      <w:r>
        <w:rPr>
          <w:rFonts w:ascii="Myanmar Text" w:hAnsi="Myanmar Text" w:eastAsia="Myanmar Text" w:cs="Myanmar Text"/>
        </w:rPr>
        <w:t>မစစ်ဆေးဖူးလျှင်၊</w:t>
      </w:r>
      <w:r>
        <w:rPr>
          <w:rFonts w:ascii="Times New Roman" w:hAnsi="Times New Roman" w:eastAsia="Times New Roman" w:cs="Times New Roman"/>
        </w:rPr>
        <w:t xml:space="preserve"> </w:t>
      </w:r>
      <w:r>
        <w:rPr>
          <w:rFonts w:ascii="Myanmar Text" w:hAnsi="Myanmar Text" w:eastAsia="Myanmar Text" w:cs="Myanmar Text"/>
        </w:rPr>
        <w:t>ယင်းတို့ကို</w:t>
      </w:r>
      <w:r>
        <w:rPr>
          <w:rFonts w:ascii="Times New Roman" w:hAnsi="Times New Roman" w:eastAsia="Times New Roman" w:cs="Times New Roman"/>
        </w:rPr>
        <w:t xml:space="preserve"> </w:t>
      </w:r>
      <w:r>
        <w:rPr>
          <w:rFonts w:ascii="Myanmar Text" w:hAnsi="Myanmar Text" w:eastAsia="Myanmar Text" w:cs="Myanmar Text"/>
        </w:rPr>
        <w:t>မည်သို့</w:t>
      </w:r>
      <w:r>
        <w:rPr>
          <w:rFonts w:ascii="Times New Roman" w:hAnsi="Times New Roman" w:eastAsia="Times New Roman" w:cs="Times New Roman"/>
        </w:rPr>
        <w:t xml:space="preserve"> </w:t>
      </w:r>
      <w:r>
        <w:rPr>
          <w:rFonts w:ascii="Myanmar Text" w:hAnsi="Myanmar Text" w:eastAsia="Myanmar Text" w:cs="Myanmar Text"/>
        </w:rPr>
        <w:t>လက်ခံနိုင်မည်နည်း။</w:t>
      </w:r>
      <w:r>
        <w:rPr>
          <w:rFonts w:ascii="Times New Roman" w:hAnsi="Times New Roman" w:eastAsia="Times New Roman" w:cs="Times New Roman"/>
        </w:rPr>
        <w:t xml:space="preserve"> </w:t>
      </w:r>
      <w:r>
        <w:rPr>
          <w:rFonts w:ascii="Myanmar Text" w:hAnsi="Myanmar Text" w:eastAsia="Myanmar Text" w:cs="Myanmar Text"/>
        </w:rPr>
        <w:t>အခြေခံသမ္မာတရားများကို</w:t>
      </w:r>
      <w:r>
        <w:rPr>
          <w:rFonts w:ascii="Times New Roman" w:hAnsi="Times New Roman" w:eastAsia="Times New Roman" w:cs="Times New Roman"/>
        </w:rPr>
        <w:t xml:space="preserve"> </w:t>
      </w:r>
      <w:r>
        <w:rPr>
          <w:rFonts w:ascii="Myanmar Text" w:hAnsi="Myanmar Text" w:eastAsia="Myanmar Text" w:cs="Myanmar Text"/>
        </w:rPr>
        <w:t>စူးစမ်းရှာဖွေနေသော</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ထိုသမ္မာတရားများကို</w:t>
      </w:r>
      <w:r>
        <w:rPr>
          <w:rFonts w:ascii="Times New Roman" w:hAnsi="Times New Roman" w:eastAsia="Times New Roman" w:cs="Times New Roman"/>
        </w:rPr>
        <w:t xml:space="preserve"> </w:t>
      </w:r>
      <w:r>
        <w:rPr>
          <w:rFonts w:ascii="Myanmar Text" w:hAnsi="Myanmar Text" w:eastAsia="Myanmar Text" w:cs="Myanmar Text"/>
        </w:rPr>
        <w:t>စမ်းသပ်စိစစ်ရန်</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ကိုယ်ပိုင်တာဝန်အဖြစ်</w:t>
      </w:r>
      <w:r>
        <w:rPr>
          <w:rFonts w:ascii="Times New Roman" w:hAnsi="Times New Roman" w:eastAsia="Times New Roman" w:cs="Times New Roman"/>
        </w:rPr>
        <w:t xml:space="preserve"> </w:t>
      </w:r>
      <w:r>
        <w:rPr>
          <w:rFonts w:ascii="Myanmar Text" w:hAnsi="Myanmar Text" w:eastAsia="Myanmar Text" w:cs="Myanmar Text"/>
        </w:rPr>
        <w:t>ခံယူပြီး၊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ထိုသမ္မာတရားများအားလုံးကို</w:t>
      </w:r>
      <w:r>
        <w:rPr>
          <w:rFonts w:ascii="Times New Roman" w:hAnsi="Times New Roman" w:eastAsia="Times New Roman" w:cs="Times New Roman"/>
        </w:rPr>
        <w:t xml:space="preserve"> </w:t>
      </w:r>
      <w:r>
        <w:rPr>
          <w:rFonts w:ascii="Myanmar Text" w:hAnsi="Myanmar Text" w:eastAsia="Myanmar Text" w:cs="Myanmar Text"/>
        </w:rPr>
        <w:t>လက်ခံပါက၊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ကျောက်ပေါ်၌</w:t>
      </w:r>
      <w:r>
        <w:rPr>
          <w:rFonts w:ascii="Times New Roman" w:hAnsi="Times New Roman" w:eastAsia="Times New Roman" w:cs="Times New Roman"/>
        </w:rPr>
        <w:t xml:space="preserve"> </w:t>
      </w:r>
      <w:r>
        <w:rPr>
          <w:rFonts w:ascii="Myanmar Text" w:hAnsi="Myanmar Text" w:eastAsia="Myanmar Text" w:cs="Myanmar Text"/>
        </w:rPr>
        <w:t>ဆောက်ထားကြပြီ။</w:t>
      </w:r>
    </w:p>
    <w:p>
      <w:pPr>
        <w:pStyle w:val="ArticleScripture"/>
        <w:jc w:val="left"/>
      </w:pPr>
      <w:r>
        <w:rPr>
          <w:rFonts w:ascii="Times New Roman" w:hAnsi="Times New Roman" w:eastAsia="Times New Roman" w:cs="Times New Roman"/>
        </w:rPr>
        <w:t>«ئەوەی کە وەک چاودێرانی خودا لەسەر دیوارەکانی سییۆن دەوەستن، پیاوانێک بن کە بتوانن مەترسییەکان پێش خەڵک ببینن،—پیاوانێک کە بتوانن نێوان ڕاستی و هەڵە، دادپەروەری و نادادپەروەری جیا بکەن.»</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နိဒါန်းပေးသော</w:t>
      </w:r>
      <w:r>
        <w:rPr>
          <w:rFonts w:ascii="Times New Roman" w:hAnsi="Times New Roman" w:eastAsia="Times New Roman" w:cs="Times New Roman"/>
        </w:rPr>
        <w:t xml:space="preserve"> </w:t>
      </w:r>
      <w:r>
        <w:rPr>
          <w:rFonts w:ascii="Myanmar Text" w:hAnsi="Myanmar Text" w:eastAsia="Myanmar Text" w:cs="Myanmar Text"/>
        </w:rPr>
        <w:t>သတိပေးချက်သည်</w:t>
      </w:r>
      <w:r>
        <w:rPr>
          <w:rFonts w:ascii="Times New Roman" w:hAnsi="Times New Roman" w:eastAsia="Times New Roman" w:cs="Times New Roman"/>
        </w:rPr>
        <w:t xml:space="preserve"> </w:t>
      </w:r>
      <w:r>
        <w:rPr>
          <w:rFonts w:ascii="Myanmar Text" w:hAnsi="Myanmar Text" w:eastAsia="Myanmar Text" w:cs="Myanmar Text"/>
        </w:rPr>
        <w:t>ရောက်ရှိလာပြီ။</w:t>
      </w:r>
      <w:r>
        <w:rPr>
          <w:rFonts w:ascii="Times New Roman" w:hAnsi="Times New Roman" w:eastAsia="Times New Roman" w:cs="Times New Roman"/>
        </w:rPr>
        <w:t xml:space="preserve"> 1842</w:t>
      </w:r>
      <w:r>
        <w:rPr>
          <w:rFonts w:ascii="Myanmar Text" w:hAnsi="Myanmar Text" w:eastAsia="Myanmar Text" w:cs="Myanmar Text"/>
        </w:rPr>
        <w:t>၊</w:t>
      </w:r>
      <w:r>
        <w:rPr>
          <w:rFonts w:ascii="Times New Roman" w:hAnsi="Times New Roman" w:eastAsia="Times New Roman" w:cs="Times New Roman"/>
        </w:rPr>
        <w:t xml:space="preserve"> 1843 </w:t>
      </w:r>
      <w:r>
        <w:rPr>
          <w:rFonts w:ascii="Myanmar Text" w:hAnsi="Myanmar Text" w:eastAsia="Myanmar Text" w:cs="Myanmar Text"/>
        </w:rPr>
        <w:t>နှင့်</w:t>
      </w:r>
      <w:r>
        <w:rPr>
          <w:rFonts w:ascii="Times New Roman" w:hAnsi="Times New Roman" w:eastAsia="Times New Roman" w:cs="Times New Roman"/>
        </w:rPr>
        <w:t xml:space="preserve"> 1844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ရောက်လာချိန်မှစ၍</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တည်ဆောက်လျက်ရှိလာသော</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လှုပ်ရှားပျက်ပြားစေမည့်</w:t>
      </w:r>
      <w:r>
        <w:rPr>
          <w:rFonts w:ascii="Times New Roman" w:hAnsi="Times New Roman" w:eastAsia="Times New Roman" w:cs="Times New Roman"/>
        </w:rPr>
        <w:t xml:space="preserve"> </w:t>
      </w:r>
      <w:r>
        <w:rPr>
          <w:rFonts w:ascii="Myanmar Text" w:hAnsi="Myanmar Text" w:eastAsia="Myanmar Text" w:cs="Myanmar Text"/>
        </w:rPr>
        <w:t>အရာတစ်စုံတစ်ခုမျှ</w:t>
      </w:r>
      <w:r>
        <w:rPr>
          <w:rFonts w:ascii="Times New Roman" w:hAnsi="Times New Roman" w:eastAsia="Times New Roman" w:cs="Times New Roman"/>
        </w:rPr>
        <w:t xml:space="preserve"> </w:t>
      </w:r>
      <w:r>
        <w:rPr>
          <w:rFonts w:ascii="Myanmar Text" w:hAnsi="Myanmar Text" w:eastAsia="Myanmar Text" w:cs="Myanmar Text"/>
        </w:rPr>
        <w:t>ဝင်ရောက်ခွင့်</w:t>
      </w:r>
      <w:r>
        <w:rPr>
          <w:rFonts w:ascii="Times New Roman" w:hAnsi="Times New Roman" w:eastAsia="Times New Roman" w:cs="Times New Roman"/>
        </w:rPr>
        <w:t xml:space="preserve"> </w:t>
      </w:r>
      <w:r>
        <w:rPr>
          <w:rFonts w:ascii="Myanmar Text" w:hAnsi="Myanmar Text" w:eastAsia="Myanmar Text" w:cs="Myanmar Text"/>
        </w:rPr>
        <w:t>မပြုရ။</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ဤသတင်းစကားအတွင်း၌</w:t>
      </w:r>
      <w:r>
        <w:rPr>
          <w:rFonts w:ascii="Times New Roman" w:hAnsi="Times New Roman" w:eastAsia="Times New Roman" w:cs="Times New Roman"/>
        </w:rPr>
        <w:t xml:space="preserve"> </w:t>
      </w:r>
      <w:r>
        <w:rPr>
          <w:rFonts w:ascii="Myanmar Text" w:hAnsi="Myanmar Text" w:eastAsia="Myanmar Text" w:cs="Myanmar Text"/>
        </w:rPr>
        <w:t>ရှိခဲ့ပြီး၊</w:t>
      </w:r>
      <w:r>
        <w:rPr>
          <w:rFonts w:ascii="Times New Roman" w:hAnsi="Times New Roman" w:eastAsia="Times New Roman" w:cs="Times New Roman"/>
        </w:rPr>
        <w:t xml:space="preserve"> </w:t>
      </w:r>
      <w:r>
        <w:rPr>
          <w:rFonts w:ascii="Myanmar Text" w:hAnsi="Myanmar Text" w:eastAsia="Myanmar Text" w:cs="Myanmar Text"/>
        </w:rPr>
        <w:t>ထိုအချိန်မှစ၍</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ကျွန်ုပ်တို့အား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အလင်းတရားအပေါ်</w:t>
      </w:r>
      <w:r>
        <w:rPr>
          <w:rFonts w:ascii="Times New Roman" w:hAnsi="Times New Roman" w:eastAsia="Times New Roman" w:cs="Times New Roman"/>
        </w:rPr>
        <w:t xml:space="preserve"> </w:t>
      </w:r>
      <w:r>
        <w:rPr>
          <w:rFonts w:ascii="Myanmar Text" w:hAnsi="Myanmar Text" w:eastAsia="Myanmar Text" w:cs="Myanmar Text"/>
        </w:rPr>
        <w:t>သစ္စာရှိလျက်</w:t>
      </w:r>
      <w:r>
        <w:rPr>
          <w:rFonts w:ascii="Times New Roman" w:hAnsi="Times New Roman" w:eastAsia="Times New Roman" w:cs="Times New Roman"/>
        </w:rPr>
        <w:t xml:space="preserve"> </w:t>
      </w:r>
      <w:r>
        <w:rPr>
          <w:rFonts w:ascii="Myanmar Text" w:hAnsi="Myanmar Text" w:eastAsia="Myanmar Text" w:cs="Myanmar Text"/>
        </w:rPr>
        <w:t>လောကရှေ့တွင်</w:t>
      </w:r>
      <w:r>
        <w:rPr>
          <w:rFonts w:ascii="Times New Roman" w:hAnsi="Times New Roman" w:eastAsia="Times New Roman" w:cs="Times New Roman"/>
        </w:rPr>
        <w:t xml:space="preserve"> </w:t>
      </w:r>
      <w:r>
        <w:rPr>
          <w:rFonts w:ascii="Myanmar Text" w:hAnsi="Myanmar Text" w:eastAsia="Myanmar Text" w:cs="Myanmar Text"/>
        </w:rPr>
        <w:t>ရပ်တည်လျက်ရှိခဲ့သည်။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နေ့စဉ်နေ့တိုင်း</w:t>
      </w:r>
      <w:r>
        <w:rPr>
          <w:rFonts w:ascii="Times New Roman" w:hAnsi="Times New Roman" w:eastAsia="Times New Roman" w:cs="Times New Roman"/>
        </w:rPr>
        <w:t xml:space="preserve"> </w:t>
      </w:r>
      <w:r>
        <w:rPr>
          <w:rFonts w:ascii="Myanmar Text" w:hAnsi="Myanmar Text" w:eastAsia="Myanmar Text" w:cs="Myanmar Text"/>
        </w:rPr>
        <w:t>အလွန်တရာ</w:t>
      </w:r>
      <w:r>
        <w:rPr>
          <w:rFonts w:ascii="Times New Roman" w:hAnsi="Times New Roman" w:eastAsia="Times New Roman" w:cs="Times New Roman"/>
        </w:rPr>
        <w:t xml:space="preserve"> </w:t>
      </w:r>
      <w:r>
        <w:rPr>
          <w:rFonts w:ascii="Myanmar Text" w:hAnsi="Myanmar Text" w:eastAsia="Myanmar Text" w:cs="Myanmar Text"/>
        </w:rPr>
        <w:t>အားထုတ်သော</w:t>
      </w:r>
      <w:r>
        <w:rPr>
          <w:rFonts w:ascii="Times New Roman" w:hAnsi="Times New Roman" w:eastAsia="Times New Roman" w:cs="Times New Roman"/>
        </w:rPr>
        <w:t xml:space="preserve"> </w:t>
      </w:r>
      <w:r>
        <w:rPr>
          <w:rFonts w:ascii="Myanmar Text" w:hAnsi="Myanmar Text" w:eastAsia="Myanmar Text" w:cs="Myanmar Text"/>
        </w:rPr>
        <w:t>ဆုတောင်းခြင်းဖြင့်</w:t>
      </w:r>
      <w:r>
        <w:rPr>
          <w:rFonts w:ascii="Times New Roman" w:hAnsi="Times New Roman" w:eastAsia="Times New Roman" w:cs="Times New Roman"/>
        </w:rPr>
        <w:t xml:space="preserve"> </w:t>
      </w:r>
      <w:r>
        <w:rPr>
          <w:rFonts w:ascii="Myanmar Text" w:hAnsi="Myanmar Text" w:eastAsia="Myanmar Text" w:cs="Myanmar Text"/>
        </w:rPr>
        <w:t>အရှင်ထံသို့</w:t>
      </w:r>
      <w:r>
        <w:rPr>
          <w:rFonts w:ascii="Times New Roman" w:hAnsi="Times New Roman" w:eastAsia="Times New Roman" w:cs="Times New Roman"/>
        </w:rPr>
        <w:t xml:space="preserve"> </w:t>
      </w:r>
      <w:r>
        <w:rPr>
          <w:rFonts w:ascii="Myanmar Text" w:hAnsi="Myanmar Text" w:eastAsia="Myanmar Text" w:cs="Myanmar Text"/>
        </w:rPr>
        <w:t>လာရောက်၍</w:t>
      </w:r>
      <w:r>
        <w:rPr>
          <w:rFonts w:ascii="Times New Roman" w:hAnsi="Times New Roman" w:eastAsia="Times New Roman" w:cs="Times New Roman"/>
        </w:rPr>
        <w:t xml:space="preserve"> </w:t>
      </w:r>
      <w:r>
        <w:rPr>
          <w:rFonts w:ascii="Myanmar Text" w:hAnsi="Myanmar Text" w:eastAsia="Myanmar Text" w:cs="Myanmar Text"/>
        </w:rPr>
        <w:t>အလင်းတရားကို</w:t>
      </w:r>
      <w:r>
        <w:rPr>
          <w:rFonts w:ascii="Times New Roman" w:hAnsi="Times New Roman" w:eastAsia="Times New Roman" w:cs="Times New Roman"/>
        </w:rPr>
        <w:t xml:space="preserve"> </w:t>
      </w:r>
      <w:r>
        <w:rPr>
          <w:rFonts w:ascii="Myanmar Text" w:hAnsi="Myanmar Text" w:eastAsia="Myanmar Text" w:cs="Myanmar Text"/>
        </w:rPr>
        <w:t>ရှာဖွေစဉ်က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ခြေထောက်များကို</w:t>
      </w:r>
      <w:r>
        <w:rPr>
          <w:rFonts w:ascii="Times New Roman" w:hAnsi="Times New Roman" w:eastAsia="Times New Roman" w:cs="Times New Roman"/>
        </w:rPr>
        <w:t xml:space="preserve"> </w:t>
      </w:r>
      <w:r>
        <w:rPr>
          <w:rFonts w:ascii="Myanmar Text" w:hAnsi="Myanmar Text" w:eastAsia="Myanmar Text" w:cs="Myanmar Text"/>
        </w:rPr>
        <w:t>တင်ထားတော်မူခဲ့သော</w:t>
      </w:r>
      <w:r>
        <w:rPr>
          <w:rFonts w:ascii="Times New Roman" w:hAnsi="Times New Roman" w:eastAsia="Times New Roman" w:cs="Times New Roman"/>
        </w:rPr>
        <w:t xml:space="preserve"> </w:t>
      </w:r>
      <w:r>
        <w:rPr>
          <w:rFonts w:ascii="Myanmar Text" w:hAnsi="Myanmar Text" w:eastAsia="Myanmar Text" w:cs="Myanmar Text"/>
        </w:rPr>
        <w:t>အခြေခံစင်မြင့်မှ</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ခြေများကို</w:t>
      </w:r>
      <w:r>
        <w:rPr>
          <w:rFonts w:ascii="Times New Roman" w:hAnsi="Times New Roman" w:eastAsia="Times New Roman" w:cs="Times New Roman"/>
        </w:rPr>
        <w:t xml:space="preserve"> </w:t>
      </w:r>
      <w:r>
        <w:rPr>
          <w:rFonts w:ascii="Myanmar Text" w:hAnsi="Myanmar Text" w:eastAsia="Myanmar Text" w:cs="Myanmar Text"/>
        </w:rPr>
        <w:t>ဖယ်ရှားမည်ဟု</w:t>
      </w:r>
      <w:r>
        <w:rPr>
          <w:rFonts w:ascii="Times New Roman" w:hAnsi="Times New Roman" w:eastAsia="Times New Roman" w:cs="Times New Roman"/>
        </w:rPr>
        <w:t xml:space="preserve"> </w:t>
      </w:r>
      <w:r>
        <w:rPr>
          <w:rFonts w:ascii="Myanmar Text" w:hAnsi="Myanmar Text" w:eastAsia="Myanmar Text" w:cs="Myanmar Text"/>
        </w:rPr>
        <w:t>မရည်ရွယ်ကြ။</w:t>
      </w:r>
      <w:r>
        <w:rPr>
          <w:rFonts w:ascii="Times New Roman" w:hAnsi="Times New Roman" w:eastAsia="Times New Roman" w:cs="Times New Roman"/>
        </w:rPr>
        <w:t xml:space="preserve"> </w:t>
      </w:r>
      <w:r>
        <w:rPr>
          <w:rFonts w:ascii="Myanmar Text" w:hAnsi="Myanmar Text" w:eastAsia="Myanmar Text" w:cs="Myanmar Text"/>
        </w:rPr>
        <w:t>ဘုရားသခင်က</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ပေးတော်မူသော</w:t>
      </w:r>
      <w:r>
        <w:rPr>
          <w:rFonts w:ascii="Times New Roman" w:hAnsi="Times New Roman" w:eastAsia="Times New Roman" w:cs="Times New Roman"/>
        </w:rPr>
        <w:t xml:space="preserve"> </w:t>
      </w:r>
      <w:r>
        <w:rPr>
          <w:rFonts w:ascii="Myanmar Text" w:hAnsi="Myanmar Text" w:eastAsia="Myanmar Text" w:cs="Myanmar Text"/>
        </w:rPr>
        <w:t>အလင်းတရားကို</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စွန့်လွှတ်နိုင်မည်ဟု</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ထင်သလော။</w:t>
      </w:r>
      <w:r>
        <w:rPr>
          <w:rFonts w:ascii="Times New Roman" w:hAnsi="Times New Roman" w:eastAsia="Times New Roman" w:cs="Times New Roman"/>
        </w:rPr>
        <w:t xml:space="preserve"> </w:t>
      </w:r>
      <w:r>
        <w:rPr>
          <w:rFonts w:ascii="Myanmar Text" w:hAnsi="Myanmar Text" w:eastAsia="Myanmar Text" w:cs="Myanmar Text"/>
        </w:rPr>
        <w:t>ထိုအလင်းတရားသည်</w:t>
      </w:r>
      <w:r>
        <w:rPr>
          <w:rFonts w:ascii="Times New Roman" w:hAnsi="Times New Roman" w:eastAsia="Times New Roman" w:cs="Times New Roman"/>
        </w:rPr>
        <w:t xml:space="preserve"> </w:t>
      </w:r>
      <w:r>
        <w:rPr>
          <w:rFonts w:ascii="Myanmar Text" w:hAnsi="Myanmar Text" w:eastAsia="Myanmar Text" w:cs="Myanmar Text"/>
        </w:rPr>
        <w:t>ခေတ်ကာလတို့၏</w:t>
      </w:r>
      <w:r>
        <w:rPr>
          <w:rFonts w:ascii="Times New Roman" w:hAnsi="Times New Roman" w:eastAsia="Times New Roman" w:cs="Times New Roman"/>
        </w:rPr>
        <w:t xml:space="preserve"> </w:t>
      </w:r>
      <w:r>
        <w:rPr>
          <w:rFonts w:ascii="Myanmar Text" w:hAnsi="Myanmar Text" w:eastAsia="Myanmar Text" w:cs="Myanmar Text"/>
        </w:rPr>
        <w:t>ကျောက်ဖြစ်ရမည်။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ပေးတော်မူခဲ့သည့်အချိန်မှစ၍</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ကျွန်ုပ်ကို</w:t>
      </w:r>
      <w:r>
        <w:rPr>
          <w:rFonts w:ascii="Times New Roman" w:hAnsi="Times New Roman" w:eastAsia="Times New Roman" w:cs="Times New Roman"/>
        </w:rPr>
        <w:t xml:space="preserve"> </w:t>
      </w:r>
      <w:r>
        <w:rPr>
          <w:rFonts w:ascii="Myanmar Text" w:hAnsi="Myanmar Text" w:eastAsia="Myanmar Text" w:cs="Myanmar Text"/>
        </w:rPr>
        <w:t>လမ်းညွှန်ပေးလျက်ရှိသည်။</w:t>
      </w:r>
      <w:r>
        <w:rPr>
          <w:rFonts w:ascii="Times New Roman" w:hAnsi="Times New Roman" w:eastAsia="Times New Roman" w:cs="Times New Roman"/>
        </w:rPr>
        <w:t>” Review and Herald, April 14, 1903.</w:t>
      </w:r>
    </w:p>
    <w:p>
      <w:pPr>
        <w:pStyle w:val="ArticleBody"/>
        <w:jc w:val="left"/>
      </w:pP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ꯃꯤꯂꯂꯔꯥꯏꯠ</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ꯄ꯭ꯔꯣꯐꯦꯁꯤꯁꯤꯡ</w:t>
      </w:r>
      <w:r>
        <w:rPr>
          <w:rFonts w:ascii="Times New Roman" w:hAnsi="Times New Roman" w:eastAsia="Times New Roman" w:cs="Times New Roman"/>
        </w:rPr>
        <w:t xml:space="preserve"> </w:t>
      </w:r>
      <w:r>
        <w:rPr>
          <w:rFonts w:ascii="Nirmala UI" w:hAnsi="Nirmala UI" w:eastAsia="Nirmala UI" w:cs="Nirmala UI"/>
        </w:rPr>
        <w:t>ꯇꯥꯛꯄꯗ</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ꯇꯥꯔꯅꯕ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ꯄ꯭ꯔꯣꯐꯦꯁꯤꯁꯤꯡꯅ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ꯄꯨꯡꯁꯤꯡ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ꯌꯦꯡꯂꯒ</w:t>
      </w:r>
      <w:r>
        <w:rPr>
          <w:rFonts w:ascii="Times New Roman" w:hAnsi="Times New Roman" w:eastAsia="Times New Roman" w:cs="Times New Roman"/>
        </w:rPr>
        <w:t xml:space="preserve"> </w:t>
      </w:r>
      <w:r>
        <w:rPr>
          <w:rFonts w:ascii="Nirmala UI" w:hAnsi="Nirmala UI" w:eastAsia="Nirmala UI" w:cs="Nirmala UI"/>
        </w:rPr>
        <w:t>ꯂꯧꯁꯤꯟꯕꯒꯤ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ꯆꯪꯉꯥꯏ।</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ꯊꯕꯛꯁꯤꯡ</w:t>
      </w:r>
      <w:r>
        <w:rPr>
          <w:rFonts w:ascii="Times New Roman" w:hAnsi="Times New Roman" w:eastAsia="Times New Roman" w:cs="Times New Roman"/>
        </w:rPr>
        <w:t xml:space="preserve"> </w:t>
      </w:r>
      <w:r>
        <w:rPr>
          <w:rFonts w:ascii="Nirmala UI" w:hAnsi="Nirmala UI" w:eastAsia="Nirmala UI" w:cs="Nirmala UI"/>
        </w:rPr>
        <w:t>ꯎꯠꯂꯤꯕꯒꯤ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ꯃꯍꯨꯠ</w:t>
      </w:r>
      <w:r>
        <w:rPr>
          <w:rFonts w:ascii="Times New Roman" w:hAnsi="Times New Roman" w:eastAsia="Times New Roman" w:cs="Times New Roman"/>
        </w:rPr>
        <w:t xml:space="preserve"> </w:t>
      </w:r>
      <w:r>
        <w:rPr>
          <w:rFonts w:ascii="Nirmala UI" w:hAnsi="Nirmala UI" w:eastAsia="Nirmala UI" w:cs="Nirmala UI"/>
        </w:rPr>
        <w:t>ꯁꯤꯟꯅꯩ।</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ꯃꯤꯂꯂꯔꯥꯏꯠꯁꯤꯡꯅ</w:t>
      </w:r>
      <w:r>
        <w:rPr>
          <w:rFonts w:ascii="Times New Roman" w:hAnsi="Times New Roman" w:eastAsia="Times New Roman" w:cs="Times New Roman"/>
        </w:rPr>
        <w:t xml:space="preserve"> </w:t>
      </w:r>
      <w:r>
        <w:rPr>
          <w:rFonts w:ascii="Nirmala UI" w:hAnsi="Nirmala UI" w:eastAsia="Nirmala UI" w:cs="Nirmala UI"/>
        </w:rPr>
        <w:t>ꯕꯥꯏꯕꯦꯜꯗꯒꯤ</w:t>
      </w:r>
      <w:r>
        <w:rPr>
          <w:rFonts w:ascii="Times New Roman" w:hAnsi="Times New Roman" w:eastAsia="Times New Roman" w:cs="Times New Roman"/>
        </w:rPr>
        <w:t xml:space="preserve"> </w:t>
      </w:r>
      <w:r>
        <w:rPr>
          <w:rFonts w:ascii="Nirmala UI" w:hAnsi="Nirmala UI" w:eastAsia="Nirmala UI" w:cs="Nirmala UI"/>
        </w:rPr>
        <w:t>ꯈꯪꯗꯣꯛꯄ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ꯔꯦꯀꯣꯔꯗꯅ</w:t>
      </w:r>
      <w:r>
        <w:rPr>
          <w:rFonts w:ascii="Times New Roman" w:hAnsi="Times New Roman" w:eastAsia="Times New Roman" w:cs="Times New Roman"/>
        </w:rPr>
        <w:t xml:space="preserve"> </w:t>
      </w:r>
      <w:r>
        <w:rPr>
          <w:rFonts w:ascii="Nirmala UI" w:hAnsi="Nirmala UI" w:eastAsia="Nirmala UI" w:cs="Nirmala UI"/>
        </w:rPr>
        <w:t>ꯄꯨꯁꯤꯟꯕ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ꯄꯨꯡꯁꯤꯡ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ꯏꯕꯦꯝꯃꯥ</w:t>
      </w:r>
      <w:r>
        <w:rPr>
          <w:rFonts w:ascii="Times New Roman" w:hAnsi="Times New Roman" w:eastAsia="Times New Roman" w:cs="Times New Roman"/>
        </w:rPr>
        <w:t xml:space="preserve"> </w:t>
      </w:r>
      <w:r>
        <w:rPr>
          <w:rFonts w:ascii="Nirmala UI" w:hAnsi="Nirmala UI" w:eastAsia="Nirmala UI" w:cs="Nirmala UI"/>
        </w:rPr>
        <w:t>ꯈꯟꯕꯒꯤ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ꯑꯍꯥꯅꯕ</w:t>
      </w:r>
      <w:r>
        <w:rPr>
          <w:rFonts w:ascii="Times New Roman" w:hAnsi="Times New Roman" w:eastAsia="Times New Roman" w:cs="Times New Roman"/>
        </w:rPr>
        <w:t xml:space="preserve"> </w:t>
      </w:r>
      <w:r>
        <w:rPr>
          <w:rFonts w:ascii="Nirmala UI" w:hAnsi="Nirmala UI" w:eastAsia="Nirmala UI" w:cs="Nirmala UI"/>
        </w:rPr>
        <w:t>ꯍꯤꯁꯇꯣꯔꯤꯅ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ꯍꯤꯁꯇꯣꯔꯤꯗ</w:t>
      </w:r>
      <w:r>
        <w:rPr>
          <w:rFonts w:ascii="Times New Roman" w:hAnsi="Times New Roman" w:eastAsia="Times New Roman" w:cs="Times New Roman"/>
        </w:rPr>
        <w:t xml:space="preserve"> </w:t>
      </w:r>
      <w:r>
        <w:rPr>
          <w:rFonts w:ascii="Nirmala UI" w:hAnsi="Nirmala UI" w:eastAsia="Nirmala UI" w:cs="Nirmala UI"/>
        </w:rPr>
        <w:t>ꯃꯪꯍꯜ</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ꯇꯥꯛꯂꯤꯕ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ꯈꯪꯕꯒꯤ</w:t>
      </w:r>
      <w:r>
        <w:rPr>
          <w:rFonts w:ascii="Times New Roman" w:hAnsi="Times New Roman" w:eastAsia="Times New Roman" w:cs="Times New Roman"/>
        </w:rPr>
        <w:t xml:space="preserve"> </w:t>
      </w:r>
      <w:r>
        <w:rPr>
          <w:rFonts w:ascii="Nirmala UI" w:hAnsi="Nirmala UI" w:eastAsia="Nirmala UI" w:cs="Nirmala UI"/>
        </w:rPr>
        <w:t>ꯐꯪꯐꯝꯗ</w:t>
      </w:r>
      <w:r>
        <w:rPr>
          <w:rFonts w:ascii="Times New Roman" w:hAnsi="Times New Roman" w:eastAsia="Times New Roman" w:cs="Times New Roman"/>
        </w:rPr>
        <w:t xml:space="preserve"> </w:t>
      </w:r>
      <w:r>
        <w:rPr>
          <w:rFonts w:ascii="Nirmala UI" w:hAnsi="Nirmala UI" w:eastAsia="Nirmala UI" w:cs="Nirmala UI"/>
        </w:rPr>
        <w:t>ꯂꯩꯔꯣꯏ।</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ꯌꯦꯡꯕꯒꯤ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ꯑꯁꯤꯗꯒꯤ</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ꯃꯍꯩ</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ꯇꯝꯗꯕ</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ꯖꯤꯁꯁꯅ</w:t>
      </w:r>
      <w:r>
        <w:rPr>
          <w:rFonts w:ascii="Times New Roman" w:hAnsi="Times New Roman" w:eastAsia="Times New Roman" w:cs="Times New Roman"/>
        </w:rPr>
        <w:t xml:space="preserve"> </w:t>
      </w:r>
      <w:r>
        <w:rPr>
          <w:rFonts w:ascii="Nirmala UI" w:hAnsi="Nirmala UI" w:eastAsia="Nirmala UI" w:cs="Nirmala UI"/>
        </w:rPr>
        <w:t>ꯑꯍꯥꯅꯕꯅ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ꯑꯁꯤꯁꯨ</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ꯇꯥꯕꯅꯤ।</w:t>
      </w:r>
    </w:p>
    <w:p>
      <w:pPr>
        <w:pStyle w:val="ArticleBody"/>
        <w:jc w:val="left"/>
      </w:pPr>
      <w:r>
        <w:rPr>
          <w:rFonts w:ascii="Times New Roman" w:hAnsi="Times New Roman" w:eastAsia="Times New Roman" w:cs="Times New Roman"/>
        </w:rPr>
        <w:t>ꞌAajóolal tu yóokꞌol u kꞌáat chiꞌibalilil tꞌaanil u tsolik u xuulsaj yóokꞌol kaab bey “u meyajil junpꞌéel templo”, le máakoꞌob ku kaxtik u nuꞌukul le tꞌaaniloꞌob kꞌabet u yojeltiꞌob yaan jun tuukul tu xuul, jun pꞌéel tunich tu paachil, le ku tsꞌáabal yéetel le templo jeꞌel tsꞌoꞌokol tiꞌ le cimiento. Kꞌabet u naꞌatik ka le cimientoil templo, le baꞌax Miller tu yilaꞌat tiꞌob, (le ku yaantal u wojelil Jesucristo, tumen mixbaꞌaꞌ u yáanal cimiento maꞌ tuꞌux Jesús Cristo), hach jun cimiento meyajnaj tu yóokꞌol kꞌinam tꞌaanilil. Tumen Jesús ku yeꞌesik le xuul yéetel le káajal, le máax ku kaxtik u nuꞌukul le tꞌaaniloꞌob kꞌabet xan u yil ka le tunich tu xuul, le última tunich tiꞌ le templo, kꞌabet u páajtal u tsꞌáaik junpꞌéel suukil yéetel le cimiento. Tiꞌ Miller, u cimientoil le templooꞌ tu yóokꞌol kꞌinam tꞌaanilil, baꞌaleꞌ mixbaꞌaꞌ u jach cimiento maꞌ tuꞌux Jesucristo.</w:t>
      </w:r>
    </w:p>
    <w:p>
      <w:pPr>
        <w:pStyle w:val="ArticleScripture"/>
        <w:jc w:val="left"/>
      </w:pPr>
      <w:r>
        <w:rPr>
          <w:rFonts w:ascii="Times New Roman" w:hAnsi="Times New Roman" w:eastAsia="Times New Roman" w:cs="Times New Roman"/>
        </w:rPr>
        <w:t>Asew Onyankopɔn adom a wɔde ama me no, me de, sɛ odwumayɛni nyansafo a osi fapem no, masi fapem no, na obi foforo resi so. Na ma obiara nhwɛ yiye sɛnea osi no so. Na obiara rentumi nsi fapem foforo biara nka nea wɔasi dedaw no ho, a ɛno ne Yesu Kristo. 1 Korintofo 3:10, 11.</w:t>
      </w:r>
    </w:p>
    <w:p>
      <w:pPr>
        <w:pStyle w:val="ArticleBody"/>
        <w:jc w:val="left"/>
      </w:pPr>
      <w:r>
        <w:rPr>
          <w:rFonts w:ascii="Times New Roman" w:hAnsi="Times New Roman" w:eastAsia="Times New Roman" w:cs="Times New Roman"/>
        </w:rPr>
        <w:t>Paul ruranakapaqmi riqsichin imayna ruwasqanqa huk templota sayachiy kasqanta, chaypa cimientonta icha qallariyninta pay churarisqanta. Payqa gentilkunapa apóstolnin karqanmi, hinaspataq paywanmi cristiano iglesiapa cimienton churakurarqan. Chay kikin pasajepinmi Pabloqa sut’incharin, ñuqanchikpa cuerpokunaqa Espíritu Santopa templon kasqanta. Kananqa kashanmi Salomonpa templo, hinaspataq chunlla puriy pacha santuario, llapankupas cimientoyuq, chay cimientokunaqa llapallankupas Jesucristo hina rikuchisqa kanku. Millerwan sayachisqa cimientoqa Adventismopa templon karqanmi, chay templopa cimientonpas mana iskayrayaypaqmi Jesucristo; ichaqa aswan sut’itaqa chay temploqa sayachisqa kashan yuyaymanta hinaspa proféticomanta materialkunawan.</w:t>
      </w:r>
    </w:p>
    <w:p>
      <w:pPr>
        <w:pStyle w:val="ArticleBody"/>
        <w:jc w:val="left"/>
      </w:pPr>
      <w:r>
        <w:rPr>
          <w:rFonts w:ascii="Nirmala UI" w:hAnsi="Nirmala UI" w:eastAsia="Nirmala UI" w:cs="Nirmala UI"/>
        </w:rPr>
        <w:t>अतएव</w:t>
      </w:r>
      <w:r>
        <w:rPr>
          <w:rFonts w:ascii="Times New Roman" w:hAnsi="Times New Roman" w:eastAsia="Times New Roman" w:cs="Times New Roman"/>
        </w:rPr>
        <w:t xml:space="preserve"> </w:t>
      </w:r>
      <w:r>
        <w:rPr>
          <w:rFonts w:ascii="Nirmala UI" w:hAnsi="Nirmala UI" w:eastAsia="Nirmala UI" w:cs="Nirmala UI"/>
        </w:rPr>
        <w:t>शीर्षशिला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शीर्षशिला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मिलरवादियों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निःसन्देह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2 Tesalonicensespe, qhawakuna mana salvakuyta taripakunanpaq cheqaq kayta munasqankuta chaskirqanchu, chayrayku cheqaq kayta qhipaman saqerqanku, griego simipi nisqa rimaywan rikuchisqa kasqanta, hebreo simipi kimsa letrawan kamasqa simimanta hamuqta, chaymi Antiguo Testamentope “cheqaq kay” nispa tikrasqa. Chay aylluqmi hatun pantayman entregasqa karqan, llullata creenankurayku; paykunaqa mana munarqankuchu kutiyta ñawpaq ñankunaman, Adventismompa cimientonkunaman, iskay sagrado grafikokunapi rikuchisqa hina. Chaymi, kay p’unchaykama unaymanta yuyaychasqanchis pasajepi nin:</w:t>
      </w:r>
    </w:p>
    <w:p>
      <w:pPr>
        <w:pStyle w:val="ArticleScripture"/>
        <w:jc w:val="left"/>
      </w:pPr>
      <w:r>
        <w:rPr>
          <w:rFonts w:ascii="Times New Roman" w:hAnsi="Times New Roman" w:eastAsia="Times New Roman" w:cs="Times New Roman"/>
        </w:rPr>
        <w:t>«</w:t>
      </w:r>
      <w:r>
        <w:rPr>
          <w:rFonts w:ascii="Ebrima" w:hAnsi="Ebrima" w:eastAsia="Ebrima" w:cs="Ebrima"/>
        </w:rPr>
        <w:t>ዮሐንስን</w:t>
      </w:r>
      <w:r>
        <w:rPr>
          <w:rFonts w:ascii="Times New Roman" w:hAnsi="Times New Roman" w:eastAsia="Times New Roman" w:cs="Times New Roman"/>
        </w:rPr>
        <w:t xml:space="preserve"> </w:t>
      </w:r>
      <w:r>
        <w:rPr>
          <w:rFonts w:ascii="Ebrima" w:hAnsi="Ebrima" w:eastAsia="Ebrima" w:cs="Ebrima"/>
        </w:rPr>
        <w:t>ያስተማረው</w:t>
      </w:r>
      <w:r>
        <w:rPr>
          <w:rFonts w:ascii="Times New Roman" w:hAnsi="Times New Roman" w:eastAsia="Times New Roman" w:cs="Times New Roman"/>
        </w:rPr>
        <w:t xml:space="preserve"> </w:t>
      </w:r>
      <w:r>
        <w:rPr>
          <w:rFonts w:ascii="Ebrima" w:hAnsi="Ebrima" w:eastAsia="Ebrima" w:cs="Ebrima"/>
        </w:rPr>
        <w:t>ኃያሉ</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ከኢየሱስ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ያነሰ</w:t>
      </w:r>
      <w:r>
        <w:rPr>
          <w:rFonts w:ascii="Times New Roman" w:hAnsi="Times New Roman" w:eastAsia="Times New Roman" w:cs="Times New Roman"/>
        </w:rPr>
        <w:t xml:space="preserve"> </w:t>
      </w:r>
      <w:r>
        <w:rPr>
          <w:rFonts w:ascii="Ebrima" w:hAnsi="Ebrima" w:eastAsia="Ebrima" w:cs="Ebrima"/>
        </w:rPr>
        <w:t>ማንነት</w:t>
      </w:r>
      <w:r>
        <w:rPr>
          <w:rFonts w:ascii="Times New Roman" w:hAnsi="Times New Roman" w:eastAsia="Times New Roman" w:cs="Times New Roman"/>
        </w:rPr>
        <w:t xml:space="preserve"> </w:t>
      </w:r>
      <w:r>
        <w:rPr>
          <w:rFonts w:ascii="Ebrima" w:hAnsi="Ebrima" w:eastAsia="Ebrima" w:cs="Ebrima"/>
        </w:rPr>
        <w:t>አልነበረም።</w:t>
      </w:r>
      <w:r>
        <w:rPr>
          <w:rFonts w:ascii="Times New Roman" w:hAnsi="Times New Roman" w:eastAsia="Times New Roman" w:cs="Times New Roman"/>
        </w:rPr>
        <w:t xml:space="preserve"> </w:t>
      </w:r>
      <w:r>
        <w:rPr>
          <w:rFonts w:ascii="Ebrima" w:hAnsi="Ebrima" w:eastAsia="Ebrima" w:cs="Ebrima"/>
        </w:rPr>
        <w:t>ቀኝ</w:t>
      </w:r>
      <w:r>
        <w:rPr>
          <w:rFonts w:ascii="Times New Roman" w:hAnsi="Times New Roman" w:eastAsia="Times New Roman" w:cs="Times New Roman"/>
        </w:rPr>
        <w:t xml:space="preserve"> </w:t>
      </w:r>
      <w:r>
        <w:rPr>
          <w:rFonts w:ascii="Ebrima" w:hAnsi="Ebrima" w:eastAsia="Ebrima" w:cs="Ebrima"/>
        </w:rPr>
        <w:t>እግሩን</w:t>
      </w:r>
      <w:r>
        <w:rPr>
          <w:rFonts w:ascii="Times New Roman" w:hAnsi="Times New Roman" w:eastAsia="Times New Roman" w:cs="Times New Roman"/>
        </w:rPr>
        <w:t xml:space="preserve"> </w:t>
      </w:r>
      <w:r>
        <w:rPr>
          <w:rFonts w:ascii="Ebrima" w:hAnsi="Ebrima" w:eastAsia="Ebrima" w:cs="Ebrima"/>
        </w:rPr>
        <w:t>በባሕር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ግራውንም</w:t>
      </w:r>
      <w:r>
        <w:rPr>
          <w:rFonts w:ascii="Times New Roman" w:hAnsi="Times New Roman" w:eastAsia="Times New Roman" w:cs="Times New Roman"/>
        </w:rPr>
        <w:t xml:space="preserve"> </w:t>
      </w:r>
      <w:r>
        <w:rPr>
          <w:rFonts w:ascii="Ebrima" w:hAnsi="Ebrima" w:eastAsia="Ebrima" w:cs="Ebrima"/>
        </w:rPr>
        <w:t>በየብስ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መቆሙ፣</w:t>
      </w:r>
      <w:r>
        <w:rPr>
          <w:rFonts w:ascii="Times New Roman" w:hAnsi="Times New Roman" w:eastAsia="Times New Roman" w:cs="Times New Roman"/>
        </w:rPr>
        <w:t xml:space="preserve"> </w:t>
      </w:r>
      <w:r>
        <w:rPr>
          <w:rFonts w:ascii="Ebrima" w:hAnsi="Ebrima" w:eastAsia="Ebrima" w:cs="Ebrima"/>
        </w:rPr>
        <w:t>ከሰይጣን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ተጋድሎ</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ትዕይንቶች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የሚፈጽመውን</w:t>
      </w:r>
      <w:r>
        <w:rPr>
          <w:rFonts w:ascii="Times New Roman" w:hAnsi="Times New Roman" w:eastAsia="Times New Roman" w:cs="Times New Roman"/>
        </w:rPr>
        <w:t xml:space="preserve"> </w:t>
      </w:r>
      <w:r>
        <w:rPr>
          <w:rFonts w:ascii="Ebrima" w:hAnsi="Ebrima" w:eastAsia="Ebrima" w:cs="Ebrima"/>
        </w:rPr>
        <w:t>ሚና</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አቋም</w:t>
      </w:r>
      <w:r>
        <w:rPr>
          <w:rFonts w:ascii="Times New Roman" w:hAnsi="Times New Roman" w:eastAsia="Times New Roman" w:cs="Times New Roman"/>
        </w:rPr>
        <w:t xml:space="preserve"> </w:t>
      </w:r>
      <w:r>
        <w:rPr>
          <w:rFonts w:ascii="Ebrima" w:hAnsi="Ebrima" w:eastAsia="Ebrima" w:cs="Ebrima"/>
        </w:rPr>
        <w:t>በመላው</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ልዑል</w:t>
      </w:r>
      <w:r>
        <w:rPr>
          <w:rFonts w:ascii="Times New Roman" w:hAnsi="Times New Roman" w:eastAsia="Times New Roman" w:cs="Times New Roman"/>
        </w:rPr>
        <w:t xml:space="preserve"> </w:t>
      </w:r>
      <w:r>
        <w:rPr>
          <w:rFonts w:ascii="Ebrima" w:hAnsi="Ebrima" w:eastAsia="Ebrima" w:cs="Ebrima"/>
        </w:rPr>
        <w:t>ኃይሉንና</w:t>
      </w:r>
      <w:r>
        <w:rPr>
          <w:rFonts w:ascii="Times New Roman" w:hAnsi="Times New Roman" w:eastAsia="Times New Roman" w:cs="Times New Roman"/>
        </w:rPr>
        <w:t xml:space="preserve"> </w:t>
      </w:r>
      <w:r>
        <w:rPr>
          <w:rFonts w:ascii="Ebrima" w:hAnsi="Ebrima" w:eastAsia="Ebrima" w:cs="Ebrima"/>
        </w:rPr>
        <w:t>ሥልጣኑን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ተጋድሎው</w:t>
      </w:r>
      <w:r>
        <w:rPr>
          <w:rFonts w:ascii="Times New Roman" w:hAnsi="Times New Roman" w:eastAsia="Times New Roman" w:cs="Times New Roman"/>
        </w:rPr>
        <w:t xml:space="preserve"> </w:t>
      </w:r>
      <w:r>
        <w:rPr>
          <w:rFonts w:ascii="Ebrima" w:hAnsi="Ebrima" w:eastAsia="Ebrima" w:cs="Ebrima"/>
        </w:rPr>
        <w:t>ከዘመን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እየበረታ</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እየቆረጠ</w:t>
      </w:r>
      <w:r>
        <w:rPr>
          <w:rFonts w:ascii="Times New Roman" w:hAnsi="Times New Roman" w:eastAsia="Times New Roman" w:cs="Times New Roman"/>
        </w:rPr>
        <w:t xml:space="preserve"> </w:t>
      </w:r>
      <w:r>
        <w:rPr>
          <w:rFonts w:ascii="Ebrima" w:hAnsi="Ebrima" w:eastAsia="Ebrima" w:cs="Ebrima"/>
        </w:rPr>
        <w:t>መጥቶአል፤</w:t>
      </w:r>
      <w:r>
        <w:rPr>
          <w:rFonts w:ascii="Times New Roman" w:hAnsi="Times New Roman" w:eastAsia="Times New Roman" w:cs="Times New Roman"/>
        </w:rPr>
        <w:t xml:space="preserve"> </w:t>
      </w:r>
      <w:r>
        <w:rPr>
          <w:rFonts w:ascii="Ebrima" w:hAnsi="Ebrima" w:eastAsia="Ebrima" w:cs="Ebrima"/>
        </w:rPr>
        <w:t>የጨለማ</w:t>
      </w:r>
      <w:r>
        <w:rPr>
          <w:rFonts w:ascii="Times New Roman" w:hAnsi="Times New Roman" w:eastAsia="Times New Roman" w:cs="Times New Roman"/>
        </w:rPr>
        <w:t xml:space="preserve"> </w:t>
      </w:r>
      <w:r>
        <w:rPr>
          <w:rFonts w:ascii="Ebrima" w:hAnsi="Ebrima" w:eastAsia="Ebrima" w:cs="Ebrima"/>
        </w:rPr>
        <w:t>ኃይሎችም</w:t>
      </w:r>
      <w:r>
        <w:rPr>
          <w:rFonts w:ascii="Times New Roman" w:hAnsi="Times New Roman" w:eastAsia="Times New Roman" w:cs="Times New Roman"/>
        </w:rPr>
        <w:t xml:space="preserve"> </w:t>
      </w:r>
      <w:r>
        <w:rPr>
          <w:rFonts w:ascii="Ebrima" w:hAnsi="Ebrima" w:eastAsia="Ebrima" w:cs="Ebrima"/>
        </w:rPr>
        <w:t>በብልሃት</w:t>
      </w:r>
      <w:r>
        <w:rPr>
          <w:rFonts w:ascii="Times New Roman" w:hAnsi="Times New Roman" w:eastAsia="Times New Roman" w:cs="Times New Roman"/>
        </w:rPr>
        <w:t xml:space="preserve"> </w:t>
      </w:r>
      <w:r>
        <w:rPr>
          <w:rFonts w:ascii="Ebrima" w:hAnsi="Ebrima" w:eastAsia="Ebrima" w:cs="Ebrima"/>
        </w:rPr>
        <w:t>የሚሠሩት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ከፍታውን</w:t>
      </w:r>
      <w:r>
        <w:rPr>
          <w:rFonts w:ascii="Times New Roman" w:hAnsi="Times New Roman" w:eastAsia="Times New Roman" w:cs="Times New Roman"/>
        </w:rPr>
        <w:t xml:space="preserve"> </w:t>
      </w:r>
      <w:r>
        <w:rPr>
          <w:rFonts w:ascii="Ebrima" w:hAnsi="Ebrima" w:eastAsia="Ebrima" w:cs="Ebrima"/>
        </w:rPr>
        <w:t>እስኪደርስ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መደምደሚያው</w:t>
      </w:r>
      <w:r>
        <w:rPr>
          <w:rFonts w:ascii="Times New Roman" w:hAnsi="Times New Roman" w:eastAsia="Times New Roman" w:cs="Times New Roman"/>
        </w:rPr>
        <w:t xml:space="preserve"> </w:t>
      </w:r>
      <w:r>
        <w:rPr>
          <w:rFonts w:ascii="Ebrima" w:hAnsi="Ebrima" w:eastAsia="Ebrima" w:cs="Ebrima"/>
        </w:rPr>
        <w:t>ትዕይንቶች</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ይቀጥላል።</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ከክፉ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ተባብሮ፣</w:t>
      </w:r>
      <w:r>
        <w:rPr>
          <w:rFonts w:ascii="Times New Roman" w:hAnsi="Times New Roman" w:eastAsia="Times New Roman" w:cs="Times New Roman"/>
        </w:rPr>
        <w:t xml:space="preserve"> </w:t>
      </w:r>
      <w:r>
        <w:rPr>
          <w:rFonts w:ascii="Ebrima" w:hAnsi="Ebrima" w:eastAsia="Ebrima" w:cs="Ebrima"/>
        </w:rPr>
        <w:t>የእውነትን</w:t>
      </w:r>
      <w:r>
        <w:rPr>
          <w:rFonts w:ascii="Times New Roman" w:hAnsi="Times New Roman" w:eastAsia="Times New Roman" w:cs="Times New Roman"/>
        </w:rPr>
        <w:t xml:space="preserve"> </w:t>
      </w:r>
      <w:r>
        <w:rPr>
          <w:rFonts w:ascii="Ebrima" w:hAnsi="Ebrima" w:eastAsia="Ebrima" w:cs="Ebrima"/>
        </w:rPr>
        <w:t>ፍቅር</w:t>
      </w:r>
      <w:r>
        <w:rPr>
          <w:rFonts w:ascii="Times New Roman" w:hAnsi="Times New Roman" w:eastAsia="Times New Roman" w:cs="Times New Roman"/>
        </w:rPr>
        <w:t xml:space="preserve"> </w:t>
      </w:r>
      <w:r>
        <w:rPr>
          <w:rFonts w:ascii="Ebrima" w:hAnsi="Ebrima" w:eastAsia="Ebrima" w:cs="Ebrima"/>
        </w:rPr>
        <w:t>ያልተቀበሉትን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ክርስቲያናትና</w:t>
      </w:r>
      <w:r>
        <w:rPr>
          <w:rFonts w:ascii="Times New Roman" w:hAnsi="Times New Roman" w:eastAsia="Times New Roman" w:cs="Times New Roman"/>
        </w:rPr>
        <w:t xml:space="preserve"> </w:t>
      </w:r>
      <w:r>
        <w:rPr>
          <w:rFonts w:ascii="Ebrima" w:hAnsi="Ebrima" w:eastAsia="Ebrima" w:cs="Ebrima"/>
        </w:rPr>
        <w:t>መላውን</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ያታልላል።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ኃያሉ</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ትኩረትን</w:t>
      </w:r>
      <w:r>
        <w:rPr>
          <w:rFonts w:ascii="Times New Roman" w:hAnsi="Times New Roman" w:eastAsia="Times New Roman" w:cs="Times New Roman"/>
        </w:rPr>
        <w:t xml:space="preserve"> </w:t>
      </w:r>
      <w:r>
        <w:rPr>
          <w:rFonts w:ascii="Ebrima" w:hAnsi="Ebrima" w:eastAsia="Ebrima" w:cs="Ebrima"/>
        </w:rPr>
        <w:t>ይጠይቃል።</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ይጮኻል።</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ለመቃወም</w:t>
      </w:r>
      <w:r>
        <w:rPr>
          <w:rFonts w:ascii="Times New Roman" w:hAnsi="Times New Roman" w:eastAsia="Times New Roman" w:cs="Times New Roman"/>
        </w:rPr>
        <w:t xml:space="preserve"> </w:t>
      </w:r>
      <w:r>
        <w:rPr>
          <w:rFonts w:ascii="Ebrima" w:hAnsi="Ebrima" w:eastAsia="Ebrima" w:cs="Ebrima"/>
        </w:rPr>
        <w:t>ከሰይጣን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ለተባበሩት</w:t>
      </w:r>
      <w:r>
        <w:rPr>
          <w:rFonts w:ascii="Times New Roman" w:hAnsi="Times New Roman" w:eastAsia="Times New Roman" w:cs="Times New Roman"/>
        </w:rPr>
        <w:t xml:space="preserve"> </w:t>
      </w:r>
      <w:r>
        <w:rPr>
          <w:rFonts w:ascii="Ebrima" w:hAnsi="Ebrima" w:eastAsia="Ebrima" w:cs="Ebrima"/>
        </w:rPr>
        <w:t>የድምፁን</w:t>
      </w:r>
      <w:r>
        <w:rPr>
          <w:rFonts w:ascii="Times New Roman" w:hAnsi="Times New Roman" w:eastAsia="Times New Roman" w:cs="Times New Roman"/>
        </w:rPr>
        <w:t xml:space="preserve"> </w:t>
      </w:r>
      <w:r>
        <w:rPr>
          <w:rFonts w:ascii="Ebrima" w:hAnsi="Ebrima" w:eastAsia="Ebrima" w:cs="Ebrima"/>
        </w:rPr>
        <w:t>ኃይልና</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ሊያሳይ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The Seventh-day Adventist Bible Commentary, volume 7, 971.</w:t>
      </w:r>
    </w:p>
    <w:p>
      <w:pPr>
        <w:pStyle w:val="ArticleBody"/>
        <w:jc w:val="left"/>
      </w:pPr>
      <w:r>
        <w:rPr>
          <w:rFonts w:ascii="Times New Roman" w:hAnsi="Times New Roman" w:eastAsia="Times New Roman" w:cs="Times New Roman"/>
        </w:rPr>
        <w:t>Na qayb a ñawpa kaqpi “chiqaqpa munayninta mana chaskiq iglesiakunaqa” Danielpa, Mateo-pa mana alli, mana yuyaysapa vírgenesninkunam, paykunataq Amos 8:12 nisqanpi riqsichin, Diospa tukuy qhepa willakuyninta maskayta qallarisqankuta, ichaqa ñam qhipa kaptin. Qhipam, imaraykuchus Adventismopa cimientonkunamanta huk llullata creenqaku. Adventismoqa ñawpaqta chay llullaman ukyayta qallarin 1863 watapi, chaymanta pachaqa llapan ñan urayman urmayllaña karqa.</w:t>
      </w:r>
    </w:p>
    <w:p>
      <w:pPr>
        <w:pStyle w:val="ArticleBody"/>
        <w:jc w:val="left"/>
      </w:pPr>
      <w:r>
        <w:rPr>
          <w:rFonts w:ascii="Times New Roman" w:hAnsi="Times New Roman" w:eastAsia="Times New Roman" w:cs="Times New Roman"/>
        </w:rPr>
        <w:t>Anañchata qillqañäjja taqpachat sipansa nayan amuyujamarjamakiwa, ukampis ¿kuna machaq profético qhananchaña Adventismo taypiru apaniwayi 1863 maratpacha? Ellen White jupax Jones ukat Waggoner chachanakan 1888 maran apapkäna uka yatiyäwit sasinwa, ukax jupax walja maranakaw yatiyaskäna uka yatiyäwïna. Jupanakan yatiyäwipax inas 1888 maran Adventismo taypin machaqäkaspa ukat muspharkañäkaspa, ukampis uka machaqäñasa ukat uka muspharañasa janiw machaq yatiyäwit jutkänti, jan ukasti mä juykhutañat jutäna, uka juykhutañax 1863 maratpachaw Diosan markaparux apnaqasiñ qalltäna.</w:t>
      </w:r>
    </w:p>
    <w:p>
      <w:pPr>
        <w:pStyle w:val="ArticleBody"/>
        <w:jc w:val="left"/>
      </w:pPr>
      <w:r>
        <w:rPr>
          <w:rFonts w:ascii="Times New Roman" w:hAnsi="Times New Roman" w:eastAsia="Times New Roman" w:cs="Times New Roman"/>
        </w:rPr>
        <w:t>Ellen White 1863 سے پہلے ایڈونٹزم کو لاؤدیقیہ کی حالت میں قرار دے چکی تھیں، اس لیے لاؤدیقیہ کی اندھی پن 1863 سے پہلے ہی ایڈونٹزم پر چھا رہی تھی؛ لیکن 1863 میں کلیسیا نے باضابطہ طور پر احبار چھبیس کے “سات زمانوں” سے متعلق اُس سچائی کو ایک طرف رکھ دیا، جو وہ بالکل پہلی “زمانی نبوت” تھی جسے Miller نے دریافت کیا تھا۔ 1863 کے بعد سے ایڈونٹزم میں کوئی نبوی روشنی ظاہر نہیں ہوئی! کیا بدلا؟</w:t>
      </w:r>
    </w:p>
    <w:p>
      <w:pPr>
        <w:pStyle w:val="ArticleBody"/>
        <w:jc w:val="left"/>
      </w:pPr>
      <w:r>
        <w:rPr>
          <w:rFonts w:ascii="Nirmala UI" w:hAnsi="Nirmala UI" w:eastAsia="Nirmala UI" w:cs="Nirmala UI"/>
        </w:rPr>
        <w:t>प्रवचनीय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सर्वप्रथम</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गणनाकर्ता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सर्वप्रथम</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«Четлан ырчытыльыбыт таас туһунан пророчествоны цитаталааһынарыгар Христос Израиль историятын иһигэр буолбут туох эрэ чахчы дьайыыны көрсүбүтэ. Бу түбэлтэ бастакы храм тутуутааһына сыһыаннаах этэ. Ол Христоһу бастакы кэлиитин кэмигэр анал хайысхаҕа туттуллар, уонна иудейдарга анал күүстээхтик дьүһүннэрэр этэ, ол эрээри биһиэхэ эмиэ үөрэтэр үгэс баар. Соломон храма тургузуллар кэмигэр, эрдэ ханнан ылар карьерга диэри стеналарга уонна нигилиэскэ аналлаах улахан таастар барыта бүтнүүтүнэн бэлэмнэммиттэрэ; онтон тутар сиригэр аҕалан кэллэрбиттэрин кэннэ, олорго тугу да инструмен туһанар кыах суох этэ; үлэһиттэргэ бары ордуктарынар туруорар гына эрэ хаалбыт этэ. Нигилиэскэ туһанарга, анаан улахан кээмэйдээх уонна туспа формалаах биир таас аҕалыллыбыт этэ; ол эрээри үлэһиттэр оҕоҕо ордун булалбыттара суох, уонна ылыналбытын баҕарбыттара суох. Туһаныллыбаттык суолларыгар сытарынан, ол уларга ыарахан санааны биэрэр этэ. Уһун кэм тухары ол ырчытыллыбыт тааһынэн хаалбыт этэ. Ол гынан баран, туттар дьон муоста таасын ууруу кэмигэр, ол анал орду ыларга сатаан сөп түбэһэр, кээмэйэ ситэр, күүһэ ситэр, формата сөп буолар таас көрдөрү уһун кэмнээхтик көрдөстүлэр, ол тааска түһэр улахан ыарахан салгыны көтөрөр кыахтаах буоларга наада этэ. Бу суолталаах ордуга алҕас талаан ылсахтара, бүтүн тутуу кутталга түһэр этэ. Күн, тымныы уонна буурҕа дьайыытыгар төзөр кыахтаах таас булаллара наада этэ. Хас да таас араас кэмнэргэ талыллыбыттар, ол эрээри улахан ыарахан басымньыта анныгар быһыраан сыстылар. Аттарын хайдах эмискэ халлаан дьайыытын тургутуута сыанатын тэстээһинин көтөрө илик буолбаттар. Ол гынан баран, уһун кэмнээхке диэри ырчытыллан сытар тааска буруллубут этэ. Ол таас салгынга, күнүгэр уонна буурҕаҕа тэнийбит, ол эрээри саамай да кыра биһигиыһын да көрдөрбөтөх этэ. Туттар дьон бу таасы сыаналаатылар. Ол бары тэстэри көтөрбүт этэ, бииртэн эрэ атын. Сиирдэһэр басымньы тэстээһинин эмиэ көтөрөр буоллаҕына, ону муоста таас гынан ыларга быһаарбыттара. Тургуутун оҥордулар. Таас ылыллыбыт, бэлиэтэммит ордугар аҕаллыллыбыт, уонна чопчу сөп түбэспитэ көстүбүт. Пророческай көрүүгэ Исаияҕа бу таас Христос символа буоларын көрдөрүллүбүтэ. Ол маннык диир:»</w:t>
      </w:r>
    </w:p>
    <w:p>
      <w:pPr>
        <w:pStyle w:val="ArticleScripture"/>
        <w:jc w:val="left"/>
      </w:pPr>
      <w:r>
        <w:rPr>
          <w:rFonts w:ascii="Times New Roman" w:hAnsi="Times New Roman" w:eastAsia="Times New Roman" w:cs="Times New Roman"/>
        </w:rPr>
        <w:t>“‘</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ସେନାଧୀଶ୍ୱରଙ୍କୁ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ମାନ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ତୁମର</w:t>
      </w:r>
      <w:r>
        <w:rPr>
          <w:rFonts w:ascii="Times New Roman" w:hAnsi="Times New Roman" w:eastAsia="Times New Roman" w:cs="Times New Roman"/>
        </w:rPr>
        <w:t xml:space="preserve"> </w:t>
      </w:r>
      <w:r>
        <w:rPr>
          <w:rFonts w:ascii="Nirmala UI" w:hAnsi="Nirmala UI" w:eastAsia="Nirmala UI" w:cs="Nirmala UI"/>
        </w:rPr>
        <w:t>ଭୟ</w:t>
      </w:r>
      <w:r>
        <w:rPr>
          <w:rFonts w:ascii="Times New Roman" w:hAnsi="Times New Roman" w:eastAsia="Times New Roman" w:cs="Times New Roman"/>
        </w:rPr>
        <w:t xml:space="preserve"> </w:t>
      </w:r>
      <w:r>
        <w:rPr>
          <w:rFonts w:ascii="Nirmala UI" w:hAnsi="Nirmala UI" w:eastAsia="Nirmala UI" w:cs="Nirmala UI"/>
        </w:rPr>
        <w:t>ହେଉନ୍ତୁ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ତୁମର</w:t>
      </w:r>
      <w:r>
        <w:rPr>
          <w:rFonts w:ascii="Times New Roman" w:hAnsi="Times New Roman" w:eastAsia="Times New Roman" w:cs="Times New Roman"/>
        </w:rPr>
        <w:t xml:space="preserve"> </w:t>
      </w:r>
      <w:r>
        <w:rPr>
          <w:rFonts w:ascii="Nirmala UI" w:hAnsi="Nirmala UI" w:eastAsia="Nirmala UI" w:cs="Nirmala UI"/>
        </w:rPr>
        <w:t>ଭୀତି</w:t>
      </w:r>
      <w:r>
        <w:rPr>
          <w:rFonts w:ascii="Times New Roman" w:hAnsi="Times New Roman" w:eastAsia="Times New Roman" w:cs="Times New Roman"/>
        </w:rPr>
        <w:t xml:space="preserve"> </w:t>
      </w:r>
      <w:r>
        <w:rPr>
          <w:rFonts w:ascii="Nirmala UI" w:hAnsi="Nirmala UI" w:eastAsia="Nirmala UI" w:cs="Nirmala UI"/>
        </w:rPr>
        <w:t>ହେଉନ୍ତୁ।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ପବିତ୍ରାଶ୍ରୟ</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ଇସ୍ରାଏଲର</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ଗୃହ</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ଠୋକରର</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ଅପରାଧର</w:t>
      </w:r>
      <w:r>
        <w:rPr>
          <w:rFonts w:ascii="Times New Roman" w:hAnsi="Times New Roman" w:eastAsia="Times New Roman" w:cs="Times New Roman"/>
        </w:rPr>
        <w:t xml:space="preserve"> </w:t>
      </w:r>
      <w:r>
        <w:rPr>
          <w:rFonts w:ascii="Nirmala UI" w:hAnsi="Nirmala UI" w:eastAsia="Nirmala UI" w:cs="Nirmala UI"/>
        </w:rPr>
        <w:t>ଶିଳା</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ବାସିନ୍ଦାମାନଙ୍କ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ଫାନ୍ଦ</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ଜାଳ</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ଠୋକର</w:t>
      </w:r>
      <w:r>
        <w:rPr>
          <w:rFonts w:ascii="Times New Roman" w:hAnsi="Times New Roman" w:eastAsia="Times New Roman" w:cs="Times New Roman"/>
        </w:rPr>
        <w:t xml:space="preserve"> </w:t>
      </w:r>
      <w:r>
        <w:rPr>
          <w:rFonts w:ascii="Nirmala UI" w:hAnsi="Nirmala UI" w:eastAsia="Nirmala UI" w:cs="Nirmala UI"/>
        </w:rPr>
        <w:t>ଖାଇବେ</w:t>
      </w:r>
      <w:r>
        <w:rPr>
          <w:rFonts w:ascii="Times New Roman" w:hAnsi="Times New Roman" w:eastAsia="Times New Roman" w:cs="Times New Roman"/>
        </w:rPr>
        <w:t xml:space="preserve">, </w:t>
      </w:r>
      <w:r>
        <w:rPr>
          <w:rFonts w:ascii="Nirmala UI" w:hAnsi="Nirmala UI" w:eastAsia="Nirmala UI" w:cs="Nirmala UI"/>
        </w:rPr>
        <w:t>ପଡ଼ିଯିବେ</w:t>
      </w:r>
      <w:r>
        <w:rPr>
          <w:rFonts w:ascii="Times New Roman" w:hAnsi="Times New Roman" w:eastAsia="Times New Roman" w:cs="Times New Roman"/>
        </w:rPr>
        <w:t xml:space="preserve">, </w:t>
      </w:r>
      <w:r>
        <w:rPr>
          <w:rFonts w:ascii="Nirmala UI" w:hAnsi="Nirmala UI" w:eastAsia="Nirmala UI" w:cs="Nirmala UI"/>
        </w:rPr>
        <w:t>ଭାଙ୍ଗିଯିବେ</w:t>
      </w:r>
      <w:r>
        <w:rPr>
          <w:rFonts w:ascii="Times New Roman" w:hAnsi="Times New Roman" w:eastAsia="Times New Roman" w:cs="Times New Roman"/>
        </w:rPr>
        <w:t xml:space="preserve">, </w:t>
      </w:r>
      <w:r>
        <w:rPr>
          <w:rFonts w:ascii="Nirmala UI" w:hAnsi="Nirmala UI" w:eastAsia="Nirmala UI" w:cs="Nirmala UI"/>
        </w:rPr>
        <w:t>ଫାନ୍ଦରେ</w:t>
      </w:r>
      <w:r>
        <w:rPr>
          <w:rFonts w:ascii="Times New Roman" w:hAnsi="Times New Roman" w:eastAsia="Times New Roman" w:cs="Times New Roman"/>
        </w:rPr>
        <w:t xml:space="preserve"> </w:t>
      </w:r>
      <w:r>
        <w:rPr>
          <w:rFonts w:ascii="Nirmala UI" w:hAnsi="Nirmala UI" w:eastAsia="Nirmala UI" w:cs="Nirmala UI"/>
        </w:rPr>
        <w:t>ପଡ଼ିବେ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ଧରାପଡ଼ିବେ।</w:t>
      </w:r>
      <w:r>
        <w:rPr>
          <w:rFonts w:ascii="Times New Roman" w:hAnsi="Times New Roman" w:eastAsia="Times New Roman" w:cs="Times New Roman"/>
        </w:rPr>
        <w:t xml:space="preserve">’ </w:t>
      </w:r>
      <w:r>
        <w:rPr>
          <w:rFonts w:ascii="Nirmala UI" w:hAnsi="Nirmala UI" w:eastAsia="Nirmala UI" w:cs="Nirmala UI"/>
        </w:rPr>
        <w:t>ଭବିଷ୍ୟଦ୍ବାଣୀମୟ</w:t>
      </w:r>
      <w:r>
        <w:rPr>
          <w:rFonts w:ascii="Times New Roman" w:hAnsi="Times New Roman" w:eastAsia="Times New Roman" w:cs="Times New Roman"/>
        </w:rPr>
        <w:t xml:space="preserve"> </w:t>
      </w:r>
      <w:r>
        <w:rPr>
          <w:rFonts w:ascii="Nirmala UI" w:hAnsi="Nirmala UI" w:eastAsia="Nirmala UI" w:cs="Nirmala UI"/>
        </w:rPr>
        <w:t>ଦର୍ଶନରେ</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ଆଗମନ</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ନେଇଯାଇ</w:t>
      </w:r>
      <w:r>
        <w:rPr>
          <w:rFonts w:ascii="Times New Roman" w:hAnsi="Times New Roman" w:eastAsia="Times New Roman" w:cs="Times New Roman"/>
        </w:rPr>
        <w:t xml:space="preserve">, </w:t>
      </w:r>
      <w:r>
        <w:rPr>
          <w:rFonts w:ascii="Nirmala UI" w:hAnsi="Nirmala UI" w:eastAsia="Nirmala UI" w:cs="Nirmala UI"/>
        </w:rPr>
        <w:t>ଭବିଷ୍ୟଦ୍ଦକ୍ତାଙ୍କୁ</w:t>
      </w:r>
      <w:r>
        <w:rPr>
          <w:rFonts w:ascii="Times New Roman" w:hAnsi="Times New Roman" w:eastAsia="Times New Roman" w:cs="Times New Roman"/>
        </w:rPr>
        <w:t xml:space="preserve"> </w:t>
      </w:r>
      <w:r>
        <w:rPr>
          <w:rFonts w:ascii="Nirmala UI" w:hAnsi="Nirmala UI" w:eastAsia="Nirmala UI" w:cs="Nirmala UI"/>
        </w:rPr>
        <w:t>ଦେଖାଯାଏ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ପ୍ରବଳ</w:t>
      </w:r>
      <w:r>
        <w:rPr>
          <w:rFonts w:ascii="Times New Roman" w:hAnsi="Times New Roman" w:eastAsia="Times New Roman" w:cs="Times New Roman"/>
        </w:rPr>
        <w:t xml:space="preserve"> </w:t>
      </w:r>
      <w:r>
        <w:rPr>
          <w:rFonts w:ascii="Nirmala UI" w:hAnsi="Nirmala UI" w:eastAsia="Nirmala UI" w:cs="Nirmala UI"/>
        </w:rPr>
        <w:t>ଆଜମାଇଶ</w:t>
      </w:r>
      <w:r>
        <w:rPr>
          <w:rFonts w:ascii="Times New Roman" w:hAnsi="Times New Roman" w:eastAsia="Times New Roman" w:cs="Times New Roman"/>
        </w:rPr>
        <w:t xml:space="preserve"> </w:t>
      </w:r>
      <w:r>
        <w:rPr>
          <w:rFonts w:ascii="Nirmala UI" w:hAnsi="Nirmala UI" w:eastAsia="Nirmala UI" w:cs="Nirmala UI"/>
        </w:rPr>
        <w:t>ବହନ</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w:t>
      </w:r>
      <w:r>
        <w:rPr>
          <w:rFonts w:ascii="Nirmala UI" w:hAnsi="Nirmala UI" w:eastAsia="Nirmala UI" w:cs="Nirmala UI"/>
        </w:rPr>
        <w:t>ପ୍ରତୀକ</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ସୋଲୋମନଙ୍କ</w:t>
      </w:r>
      <w:r>
        <w:rPr>
          <w:rFonts w:ascii="Times New Roman" w:hAnsi="Times New Roman" w:eastAsia="Times New Roman" w:cs="Times New Roman"/>
        </w:rPr>
        <w:t xml:space="preserve"> </w:t>
      </w:r>
      <w:r>
        <w:rPr>
          <w:rFonts w:ascii="Nirmala UI" w:hAnsi="Nirmala UI" w:eastAsia="Nirmala UI" w:cs="Nirmala UI"/>
        </w:rPr>
        <w:t>ମନ୍ଦିରରେ</w:t>
      </w:r>
      <w:r>
        <w:rPr>
          <w:rFonts w:ascii="Times New Roman" w:hAnsi="Times New Roman" w:eastAsia="Times New Roman" w:cs="Times New Roman"/>
        </w:rPr>
        <w:t xml:space="preserve"> </w:t>
      </w:r>
      <w:r>
        <w:rPr>
          <w:rFonts w:ascii="Nirmala UI" w:hAnsi="Nirmala UI" w:eastAsia="Nirmala UI" w:cs="Nirmala UI"/>
        </w:rPr>
        <w:t>ମୁଖ୍ୟ</w:t>
      </w:r>
      <w:r>
        <w:rPr>
          <w:rFonts w:ascii="Times New Roman" w:hAnsi="Times New Roman" w:eastAsia="Times New Roman" w:cs="Times New Roman"/>
        </w:rPr>
        <w:t xml:space="preserve"> </w:t>
      </w:r>
      <w:r>
        <w:rPr>
          <w:rFonts w:ascii="Nirmala UI" w:hAnsi="Nirmala UI" w:eastAsia="Nirmala UI" w:cs="Nirmala UI"/>
        </w:rPr>
        <w:t>କୋଣଶିଳା</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କରାଯାଇଥିବା</w:t>
      </w:r>
      <w:r>
        <w:rPr>
          <w:rFonts w:ascii="Times New Roman" w:hAnsi="Times New Roman" w:eastAsia="Times New Roman" w:cs="Times New Roman"/>
        </w:rPr>
        <w:t xml:space="preserve"> </w:t>
      </w:r>
      <w:r>
        <w:rPr>
          <w:rFonts w:ascii="Nirmala UI" w:hAnsi="Nirmala UI" w:eastAsia="Nirmala UI" w:cs="Nirmala UI"/>
        </w:rPr>
        <w:t>ବ୍ୟବହାର।</w:t>
      </w:r>
      <w:r>
        <w:rPr>
          <w:rFonts w:ascii="Times New Roman" w:hAnsi="Times New Roman" w:eastAsia="Times New Roman" w:cs="Times New Roman"/>
        </w:rPr>
        <w:t xml:space="preserve"> ‘</w:t>
      </w:r>
      <w:r>
        <w:rPr>
          <w:rFonts w:ascii="Nirmala UI" w:hAnsi="Nirmala UI" w:eastAsia="Nirmala UI" w:cs="Nirmala UI"/>
        </w:rPr>
        <w:t>ଏହିକାରଣେ</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ଯେହୋବା</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ସିଓନରେ</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ରଖୁଛି</w:t>
      </w:r>
      <w:r>
        <w:rPr>
          <w:rFonts w:ascii="Times New Roman" w:hAnsi="Times New Roman" w:eastAsia="Times New Roman" w:cs="Times New Roman"/>
        </w:rPr>
        <w:t xml:space="preserve">, </w:t>
      </w:r>
      <w:r>
        <w:rPr>
          <w:rFonts w:ascii="Nirmala UI" w:hAnsi="Nirmala UI" w:eastAsia="Nirmala UI" w:cs="Nirmala UI"/>
        </w:rPr>
        <w:t>ପରୀକ୍ଷିତ</w:t>
      </w:r>
      <w:r>
        <w:rPr>
          <w:rFonts w:ascii="Times New Roman" w:hAnsi="Times New Roman" w:eastAsia="Times New Roman" w:cs="Times New Roman"/>
        </w:rPr>
        <w:t xml:space="preserve"> </w:t>
      </w:r>
      <w:r>
        <w:rPr>
          <w:rFonts w:ascii="Nirmala UI" w:hAnsi="Nirmala UI" w:eastAsia="Nirmala UI" w:cs="Nirmala UI"/>
        </w:rPr>
        <w:t>ପାଥର</w:t>
      </w:r>
      <w:r>
        <w:rPr>
          <w:rFonts w:ascii="Times New Roman" w:hAnsi="Times New Roman" w:eastAsia="Times New Roman" w:cs="Times New Roman"/>
        </w:rPr>
        <w:t xml:space="preserve">, </w:t>
      </w:r>
      <w:r>
        <w:rPr>
          <w:rFonts w:ascii="Nirmala UI" w:hAnsi="Nirmala UI" w:eastAsia="Nirmala UI" w:cs="Nirmala UI"/>
        </w:rPr>
        <w:t>ଅମୂଲ୍ୟ</w:t>
      </w:r>
      <w:r>
        <w:rPr>
          <w:rFonts w:ascii="Times New Roman" w:hAnsi="Times New Roman" w:eastAsia="Times New Roman" w:cs="Times New Roman"/>
        </w:rPr>
        <w:t xml:space="preserve"> </w:t>
      </w:r>
      <w:r>
        <w:rPr>
          <w:rFonts w:ascii="Nirmala UI" w:hAnsi="Nirmala UI" w:eastAsia="Nirmala UI" w:cs="Nirmala UI"/>
        </w:rPr>
        <w:t>କୋଣଶିଳା</w:t>
      </w:r>
      <w:r>
        <w:rPr>
          <w:rFonts w:ascii="Times New Roman" w:hAnsi="Times New Roman" w:eastAsia="Times New Roman" w:cs="Times New Roman"/>
        </w:rPr>
        <w:t xml:space="preserve">, </w:t>
      </w:r>
      <w:r>
        <w:rPr>
          <w:rFonts w:ascii="Nirmala UI" w:hAnsi="Nirmala UI" w:eastAsia="Nirmala UI" w:cs="Nirmala UI"/>
        </w:rPr>
        <w:t>ନିଶ୍ଚିତ</w:t>
      </w:r>
      <w:r>
        <w:rPr>
          <w:rFonts w:ascii="Times New Roman" w:hAnsi="Times New Roman" w:eastAsia="Times New Roman" w:cs="Times New Roman"/>
        </w:rPr>
        <w:t xml:space="preserve"> </w:t>
      </w:r>
      <w:r>
        <w:rPr>
          <w:rFonts w:ascii="Nirmala UI" w:hAnsi="Nirmala UI" w:eastAsia="Nirmala UI" w:cs="Nirmala UI"/>
        </w:rPr>
        <w:t>ଭିତ୍ତି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ବିଶ୍ୱାସ</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ଆତୁର</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Isaiah 8:13–15; 28:16.”</w:t>
      </w:r>
    </w:p>
    <w:p>
      <w:pPr>
        <w:pStyle w:val="ArticleScripture"/>
        <w:jc w:val="left"/>
      </w:pPr>
      <w:r>
        <w:rPr>
          <w:rFonts w:ascii="Times New Roman" w:hAnsi="Times New Roman" w:eastAsia="Times New Roman" w:cs="Times New Roman"/>
        </w:rPr>
        <w:t>“Sa kinawad-an pulos nga kaalam, ang Dios nagpili sa bato nga patukoranan, ug Siya gayud mao ang nagbutang niini. Gitawag Niya kini nga ‘usa ka lig-on nga patukoranan.’ Ang tibuok kalibotan makahimutang sa ibabaw niini sa ilang mga palas-anon ug mga kasubo; kini makahimo sa pag-antos kanilang tanan. Uban sa hingpit nga kaluwasan sila makapatindog sa ibabaw niini. Si Cristo mao ang ‘gisulayan nga bato.’ Kadtong misalig Kaniya, dili gayud Niya sila pakyason. Naagihan Niya ang matag pagsulay. Giantus Niya ang kabug-aton sa sala ni Adan, ug ang sala sa iyang kaliwatan, ug migula nga labaw pa sa mananaug batok sa mga gahum sa daotan. Giantus Niya ang mga palas-anon nga gipapas-an Kaniya sa matag makasasala nga naghinulsol. Diha kang Cristo ang salaan nga kasingkasing nakakaplag ug kahupayan. Siya mao ang lig-on nga patukoranan. Ang tanan nga naghimo Kaniya nga ilang saligan nagapahulay diha sa hingpit nga kasigurohan.”</w:t>
      </w:r>
    </w:p>
    <w:p>
      <w:pPr>
        <w:pStyle w:val="ArticleScripture"/>
        <w:jc w:val="left"/>
      </w:pPr>
      <w:r>
        <w:rPr>
          <w:rFonts w:ascii="Times New Roman" w:hAnsi="Times New Roman" w:eastAsia="Times New Roman" w:cs="Times New Roman"/>
        </w:rPr>
        <w:t>«Қғамбарлығында Мәсіх сенімді іргетас та, сүрінер тас та деп жарияланған. Елші Петір Қасиетті Рухтың жетелеуімен жаза отырып, Мәсіхтің кім үшін іргетас тасы, ал кім үшін сүріну жартасы екенін анық көрсетеді:»</w:t>
      </w:r>
    </w:p>
    <w:p>
      <w:pPr>
        <w:pStyle w:val="ArticleScripture"/>
        <w:jc w:val="left"/>
      </w:pPr>
      <w:r>
        <w:rPr>
          <w:rFonts w:ascii="Times New Roman" w:hAnsi="Times New Roman" w:eastAsia="Times New Roman" w:cs="Times New Roman"/>
        </w:rPr>
        <w:t>“‘Wöj ne melim eñjake, ñe Ewiōr ej jouj im an. Ñe kwe juon iien iakwe ilo an, einwōt juon batu in mour, emōj an armej jab kōtļọk, ak emōj an Anij kāāl ejjelok, im aorōk; komej bar, einwōt batū in mour ko, emōj an kalikkar yuk kāāl juon mweo in kajoor, juon priesthood eo emōj an kamool, ñan katok jerbal in kajeoñ ko rej ājri, rej kajimwe ñan Anij ilo Jejūs Kraist. Eṃōj bar jelet ilo Jeje ko: Lōke, Ij likit ilo Zaion juon batu in corner eo elab, emōj an kāāl ejjelok, aorōk: im eo ej tōmak Ioon enij jab itok ilo kajjitōk. Ñan kwe kōn menin, ilo an tōmak, Ewiōr eo ej aorōk: ak ñan ro rej jab rōjañ, batu eo rijerbal ro rej kalbub, eō eo menin emōj an etal ñan baş in corner eo, im juon batu in tōptōp, im juon batu in kejbarok; ñan ro rej tōptōp ilo naan eo, koba ibben an jab rōjañ.’ 1 Peter 2:3–8.”</w:t>
      </w:r>
    </w:p>
    <w:p>
      <w:pPr>
        <w:pStyle w:val="ArticleScripture"/>
        <w:jc w:val="left"/>
      </w:pPr>
      <w:r>
        <w:rPr>
          <w:rFonts w:ascii="Times New Roman" w:hAnsi="Times New Roman" w:eastAsia="Times New Roman" w:cs="Times New Roman"/>
        </w:rPr>
        <w:t>“Ғынаяндар ушын, Христос — шын таянш. Бұлар — Тасқа жыгылып, сынғанлар. Мында Христосқа бойсыныў ҳәм Оған иман келтириў көрсетилген. Тасқа жыгылып, сынған болыў — өз-өзимиздиң әдиллигимизден бас тартыў ҳәм баладай кәмтарлық пенен, өз қылмысларымызға тәўбе етип, Оның кешириўши сүйиўине иман келтирип, Христосқа келиў деген сөз. Ҳәм сондай-ақ, иман ҳәм итаат арқалы биз негизимиз ретинде Христос үстине қурыў етемиз.”</w:t>
      </w:r>
    </w:p>
    <w:p>
      <w:pPr>
        <w:pStyle w:val="ArticleScripture"/>
        <w:jc w:val="left"/>
      </w:pPr>
      <w:r>
        <w:rPr>
          <w:rFonts w:ascii="Times New Roman" w:hAnsi="Times New Roman" w:eastAsia="Times New Roman" w:cs="Times New Roman"/>
        </w:rPr>
        <w:t>“Ñuŋkũi kȟádúŋ yaa té, Israelnik yé dêná ádaa Inderjá niknún, ílídéwá adíígin baa kȟóriyá bikáa díkíísí. Díí yee kȟórí tʼáá ajiłii nihíjiʼígíí bikáa tʼáá ajiłii doo baʼáádę́ę́ʼ átʼéego nihá shikaadééł. Tʼáá ajiłii biniiyé dooleełígíí biniiyé niʼádaałiił, dóó tʼáá ajiłii nahasdzáán áłtsé bikááʼ dah naasháhígíí doo yił dah diilwoʼígíí biniiyé níłtsʼą́ą́ʼ. Dóó Christ, tsé yázhí yázhí tʼáá íiyisíígíí, bił haʼdoolʼaahgo, díí kȟórí bikáa adíkíísíígíí tʼáá ajiłii tsé dineʼé tʼáá íiyisíígo ályaa. Áłchíní da tʼáá ałtsoni bąąh haneʼé bił daʼiilʼį́, bił daʼiilʼį́, dóó hózhǫ́go daʼiilʼį́; ayóo, “tsé dineʼé tʼáá íiyisíí” dooleeł da, Christ bił doo haʼdoolʼaah da. Díí bił haʼdoolʼaahígíí doo hólǫ́ǫgo, tʼáá ajiłii hastą́ą́ doo yee yisííł da. Nihíjiʼ Christ yee íiyisíígíí nihí biyiʼ hólǫ́ǫgo dooleeł da, kʼad hóyééʼjiʼ béésh bee hazʼą́ą́go nihá nilíniyáhígíí doo bikʼehgo nidaanishda da. Nihí tʼáá ajiłii diyinígíí bikáa nihá shikaadééłígíí bikáa nihí tʼáá ałtsoh níkééʼgo danihíjiʼígíí bąąh hólǫ́. Kʼad ádááłtsoh dooleełígíí tʼáá ałtsíísígo ádaa kȟórí biyiʼ doo naʼnízingo bikáa adíkíísí. Nílchʼi łikanígo, níyol yázhígo atʼéego, dóó tó átʼéego niyáágo, biniʼ dóó koyaanisqatsi biyiʼígíí naasháhígíí nahasdzáán bikáa dóółtsʼíísíł, tʼáá íiyisí doo Tsé Diyin, Christ Jesus, tsé ayóo áłtsé bikáa naasháhígíí bikáa doo yitʼį́į́ł da.”</w:t>
      </w:r>
    </w:p>
    <w:p>
      <w:pPr>
        <w:pStyle w:val="ArticleScripture"/>
        <w:jc w:val="left"/>
      </w:pPr>
      <w:r>
        <w:rPr>
          <w:rFonts w:ascii="Times New Roman" w:hAnsi="Times New Roman" w:eastAsia="Times New Roman" w:cs="Times New Roman"/>
        </w:rPr>
        <w:t>«“Ati na domana aŋwɛn mɔ, ka ba da yela la, n yɛlɛ yela yida gbɛrɛ.” Ama “tɔɔŋɔ la ka yiribaŋa ba yɔgɛ, n tɔɔŋɔ din n niɛri ka wɔ tuu yir la kɔkɔrɔ nɔɔrɔ.” Sɛŋ sɛ ka ba yɔgɛ tɔɔŋɔ la, din kɔrɔ, Kristo maŋ n naŋ duniɲa la, o yɛlɛ niŋ yɛlɛ suŋɔ la, ba n da a bɔrɔ ni ba n da a taari. O yɛ “N ba a yɛgɛla ni ba n yɔgɛ a; o yɛ yɛlɛ kɔrɔmɔ, ni o miiri sugri: … ba da a yɛgɛla, ka ti n da a kɔrɔ la.” Esayi 53:3. Ama waati la ka a tɔ ka o na yɛri a nɔɔrɔ la. A bɔrɔ kuurɔ ni, ba na pɔgɔ a ka o yɛ “Naawuni Biiga la ni paŋ.” Romains 1:4. A n na kɛnɛ la wa, ba na a yeli ka o yɛ saŋa ni tinga Zali. Ninsala ba ka sɔri la ba tɔɔgɔ a n da, ba na a nɔɔrɔ miiri. Tinga ni saŋa bɔrɔ la nɔɔrɔ la, tɔɔŋɔ la ka ba yɔgɛ, din na kɛ ka yɛ yir la kɔkɔrɔ nɔɔrɔ.»</w:t>
      </w:r>
    </w:p>
    <w:p>
      <w:pPr>
        <w:pStyle w:val="ArticleScripture"/>
        <w:jc w:val="left"/>
      </w:pPr>
      <w:r>
        <w:rPr>
          <w:rFonts w:ascii="Times New Roman" w:hAnsi="Times New Roman" w:eastAsia="Times New Roman" w:cs="Times New Roman"/>
        </w:rPr>
        <w:t>«و بر هر که فرود آید، او را خرد و خاکستر خواهد کرد.» مردمی که مسیح را رد کردند، به‌زودی شهر و قوم خود را ویران‌شده می‌دیدند. شکوه ایشان درهم می‌شکست و چون غبار در برابر باد پراکنده می‌گشت. و چه بود که یهود را هلاک کرد؟ همان صخره‌ای بود که اگر بر آن بنا می‌کردند، مایهٔ امنیت ایشان می‌بود. این نیکوییِ خدا بود که خوار شمرده شد، آن عدالت که رد گردید، آن رحمتی که بی‌اعتنا انگاشته شد. انسان‌ها خود را در برابر خدا قرار دادند، و هر آنچه می‌توانست نجات ایشان باشد، به هلاکتشان بدل شد. هر آنچه خدا برای حیات مقرر فرموده بود، برای ایشان به موت انجامید. در مصلوب‌کردنِ مسیح به‌دست یهود، ویرانیِ اورشلیم نهفته بود. آن خونی که بر جلجتا ریخته شد، همان بارِ سنگینی بود که آنان را برای این جهان و جهان آینده به ورطهٔ هلاکت فرو برد. در آن روز عظیمِ نهایی نیز چنین خواهد بود، هنگامی که داوری بر ردکنندگانِ فیضِ خدا فرود آید. مسیح، آن صخرهٔ لغزشِ ایشان، آنگاه در نظرشان چون کوهی انتقام‌گیرنده ظاهر خواهد شد. جلالِ سیمای او، که برای عادلان حیات است، برای شریران آتشی سوزاننده خواهد بود. گناهکار به سبب محبتِ مردودشده و فیضِ خوارشمرده، هلاک خواهد شد.»</w:t>
      </w:r>
    </w:p>
    <w:p>
      <w:pPr>
        <w:pStyle w:val="ArticleScripture"/>
        <w:jc w:val="left"/>
      </w:pPr>
      <w:r>
        <w:rPr>
          <w:rFonts w:ascii="Times New Roman" w:hAnsi="Times New Roman" w:eastAsia="Times New Roman" w:cs="Times New Roman"/>
        </w:rPr>
        <w:t>«Yesoosiis fakkeenyota baayʼee fi akeekkachiisa irra deddeebiin, Ilmi Waaqayyoo fudhachuu diduun isaanii Yihudootaaf buʼaa maal akka qabaatu agarsiise. Jechoota kanaan Inni warra bara hundumaa keessa jiraatan, isa Fayyisaa isaanii akka taʼetti fudhachuu didan hunda dubbachaa ture. Akeekkachiisni hundinuu isaaniif dha. Mana qulqullummaa xureeffame, ilmi ajaja didu, qonnaan bultoonni sobdoon, ijaartoonni tuffatamoo, muuxannoo cubbamtoota hundumaa keessatti fakkeenya isaanii qabu. Yoo inni qalbii hin jijjiiranne, badiisni isaan dursee mulʼisan isa taʼa.» Desire of Ages, 597–600.</w:t>
      </w:r>
    </w:p>
    <w:p>
      <w:pPr>
        <w:pStyle w:val="ArticleBody"/>
        <w:jc w:val="left"/>
      </w:pPr>
      <w:r>
        <w:rPr>
          <w:rFonts w:ascii="Times New Roman" w:hAnsi="Times New Roman" w:eastAsia="Times New Roman" w:cs="Times New Roman"/>
        </w:rPr>
        <w:t>Maqaalaa itti aanu keessatti kana ni itti fufna.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Ɔkɔbɔ Ahorow a ɛne Ho Hyia - Nnɔmba Anan</dc:title>
  <dc:subject>ඇදහිල්ලේ අත්තිවාරම් සහ අමතක කිරීමේ භයානකත්වය: අනාවැකි හා ඉතිහාසයෙන් ලබන පාඩම්</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