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Të Zbuluarit e Jezu Krishtit - Numri Gjashtë</w:t>
      </w:r>
    </w:p>
    <w:p>
      <w:pPr>
        <w:pStyle w:val="ArticleSubtitle"/>
        <w:jc w:val="left"/>
      </w:pPr>
      <w:r>
        <w:rPr>
          <w:rFonts w:ascii="Arial" w:hAnsi="Arial" w:eastAsia="Arial" w:cs="Arial"/>
        </w:rPr>
        <w:t>Pa Tubk'iilil ichil le Kimi'o'ob ku Kuxlajtalob.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Ñuqanchikqa Isaiaspa qhipa willakuynin patapi sayarispa hamushanchik, chayqa qallarin tawa chunka capítulopi, maypim sut’ichisqa kashan suyasqa tiempopa reqsisqan, chaymi qallarirqan 18 julio 2020 p’akikuymanta. Revelación librope iskay testigokunapa wañusqanta tinkuchishanchik Ezequielpa wañusqa ch’aki tullukunapa pampapi wañusqakunawan, kimsa chunka qanchisniyuq capítulopi. Kutichiykunawan maskhashanchik ancha sut’i ruwaykunapa qatiqninmanta sayachiyta, chay kawsarimuywan tupaq ruwaykuna, callepi uywaman hina wañuchisqa runakunamanta, ukhupacha mana tukukuq t’oqomanta lluqsimuq beast nisqamanta.</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एतानि</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पद्यानि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समन्वयामः</w:t>
      </w:r>
      <w:r>
        <w:rPr>
          <w:rFonts w:ascii="Times New Roman" w:hAnsi="Times New Roman" w:eastAsia="Times New Roman" w:cs="Times New Roman"/>
        </w:rPr>
        <w:t xml:space="preserve">, </w:t>
      </w: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प्रकाशितवाक्यस्य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काचित्</w:t>
      </w:r>
      <w:r>
        <w:rPr>
          <w:rFonts w:ascii="Times New Roman" w:hAnsi="Times New Roman" w:eastAsia="Times New Roman" w:cs="Times New Roman"/>
        </w:rPr>
        <w:t xml:space="preserve"> </w:t>
      </w:r>
      <w:r>
        <w:rPr>
          <w:rFonts w:ascii="Nirmala UI" w:hAnsi="Nirmala UI" w:eastAsia="Nirmala UI" w:cs="Nirmala UI"/>
        </w:rPr>
        <w:t>अंशान्</w:t>
      </w:r>
      <w:r>
        <w:rPr>
          <w:rFonts w:ascii="Times New Roman" w:hAnsi="Times New Roman" w:eastAsia="Times New Roman" w:cs="Times New Roman"/>
        </w:rPr>
        <w:t xml:space="preserve"> </w:t>
      </w:r>
      <w:r>
        <w:rPr>
          <w:rFonts w:ascii="Nirmala UI" w:hAnsi="Nirmala UI" w:eastAsia="Nirmala UI" w:cs="Nirmala UI"/>
        </w:rPr>
        <w:t>उद्घाटयामः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अद्यपर्यन्तं</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परिज्ञाताः</w:t>
      </w:r>
      <w:r>
        <w:rPr>
          <w:rFonts w:ascii="Times New Roman" w:hAnsi="Times New Roman" w:eastAsia="Times New Roman" w:cs="Times New Roman"/>
        </w:rPr>
        <w:t xml:space="preserve"> </w:t>
      </w:r>
      <w:r>
        <w:rPr>
          <w:rFonts w:ascii="Nirmala UI" w:hAnsi="Nirmala UI" w:eastAsia="Nirmala UI" w:cs="Nirmala UI"/>
        </w:rPr>
        <w:t>आसन्</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अयं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मानवस्य</w:t>
      </w:r>
      <w:r>
        <w:rPr>
          <w:rFonts w:ascii="Times New Roman" w:hAnsi="Times New Roman" w:eastAsia="Times New Roman" w:cs="Times New Roman"/>
        </w:rPr>
        <w:t xml:space="preserve"> </w:t>
      </w:r>
      <w:r>
        <w:rPr>
          <w:rFonts w:ascii="Nirmala UI" w:hAnsi="Nirmala UI" w:eastAsia="Nirmala UI" w:cs="Nirmala UI"/>
        </w:rPr>
        <w:t>परीक्षाकालस्य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पूर्वमेव</w:t>
      </w:r>
      <w:r>
        <w:rPr>
          <w:rFonts w:ascii="Times New Roman" w:hAnsi="Times New Roman" w:eastAsia="Times New Roman" w:cs="Times New Roman"/>
        </w:rPr>
        <w:t xml:space="preserve"> </w:t>
      </w:r>
      <w:r>
        <w:rPr>
          <w:rFonts w:ascii="Nirmala UI" w:hAnsi="Nirmala UI" w:eastAsia="Nirmala UI" w:cs="Nirmala UI"/>
        </w:rPr>
        <w:t>घटमानः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w:t>
      </w:r>
      <w:r>
        <w:rPr>
          <w:rFonts w:ascii="Nirmala UI" w:hAnsi="Nirmala UI" w:eastAsia="Nirmala UI" w:cs="Nirmala UI"/>
        </w:rPr>
        <w:t>ख्रीष्टस्य</w:t>
      </w:r>
      <w:r>
        <w:rPr>
          <w:rFonts w:ascii="Times New Roman" w:hAnsi="Times New Roman" w:eastAsia="Times New Roman" w:cs="Times New Roman"/>
        </w:rPr>
        <w:t xml:space="preserve"> </w:t>
      </w:r>
      <w:r>
        <w:rPr>
          <w:rFonts w:ascii="Nirmala UI" w:hAnsi="Nirmala UI" w:eastAsia="Nirmala UI" w:cs="Nirmala UI"/>
        </w:rPr>
        <w:t>प्रकाशितवाक्यस्य</w:t>
      </w:r>
      <w:r>
        <w:rPr>
          <w:rFonts w:ascii="Times New Roman" w:hAnsi="Times New Roman" w:eastAsia="Times New Roman" w:cs="Times New Roman"/>
        </w:rPr>
        <w:t xml:space="preserve"> </w:t>
      </w:r>
      <w:r>
        <w:rPr>
          <w:rFonts w:ascii="Nirmala UI" w:hAnsi="Nirmala UI" w:eastAsia="Nirmala UI" w:cs="Nirmala UI"/>
        </w:rPr>
        <w:t>उद्घाटनमेव</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एतत्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समीपः</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सत्यांशाः</w:t>
      </w:r>
      <w:r>
        <w:rPr>
          <w:rFonts w:ascii="Times New Roman" w:hAnsi="Times New Roman" w:eastAsia="Times New Roman" w:cs="Times New Roman"/>
        </w:rPr>
        <w:t xml:space="preserve"> </w:t>
      </w:r>
      <w:r>
        <w:rPr>
          <w:rFonts w:ascii="Nirmala UI" w:hAnsi="Nirmala UI" w:eastAsia="Nirmala UI" w:cs="Nirmala UI"/>
        </w:rPr>
        <w:t>इदानीं</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प्रक्रियायां</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तेषां</w:t>
      </w:r>
      <w:r>
        <w:rPr>
          <w:rFonts w:ascii="Times New Roman" w:hAnsi="Times New Roman" w:eastAsia="Times New Roman" w:cs="Times New Roman"/>
        </w:rPr>
        <w:t xml:space="preserve"> </w:t>
      </w:r>
      <w:r>
        <w:rPr>
          <w:rFonts w:ascii="Nirmala UI" w:hAnsi="Nirmala UI" w:eastAsia="Nirmala UI" w:cs="Nirmala UI"/>
        </w:rPr>
        <w:t>उद्घाटनेन</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तदेव</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सम्पादयामः</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योहनस्य</w:t>
      </w:r>
      <w:r>
        <w:rPr>
          <w:rFonts w:ascii="Times New Roman" w:hAnsi="Times New Roman" w:eastAsia="Times New Roman" w:cs="Times New Roman"/>
        </w:rPr>
        <w:t xml:space="preserve"> </w:t>
      </w:r>
      <w:r>
        <w:rPr>
          <w:rFonts w:ascii="Nirmala UI" w:hAnsi="Nirmala UI" w:eastAsia="Nirmala UI" w:cs="Nirmala UI"/>
        </w:rPr>
        <w:t>कार्यरूपेण</w:t>
      </w:r>
      <w:r>
        <w:rPr>
          <w:rFonts w:ascii="Times New Roman" w:hAnsi="Times New Roman" w:eastAsia="Times New Roman" w:cs="Times New Roman"/>
        </w:rPr>
        <w:t xml:space="preserve"> </w:t>
      </w:r>
      <w:r>
        <w:rPr>
          <w:rFonts w:ascii="Nirmala UI" w:hAnsi="Nirmala UI" w:eastAsia="Nirmala UI" w:cs="Nirmala UI"/>
        </w:rPr>
        <w:t>निरूपितम्</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तस्मै</w:t>
      </w:r>
      <w:r>
        <w:rPr>
          <w:rFonts w:ascii="Times New Roman" w:hAnsi="Times New Roman" w:eastAsia="Times New Roman" w:cs="Times New Roman"/>
        </w:rPr>
        <w:t xml:space="preserve"> </w:t>
      </w:r>
      <w:r>
        <w:rPr>
          <w:rFonts w:ascii="Nirmala UI" w:hAnsi="Nirmala UI" w:eastAsia="Nirmala UI" w:cs="Nirmala UI"/>
        </w:rPr>
        <w:t>दृष्टानि</w:t>
      </w:r>
      <w:r>
        <w:rPr>
          <w:rFonts w:ascii="Times New Roman" w:hAnsi="Times New Roman" w:eastAsia="Times New Roman" w:cs="Times New Roman"/>
        </w:rPr>
        <w:t xml:space="preserve"> </w:t>
      </w:r>
      <w:r>
        <w:rPr>
          <w:rFonts w:ascii="Nirmala UI" w:hAnsi="Nirmala UI" w:eastAsia="Nirmala UI" w:cs="Nirmala UI"/>
        </w:rPr>
        <w:t>वस्तूनि</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तस्मिन्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विद्यमानानि</w:t>
      </w:r>
      <w:r>
        <w:rPr>
          <w:rFonts w:ascii="Times New Roman" w:hAnsi="Times New Roman" w:eastAsia="Times New Roman" w:cs="Times New Roman"/>
        </w:rPr>
        <w:t xml:space="preserve"> </w:t>
      </w:r>
      <w:r>
        <w:rPr>
          <w:rFonts w:ascii="Nirmala UI" w:hAnsi="Nirmala UI" w:eastAsia="Nirmala UI" w:cs="Nirmala UI"/>
        </w:rPr>
        <w:t>आसन्</w:t>
      </w:r>
      <w:r>
        <w:rPr>
          <w:rFonts w:ascii="Times New Roman" w:hAnsi="Times New Roman" w:eastAsia="Times New Roman" w:cs="Times New Roman"/>
        </w:rPr>
        <w:t xml:space="preserve">, </w:t>
      </w:r>
      <w:r>
        <w:rPr>
          <w:rFonts w:ascii="Nirmala UI" w:hAnsi="Nirmala UI" w:eastAsia="Nirmala UI" w:cs="Nirmala UI"/>
        </w:rPr>
        <w:t>लिखितुम्</w:t>
      </w:r>
      <w:r>
        <w:rPr>
          <w:rFonts w:ascii="Times New Roman" w:hAnsi="Times New Roman" w:eastAsia="Times New Roman" w:cs="Times New Roman"/>
        </w:rPr>
        <w:t xml:space="preserve"> </w:t>
      </w:r>
      <w:r>
        <w:rPr>
          <w:rFonts w:ascii="Nirmala UI" w:hAnsi="Nirmala UI" w:eastAsia="Nirmala UI" w:cs="Nirmala UI"/>
        </w:rPr>
        <w:t>उक्तम्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योहनः</w:t>
      </w:r>
      <w:r>
        <w:rPr>
          <w:rFonts w:ascii="Times New Roman" w:hAnsi="Times New Roman" w:eastAsia="Times New Roman" w:cs="Times New Roman"/>
        </w:rPr>
        <w:t xml:space="preserve"> </w:t>
      </w:r>
      <w:r>
        <w:rPr>
          <w:rFonts w:ascii="Nirmala UI" w:hAnsi="Nirmala UI" w:eastAsia="Nirmala UI" w:cs="Nirmala UI"/>
        </w:rPr>
        <w:t>समकालमेव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अपि</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भविष्यन्ति।</w:t>
      </w:r>
    </w:p>
    <w:p>
      <w:pPr>
        <w:pStyle w:val="ArticleScripture"/>
        <w:jc w:val="left"/>
      </w:pPr>
      <w:r>
        <w:rPr>
          <w:rFonts w:ascii="Times New Roman" w:hAnsi="Times New Roman" w:eastAsia="Times New Roman" w:cs="Times New Roman"/>
        </w:rPr>
        <w:t>Ṣíwájú kọ àwọn ohun tí ìwọ ti rí, àti àwọn ohun tí ó wà, àti àwọn ohun tí yóò sì wà lẹ́yìn èyí. Ìfihàn 1:19.</w:t>
      </w:r>
    </w:p>
    <w:p>
      <w:pPr>
        <w:pStyle w:val="ArticleBody"/>
        <w:jc w:val="left"/>
      </w:pPr>
      <w:r>
        <w:rPr>
          <w:rFonts w:ascii="Nirmala UI" w:hAnsi="Nirmala UI" w:eastAsia="Nirmala UI" w:cs="Nirmala UI"/>
        </w:rPr>
        <w:t>ꯁꯦꯕꯦꯟꯊ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ꯑꯦꯗꯚꯦꯟꯇꯤꯁꯇꯁꯁꯤꯡꯒꯤ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ꯂꯣꯖꯤꯀꯦꯜ</w:t>
      </w:r>
      <w:r>
        <w:rPr>
          <w:rFonts w:ascii="Times New Roman" w:hAnsi="Times New Roman" w:eastAsia="Times New Roman" w:cs="Times New Roman"/>
        </w:rPr>
        <w:t xml:space="preserve"> </w:t>
      </w:r>
      <w:r>
        <w:rPr>
          <w:rFonts w:ascii="Nirmala UI" w:hAnsi="Nirmala UI" w:eastAsia="Nirmala UI" w:cs="Nirmala UI"/>
        </w:rPr>
        <w:t>ꯁꯇꯃꯕꯂꯣꯛ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ꯂꯥꯏꯔꯤꯛꯀꯤ</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ꯈꯨꯟꯅꯩ</w:t>
      </w:r>
      <w:r>
        <w:rPr>
          <w:rFonts w:ascii="Times New Roman" w:hAnsi="Times New Roman" w:eastAsia="Times New Roman" w:cs="Times New Roman"/>
        </w:rPr>
        <w:t xml:space="preserve"> </w:t>
      </w:r>
      <w:r>
        <w:rPr>
          <w:rFonts w:ascii="Nirmala UI" w:hAnsi="Nirmala UI" w:eastAsia="Nirmala UI" w:cs="Nirmala UI"/>
        </w:rPr>
        <w:t>ꯋꯥꯈꯜꯁꯤꯡ</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ꯑꯊꯧꯕ</w:t>
      </w:r>
      <w:r>
        <w:rPr>
          <w:rFonts w:ascii="Times New Roman" w:hAnsi="Times New Roman" w:eastAsia="Times New Roman" w:cs="Times New Roman"/>
        </w:rPr>
        <w:t xml:space="preserve"> </w:t>
      </w:r>
      <w:r>
        <w:rPr>
          <w:rFonts w:ascii="Nirmala UI" w:hAnsi="Nirmala UI" w:eastAsia="Nirmala UI" w:cs="Nirmala UI"/>
        </w:rPr>
        <w:t>ꯋꯥꯈꯜꯒꯤ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ꯑꯩꯇꯥꯔ</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ꯆꯥꯅꯕ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ꯍꯦꯟꯒꯠꯄꯥꯟ</w:t>
      </w:r>
      <w:r>
        <w:rPr>
          <w:rFonts w:ascii="Times New Roman" w:hAnsi="Times New Roman" w:eastAsia="Times New Roman" w:cs="Times New Roman"/>
        </w:rPr>
        <w:t xml:space="preserve"> </w:t>
      </w:r>
      <w:r>
        <w:rPr>
          <w:rFonts w:ascii="Nirmala UI" w:hAnsi="Nirmala UI" w:eastAsia="Nirmala UI" w:cs="Nirmala UI"/>
        </w:rPr>
        <w:t>ꯊꯥꯕꯒꯤ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ꯁꯦꯝꯂꯕ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ꯃꯔꯣꯜꯗ</w:t>
      </w:r>
      <w:r>
        <w:rPr>
          <w:rFonts w:ascii="Times New Roman" w:hAnsi="Times New Roman" w:eastAsia="Times New Roman" w:cs="Times New Roman"/>
        </w:rPr>
        <w:t xml:space="preserve"> </w:t>
      </w:r>
      <w:r>
        <w:rPr>
          <w:rFonts w:ascii="Nirmala UI" w:hAnsi="Nirmala UI" w:eastAsia="Nirmala UI" w:cs="Nirmala UI"/>
        </w:rPr>
        <w:t>ꯑꯣꯏꯍꯜꯂꯕ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ꯂꯥꯎꯗꯤꯆꯤꯌꯥꯗ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ꯑꯪꯒꯝꯕ</w:t>
      </w:r>
      <w:r>
        <w:rPr>
          <w:rFonts w:ascii="Times New Roman" w:hAnsi="Times New Roman" w:eastAsia="Times New Roman" w:cs="Times New Roman"/>
        </w:rPr>
        <w:t xml:space="preserve"> </w:t>
      </w:r>
      <w:r>
        <w:rPr>
          <w:rFonts w:ascii="Nirmala UI" w:hAnsi="Nirmala UI" w:eastAsia="Nirmala UI" w:cs="Nirmala UI"/>
        </w:rPr>
        <w:t>ꯃꯤꯊꯤꯜ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ꯍꯧꯖꯤꯛꯁꯨ</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ꯆꯥꯅꯕ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ꯍꯦꯟꯒꯠꯄꯥꯟ</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ꯃꯤꯊꯤꯜ</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ꯑꯃꯥꯡꯕꯒꯤ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ꯈꯨꯗꯣꯜ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ꯅꯥꯆꯤꯡꯁꯤꯡ</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ꯃꯤꯇꯁꯤꯡ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ꯑꯣꯟꯊꯣꯛꯄ</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ꯊꯃꯣꯏ</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ꯂꯥꯝꯆꯠꯀꯤ</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ꯊꯥꯎꯕꯗ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ꯃꯄꯣꯛꯅ</w:t>
      </w:r>
      <w:r>
        <w:rPr>
          <w:rFonts w:ascii="Times New Roman" w:hAnsi="Times New Roman" w:eastAsia="Times New Roman" w:cs="Times New Roman"/>
        </w:rPr>
        <w:t xml:space="preserve"> </w:t>
      </w:r>
      <w:r>
        <w:rPr>
          <w:rFonts w:ascii="Nirmala UI" w:hAnsi="Nirmala UI" w:eastAsia="Nirmala UI" w:cs="Nirmala UI"/>
        </w:rPr>
        <w:t>ꯄꯤꯍꯜꯂꯕ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ꯃꯐꯝꯗ꯫</w:t>
      </w:r>
    </w:p>
    <w:p>
      <w:pPr>
        <w:pStyle w:val="ArticleScripture"/>
        <w:jc w:val="left"/>
      </w:pPr>
      <w:r>
        <w:rPr>
          <w:rFonts w:ascii="Times New Roman" w:hAnsi="Times New Roman" w:eastAsia="Times New Roman" w:cs="Times New Roman"/>
        </w:rPr>
        <w:t>«Cristo, en Su enseñanza, presentó antiguas verdades de las cuales Él mismo era el originador, verdades que había hablado por medio de patriarcas y profetas; pero ahora derramó sobre ellas una nueva luz. ¡Cuán diferente aparecía su significado! Un raudal de luz y espiritualidad fue aportado por Su explicación. Y prometió que el Espíritu Santo habría de iluminar a los discípulos, para que la palabra de Dios se les fuese desplegando continuamente. Ellos podrían presentar sus verdades con nueva hermosura.</w:t>
      </w:r>
    </w:p>
    <w:p>
      <w:pPr>
        <w:pStyle w:val="ArticleScripture"/>
        <w:jc w:val="left"/>
      </w:pPr>
      <w:r>
        <w:rPr>
          <w:rFonts w:ascii="Times New Roman" w:hAnsi="Times New Roman" w:eastAsia="Times New Roman" w:cs="Times New Roman"/>
        </w:rPr>
        <w:t>«Kufuma ku gihe isezerano rya mbere ry’agakiza ryavugiwe muri Edeni, ubuzima, imico, n’umurimo wa Kristo wo kuba Umuhuza byabaye ibyo intekerezo z’abantu ziga. Nyamara buri bwenge Umwuka Wera yakoreyemo bwagiye bwerekana izi ngingo mu mucyo mushya kandi ushushe. Ukuri kw’agakiza gushobora guhora gutera imbere no kwaguka. Nubwo ari ukuri kwa kera, guhora ari gushya, kandi guhora guhishurira ushaka ukuri ikuzo rirushijeho kuba rinini n’imbaraga zisumba.»</w:t>
      </w:r>
    </w:p>
    <w:p>
      <w:pPr>
        <w:pStyle w:val="ArticleScripture"/>
        <w:jc w:val="left"/>
      </w:pPr>
      <w:r>
        <w:rPr>
          <w:rFonts w:ascii="Times New Roman" w:hAnsi="Times New Roman" w:eastAsia="Times New Roman" w:cs="Times New Roman"/>
        </w:rPr>
        <w:t>«ہر دور میں صداقت کی ایک نئی پیش رفت ہوتی ہے، اُس نسل کے لوگوں کے لیے خدا کی طرف سے ایک پیغام ہوتا ہے۔ پُرانی صداقتیں سب کی سب بنیادی اور ناگزیر ہیں؛ نئی صداقت پُرانی سے جدا اور خودمختار نہیں ہوتی، بلکہ اُسی کی ایک تدریجی شرح و انکشاف ہوتی ہے۔ صرف اُسی صورت میں جب پُرانی صداقتوں کو سمجھ لیا جائے، ہم نئی کو سمجھ سکتے ہیں۔ جب مسیح نے اپنے شاگردوں پر اپنی قیامت کی صداقت کو کھولنا چاہا، تو اُس نے ‘موسیٰ اور سب نبیوں سے’ شروع کیا اور ‘تمام نوشتوں میں اُن باتوں کی تفسیر کی جو اُس کے بارے میں تھیں۔’ لوقا 24:27۔ لیکن یہ وہی نور ہے جو صداقت کے نئے انکشاف میں چمکتا ہے اور پُرانی صداقت کو جلال بخشتا ہے۔ جو شخص نئی صداقت کو رد کرتا یا اُس سے غفلت برتتا ہے، وہ حقیقت میں پُرانی کا بھی حامل نہیں ہوتا۔ اُس کے لیے وہ اپنی حیاتی قوت کھو دیتی ہے اور محض ایک بےجان صورت بن کر رہ جاتی ہے۔»</w:t>
      </w:r>
    </w:p>
    <w:p>
      <w:pPr>
        <w:pStyle w:val="ArticleScripture"/>
        <w:jc w:val="left"/>
      </w:pPr>
      <w:r>
        <w:rPr>
          <w:rFonts w:ascii="Times New Roman" w:hAnsi="Times New Roman" w:eastAsia="Times New Roman" w:cs="Times New Roman"/>
        </w:rPr>
        <w:t>“Aigua ama ixmatqueh quipantlalia quipiyazqueh in tlaneltoquiliztli huan quitemachtiazqueh in tlamachtiliztli in Yancuic Ahmoxtli, ihuan quihuejcamaj in Yancuic Testamento. Noso, ipampa ahmo quiseliah itlamachtil in Cristo, quitenextiah nic ahmo quineltoquiliah in tlen oquihtohqueh in huehueh tatah huan in tiotenejmachtianih. ‘Tla anquineltocaqueh Moisés,’ oquihto Cristo, ‘noihqui antechnechneltocaquiah; ipampa yeh onechihcuiloh de Nehua.’ Juan 5:46. Ica non, ahmo cah huel melahuac chicahualiztli ipan in intemachtlaliaz in achto Testamento noihqui.”</w:t>
      </w:r>
    </w:p>
    <w:p>
      <w:pPr>
        <w:pStyle w:val="ArticleScripture"/>
        <w:jc w:val="left"/>
      </w:pPr>
      <w:r>
        <w:rPr>
          <w:rFonts w:ascii="Times New Roman" w:hAnsi="Times New Roman" w:eastAsia="Times New Roman" w:cs="Times New Roman"/>
        </w:rPr>
        <w:t>“Walin yang mangangkon nga nagatuo kag nagatudlo sang maayong balita ara man sa amo nga kasaypanan. Ginasikway nila ang mga Kasulatan sang Daan nga Katipan, nga nahanungod sini si Cristo naghambal, ‘Amo ini sila nga nagapamatuod nahanungod sa Akon.’ Juan 5:39. Sa pagsikway nila sang Daan, sa pagkamatuod ginasikway man nila ang Bag-o; kay ang duha mga bahin sang isa ka indi mabahin nga bug-os. Wala sing tawo nga mahimo makapahayag sing husto sang kasuguan sang Dios nga wala ang maayong balita, ukon sang maayong balita nga wala ang kasuguan. Ang kasuguan amo ang maayong balita nga nagpakatawo, kag ang maayong balita amo ang kasuguan nga ginpahayag sa kahayag. Ang kasuguan amo ang gamot, ang maayong balita amo ang mahumot nga bulak kag bunga nga ginadala sini.” Christ’s Object Lessons, 127.</w:t>
      </w:r>
    </w:p>
    <w:p>
      <w:pPr>
        <w:pStyle w:val="ArticleBody"/>
        <w:jc w:val="left"/>
      </w:pPr>
      <w:r>
        <w:rPr>
          <w:rFonts w:ascii="Ebrima" w:hAnsi="Ebrima" w:eastAsia="Ebrima" w:cs="Ebrima"/>
        </w:rPr>
        <w:t>የቀድሞውን</w:t>
      </w:r>
      <w:r>
        <w:rPr>
          <w:rFonts w:ascii="Times New Roman" w:hAnsi="Times New Roman" w:eastAsia="Times New Roman" w:cs="Times New Roman"/>
        </w:rPr>
        <w:t xml:space="preserve"> </w:t>
      </w:r>
      <w:r>
        <w:rPr>
          <w:rFonts w:ascii="Ebrima" w:hAnsi="Ebrima" w:eastAsia="Ebrima" w:cs="Ebrima"/>
        </w:rPr>
        <w:t>እንደሚያምኑ</w:t>
      </w:r>
      <w:r>
        <w:rPr>
          <w:rFonts w:ascii="Times New Roman" w:hAnsi="Times New Roman" w:eastAsia="Times New Roman" w:cs="Times New Roman"/>
        </w:rPr>
        <w:t xml:space="preserve"> </w:t>
      </w:r>
      <w:r>
        <w:rPr>
          <w:rFonts w:ascii="Ebrima" w:hAnsi="Ebrima" w:eastAsia="Ebrima" w:cs="Ebrima"/>
        </w:rPr>
        <w:t>የሚናገሩ፣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አዲሱን</w:t>
      </w:r>
      <w:r>
        <w:rPr>
          <w:rFonts w:ascii="Times New Roman" w:hAnsi="Times New Roman" w:eastAsia="Times New Roman" w:cs="Times New Roman"/>
        </w:rPr>
        <w:t xml:space="preserve"> </w:t>
      </w:r>
      <w:r>
        <w:rPr>
          <w:rFonts w:ascii="Ebrima" w:hAnsi="Ebrima" w:eastAsia="Ebrima" w:cs="Ebrima"/>
        </w:rPr>
        <w:t>የሚክዱ</w:t>
      </w:r>
      <w:r>
        <w:rPr>
          <w:rFonts w:ascii="Times New Roman" w:hAnsi="Times New Roman" w:eastAsia="Times New Roman" w:cs="Times New Roman"/>
        </w:rPr>
        <w:t xml:space="preserve"> </w:t>
      </w:r>
      <w:r>
        <w:rPr>
          <w:rFonts w:ascii="Ebrima" w:hAnsi="Ebrima" w:eastAsia="Ebrima" w:cs="Ebrima"/>
        </w:rPr>
        <w:t>ሰዎችን</w:t>
      </w:r>
      <w:r>
        <w:rPr>
          <w:rFonts w:ascii="Times New Roman" w:hAnsi="Times New Roman" w:eastAsia="Times New Roman" w:cs="Times New Roman"/>
        </w:rPr>
        <w:t xml:space="preserve"> </w:t>
      </w:r>
      <w:r>
        <w:rPr>
          <w:rFonts w:ascii="Ebrima" w:hAnsi="Ebrima" w:eastAsia="Ebrima" w:cs="Ebrima"/>
        </w:rPr>
        <w:t>የሚመለከተው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ቅዱስን</w:t>
      </w:r>
      <w:r>
        <w:rPr>
          <w:rFonts w:ascii="Times New Roman" w:hAnsi="Times New Roman" w:eastAsia="Times New Roman" w:cs="Times New Roman"/>
        </w:rPr>
        <w:t xml:space="preserve"> </w:t>
      </w:r>
      <w:r>
        <w:rPr>
          <w:rFonts w:ascii="Ebrima" w:hAnsi="Ebrima" w:eastAsia="Ebrima" w:cs="Ebrima"/>
        </w:rPr>
        <w:t>በሙሉ</w:t>
      </w:r>
      <w:r>
        <w:rPr>
          <w:rFonts w:ascii="Times New Roman" w:hAnsi="Times New Roman" w:eastAsia="Times New Roman" w:cs="Times New Roman"/>
        </w:rPr>
        <w:t xml:space="preserve"> </w:t>
      </w:r>
      <w:r>
        <w:rPr>
          <w:rFonts w:ascii="Ebrima" w:hAnsi="Ebrima" w:eastAsia="Ebrima" w:cs="Ebrima"/>
        </w:rPr>
        <w:t>እንደሚያምኑ</w:t>
      </w:r>
      <w:r>
        <w:rPr>
          <w:rFonts w:ascii="Times New Roman" w:hAnsi="Times New Roman" w:eastAsia="Times New Roman" w:cs="Times New Roman"/>
        </w:rPr>
        <w:t xml:space="preserve"> </w:t>
      </w:r>
      <w:r>
        <w:rPr>
          <w:rFonts w:ascii="Ebrima" w:hAnsi="Ebrima" w:eastAsia="Ebrima" w:cs="Ebrima"/>
        </w:rPr>
        <w:t>የሚናገሩ፣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መንፈስን</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የሚክዱ</w:t>
      </w:r>
      <w:r>
        <w:rPr>
          <w:rFonts w:ascii="Times New Roman" w:hAnsi="Times New Roman" w:eastAsia="Times New Roman" w:cs="Times New Roman"/>
        </w:rPr>
        <w:t xml:space="preserve"> </w:t>
      </w:r>
      <w:r>
        <w:rPr>
          <w:rFonts w:ascii="Ebrima" w:hAnsi="Ebrima" w:eastAsia="Ebrima" w:cs="Ebrima"/>
        </w:rPr>
        <w:t>በሰባተኛው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አድቬንቲስቶች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ይበልጥ</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ተግባራዊነት</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ቅዱስንና</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መንፈስን</w:t>
      </w:r>
      <w:r>
        <w:rPr>
          <w:rFonts w:ascii="Times New Roman" w:hAnsi="Times New Roman" w:eastAsia="Times New Roman" w:cs="Times New Roman"/>
        </w:rPr>
        <w:t xml:space="preserve"> </w:t>
      </w:r>
      <w:r>
        <w:rPr>
          <w:rFonts w:ascii="Ebrima" w:hAnsi="Ebrima" w:eastAsia="Ebrima" w:cs="Ebrima"/>
        </w:rPr>
        <w:t>ሁለቱንም</w:t>
      </w:r>
      <w:r>
        <w:rPr>
          <w:rFonts w:ascii="Times New Roman" w:hAnsi="Times New Roman" w:eastAsia="Times New Roman" w:cs="Times New Roman"/>
        </w:rPr>
        <w:t xml:space="preserve"> </w:t>
      </w:r>
      <w:r>
        <w:rPr>
          <w:rFonts w:ascii="Ebrima" w:hAnsi="Ebrima" w:eastAsia="Ebrima" w:cs="Ebrima"/>
        </w:rPr>
        <w:t>ስለተቀበሉ</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የሚሰደዱ</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Myanmar Text" w:hAnsi="Myanmar Text" w:eastAsia="Myanmar Text" w:cs="Myanmar Text"/>
        </w:rPr>
        <w:t>နားကျင်မှု၌လည်းကောင်း၊</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နိုင်ငံတော်၌လည်းကောင်း၊</w:t>
      </w:r>
      <w:r>
        <w:rPr>
          <w:rFonts w:ascii="Times New Roman" w:hAnsi="Times New Roman" w:eastAsia="Times New Roman" w:cs="Times New Roman"/>
        </w:rPr>
        <w:t xml:space="preserve"> </w:t>
      </w:r>
      <w:r>
        <w:rPr>
          <w:rFonts w:ascii="Myanmar Text" w:hAnsi="Myanmar Text" w:eastAsia="Myanmar Text" w:cs="Myanmar Text"/>
        </w:rPr>
        <w:t>ခံနိုင်ရည်၌လည်းကောင်း</w:t>
      </w:r>
      <w:r>
        <w:rPr>
          <w:rFonts w:ascii="Times New Roman" w:hAnsi="Times New Roman" w:eastAsia="Times New Roman" w:cs="Times New Roman"/>
        </w:rPr>
        <w:t xml:space="preserve"> </w:t>
      </w:r>
      <w:r>
        <w:rPr>
          <w:rFonts w:ascii="Myanmar Text" w:hAnsi="Myanmar Text" w:eastAsia="Myanmar Text" w:cs="Myanmar Text"/>
        </w:rPr>
        <w:t>သင်တို့နှင့်အတူ</w:t>
      </w:r>
      <w:r>
        <w:rPr>
          <w:rFonts w:ascii="Times New Roman" w:hAnsi="Times New Roman" w:eastAsia="Times New Roman" w:cs="Times New Roman"/>
        </w:rPr>
        <w:t xml:space="preserve"> </w:t>
      </w:r>
      <w:r>
        <w:rPr>
          <w:rFonts w:ascii="Myanmar Text" w:hAnsi="Myanmar Text" w:eastAsia="Myanmar Text" w:cs="Myanmar Text"/>
        </w:rPr>
        <w:t>အဖော်ဖြစ်သော၊</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ညီအစ်ကိုလည်းဖြစ်သော</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နှုတ်ကပတ်တော်ကြောင့်လည်းကောင်း၊</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သက်သေခံချက်ကြောင့်လည်းကောင်း၊</w:t>
      </w:r>
      <w:r>
        <w:rPr>
          <w:rFonts w:ascii="Times New Roman" w:hAnsi="Times New Roman" w:eastAsia="Times New Roman" w:cs="Times New Roman"/>
        </w:rPr>
        <w:t xml:space="preserve"> </w:t>
      </w:r>
      <w:r>
        <w:rPr>
          <w:rFonts w:ascii="Myanmar Text" w:hAnsi="Myanmar Text" w:eastAsia="Myanmar Text" w:cs="Myanmar Text"/>
        </w:rPr>
        <w:t>ပါတ်မော့ဟု</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ကျွန်း၌</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၉။</w:t>
      </w:r>
    </w:p>
    <w:p>
      <w:pPr>
        <w:pStyle w:val="ArticleBody"/>
        <w:jc w:val="left"/>
      </w:pPr>
      <w:r>
        <w:rPr>
          <w:rFonts w:ascii="Times New Roman" w:hAnsi="Times New Roman" w:eastAsia="Times New Roman" w:cs="Times New Roman"/>
        </w:rPr>
        <w:t>Miɗo gooto jaɓii seedaaji Yesu, kaŋko woni Ruuhu Annabaaku, kaŋko woni binndol Ellen White, ndee tawde ɗoɗnde ɓeydude e binndol maako hollii finaaɗo mo mi waɗi haa yaha. O windii wonde “goongaaji kisndam ena mbaawi waɗde jokkol e yaajol baafol; koo ndee ɗi ko ko ɓuri ko ɗi woɗɓe, ɗi ngoni kala e kala kesum, ɓe ngollirta e ceerno goonga kollital daraja mawɗo e sembe ɓurɗo mawnude,” e wonde “nder saare kala ɗon ena woodi jokkol kesol ngol goonga, ɓatakki Alla to yimɓe jaŋngol ngeen.”</w:t>
      </w:r>
    </w:p>
    <w:p>
      <w:pPr>
        <w:pStyle w:val="ArticleBody"/>
        <w:jc w:val="left"/>
      </w:pPr>
      <w:r>
        <w:rPr>
          <w:rFonts w:ascii="Microsoft Himalaya" w:hAnsi="Microsoft Himalaya" w:eastAsia="Microsoft Himalaya" w:cs="Microsoft Himalaya"/>
        </w:rPr>
        <w:t>ལུགས་སྲོལ་དུ་བཞག་པའི་</w:t>
      </w:r>
      <w:r>
        <w:rPr>
          <w:rFonts w:ascii="Times New Roman" w:hAnsi="Times New Roman" w:eastAsia="Times New Roman" w:cs="Times New Roman"/>
        </w:rPr>
        <w:t>«</w:t>
      </w:r>
      <w:r>
        <w:rPr>
          <w:rFonts w:ascii="Microsoft Himalaya" w:hAnsi="Microsoft Himalaya" w:eastAsia="Microsoft Himalaya" w:cs="Microsoft Himalaya"/>
        </w:rPr>
        <w:t>མངོན་རྟོགས</w:t>
      </w:r>
      <w:r>
        <w:rPr>
          <w:rFonts w:ascii="Times New Roman" w:hAnsi="Times New Roman" w:eastAsia="Times New Roman" w:cs="Times New Roman"/>
        </w:rPr>
        <w:t>»</w:t>
      </w:r>
      <w:r>
        <w:rPr>
          <w:rFonts w:ascii="Microsoft Himalaya" w:hAnsi="Microsoft Himalaya" w:eastAsia="Microsoft Himalaya" w:cs="Microsoft Himalaya"/>
        </w:rPr>
        <w:t>ཀྱི་དེབ་ལ་སི་ཝནྛི་དེ་ཨེཌ་ཝེན་ཏིསིཊ་གཅིག་གིས་བཟུང་བ་ལྟ་བུའི་རྟོགས་པ་ནི་བདེན་པ་ཡིན་ནའང་།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མངོན་རྟོགས</w:t>
      </w:r>
      <w:r>
        <w:rPr>
          <w:rFonts w:ascii="Times New Roman" w:hAnsi="Times New Roman" w:eastAsia="Times New Roman" w:cs="Times New Roman"/>
        </w:rPr>
        <w:t>»</w:t>
      </w:r>
      <w:r>
        <w:rPr>
          <w:rFonts w:ascii="Microsoft Himalaya" w:hAnsi="Microsoft Himalaya" w:eastAsia="Microsoft Himalaya" w:cs="Microsoft Himalaya"/>
        </w:rPr>
        <w:t>ཀྱི་དེབ་ཡོངས་རྫོགས་ནི་མཐའ་མའི་ཉིན་མོའི་དཔང་པོ་ཞིག་ཡིན།</w:t>
      </w:r>
      <w:r>
        <w:rPr>
          <w:rFonts w:ascii="Times New Roman" w:hAnsi="Times New Roman" w:eastAsia="Times New Roman" w:cs="Times New Roman"/>
        </w:rPr>
        <w:t xml:space="preserve"> </w:t>
      </w:r>
      <w:r>
        <w:rPr>
          <w:rFonts w:ascii="Microsoft Himalaya" w:hAnsi="Microsoft Himalaya" w:eastAsia="Microsoft Himalaya" w:cs="Microsoft Himalaya"/>
        </w:rPr>
        <w:t>ང་ཚོས་ད་ལྟ་ཁ་ཕྱེས་སུ་འགྱུར་བའི་བདེན་པ་ཞིག་ལ་བཀོལ་སྤྱོད་བྱེད་ཀྱི་ཡོད།</w:t>
      </w:r>
      <w:r>
        <w:rPr>
          <w:rFonts w:ascii="Times New Roman" w:hAnsi="Times New Roman" w:eastAsia="Times New Roman" w:cs="Times New Roman"/>
        </w:rPr>
        <w:t xml:space="preserve"> </w:t>
      </w:r>
      <w:r>
        <w:rPr>
          <w:rFonts w:ascii="Microsoft Himalaya" w:hAnsi="Microsoft Himalaya" w:eastAsia="Microsoft Himalaya" w:cs="Microsoft Himalaya"/>
        </w:rPr>
        <w:t>དེའི་བདེན་པ་དེ་ནི་མཐའ་མའི་ཉིན་མོར་ཁ་ཕྱེས་པའི་ཡེ་ཤུ་ཀྲིསྟོས་ཀྱི་མངོན་རྟོགས་ཀྱི་ཆ་ཤས་ཡིན་པའི་</w:t>
      </w:r>
      <w:r>
        <w:rPr>
          <w:rFonts w:ascii="Times New Roman" w:hAnsi="Times New Roman" w:eastAsia="Times New Roman" w:cs="Times New Roman"/>
        </w:rPr>
        <w:t>«</w:t>
      </w:r>
      <w:r>
        <w:rPr>
          <w:rFonts w:ascii="Microsoft Himalaya" w:hAnsi="Microsoft Himalaya" w:eastAsia="Microsoft Himalaya" w:cs="Microsoft Himalaya"/>
        </w:rPr>
        <w:t>མངོན་རྟོགས</w:t>
      </w:r>
      <w:r>
        <w:rPr>
          <w:rFonts w:ascii="Times New Roman" w:hAnsi="Times New Roman" w:eastAsia="Times New Roman" w:cs="Times New Roman"/>
        </w:rPr>
        <w:t>»</w:t>
      </w:r>
      <w:r>
        <w:rPr>
          <w:rFonts w:ascii="Microsoft Himalaya" w:hAnsi="Microsoft Himalaya" w:eastAsia="Microsoft Himalaya" w:cs="Microsoft Himalaya"/>
        </w:rPr>
        <w:t>ཀྱི་ཚིག་བརྗོད་ཡོངས་རྫོགས་ལ་ཁས་ལེན་བྱེད་མི་འདོད་པ་རྣམས་ཀྱིས་ངོས་འཛིན་མི་བྱེད།</w:t>
      </w:r>
    </w:p>
    <w:p>
      <w:pPr>
        <w:pStyle w:val="ArticleBody"/>
        <w:jc w:val="left"/>
      </w:pPr>
      <w:r>
        <w:rPr>
          <w:rFonts w:ascii="Times New Roman" w:hAnsi="Times New Roman" w:eastAsia="Times New Roman" w:cs="Times New Roman"/>
        </w:rPr>
        <w:t>Aybɔɲinli-bá a Adventism ŋun yɔɔ Revelation kpaŋ 11 ni, ka o be French Revolution tiɛmɛɛli, o yi tɛɛlɛ; nɛ Sister White mun sugi o yɔɔtɛɛlɛ kɔrɔ. Kaani, o nyɛɛma yɔɔtɛɛlɛ nɛɛ be sɔŋ histori dɔɔ, n kɛ ka a ŋmɛni la a yɛli la ka a ŋmɛni daanɛ lɛhɛri ni. Revelation kpaŋ kɔɔlɔɔ mun nyɛ be yeli o prophetic phenomenon ni.</w:t>
      </w:r>
    </w:p>
    <w:p>
      <w:pPr>
        <w:pStyle w:val="ArticleBody"/>
        <w:jc w:val="left"/>
      </w:pPr>
      <w:r>
        <w:rPr>
          <w:rFonts w:ascii="Times New Roman" w:hAnsi="Times New Roman" w:eastAsia="Times New Roman" w:cs="Times New Roman"/>
        </w:rPr>
        <w:t>Dathin khrih sarihna pasarih theih loh tawh kan sawhthar leh mek a ni a, chu chu Ezekiel bung 37, Isaiah bung 40 leh Thupuan bung 11 te chu Matthai bung 25-a nungak sawm-te thu tehkhinna nen hmanpui tura kaihhnawihna atan a ni. Thlarau hrilhlâwkna thil thleng chhohdan kan sawi mek hman dan chu a ngaihdan atangin a pawm tir tura hrilhlâwkna line dang pakhat chu Krista line-ah hmuh a ni a; chu line-ah chuan witness pahnihna pawh a tel bawk. Isua chu a baptisma chan lai khan kum 30 mi a ni a, chutah chuan a lo ni ta a, Isua Krista; a chhan chu Thuthlung Thar Grik tawng-a “Christ” tih, emaw Thuthlung Hlui Hebrai tawng-a “Messiah” tih pawh hi “anointed one” tihna a nih avangin.</w:t>
      </w:r>
    </w:p>
    <w:p>
      <w:pPr>
        <w:pStyle w:val="ArticleScripture"/>
        <w:jc w:val="left"/>
      </w:pPr>
      <w:r>
        <w:rPr>
          <w:rFonts w:ascii="Times New Roman" w:hAnsi="Times New Roman" w:eastAsia="Times New Roman" w:cs="Times New Roman"/>
        </w:rPr>
        <w:t>Τὸν λόγον τοῦτον, λέγω, γνωρίζετε, τὸν διαδοθέντα καθ’ ὅλης τῆς Ἰουδαίας, ἀρξάμενον ἀπὸ τῆς Γαλιλαίας, μετὰ τὸ βάπτισμα ὃ ἐκήρυξεν ὁ Ἰωάννης· πῶς ὁ Θεὸς ἔχρισεν τὸν Ἰησοῦν τὸν ἀπὸ Ναζαρὲτ ἐν Πνεύματι Ἁγίῳ καὶ δυνάμει· ὃς διῆλθεν εὐεργετῶν καὶ ἰώμενος πάντας τοὺς καταδυναστευομένους ὑπὸ τοῦ διαβόλου, ὅτι ὁ Θεὸς ἦν μετ’ αὐτοῦ. Πράξεις 10:37, 38.</w:t>
      </w:r>
    </w:p>
    <w:p>
      <w:pPr>
        <w:pStyle w:val="ArticleBody"/>
        <w:jc w:val="left"/>
      </w:pPr>
      <w:r>
        <w:rPr>
          <w:rFonts w:ascii="Segoe UI Historic" w:hAnsi="Segoe UI Historic" w:eastAsia="Segoe UI Historic" w:cs="Segoe UI Historic"/>
        </w:rPr>
        <w:t>ܠܬܠܬܝܢ</w:t>
      </w:r>
      <w:r>
        <w:rPr>
          <w:rFonts w:ascii="Times New Roman" w:hAnsi="Times New Roman" w:eastAsia="Times New Roman" w:cs="Times New Roman"/>
        </w:rPr>
        <w:t xml:space="preserve"> </w:t>
      </w:r>
      <w:r>
        <w:rPr>
          <w:rFonts w:ascii="Segoe UI Historic" w:hAnsi="Segoe UI Historic" w:eastAsia="Segoe UI Historic" w:cs="Segoe UI Historic"/>
        </w:rPr>
        <w:t>ܫܢܝ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ܐܬܛܝܒ</w:t>
      </w:r>
      <w:r>
        <w:rPr>
          <w:rFonts w:ascii="Times New Roman" w:hAnsi="Times New Roman" w:eastAsia="Times New Roman" w:cs="Times New Roman"/>
        </w:rPr>
        <w:t xml:space="preserve"> </w:t>
      </w:r>
      <w:r>
        <w:rPr>
          <w:rFonts w:ascii="Segoe UI Historic" w:hAnsi="Segoe UI Historic" w:eastAsia="Segoe UI Historic" w:cs="Segoe UI Historic"/>
        </w:rPr>
        <w:t>ܝܫܘܥ</w:t>
      </w:r>
      <w:r>
        <w:rPr>
          <w:rFonts w:ascii="Times New Roman" w:hAnsi="Times New Roman" w:eastAsia="Times New Roman" w:cs="Times New Roman"/>
        </w:rPr>
        <w:t xml:space="preserve"> </w:t>
      </w:r>
      <w:r>
        <w:rPr>
          <w:rFonts w:ascii="Segoe UI Historic" w:hAnsi="Segoe UI Historic" w:eastAsia="Segoe UI Historic" w:cs="Segoe UI Historic"/>
        </w:rPr>
        <w:t>ܠܡܫܬܚܐ</w:t>
      </w:r>
      <w:r>
        <w:rPr>
          <w:rFonts w:ascii="Times New Roman" w:hAnsi="Times New Roman" w:eastAsia="Times New Roman" w:cs="Times New Roman"/>
        </w:rPr>
        <w:t xml:space="preserve">، </w:t>
      </w:r>
      <w:r>
        <w:rPr>
          <w:rFonts w:ascii="Segoe UI Historic" w:hAnsi="Segoe UI Historic" w:eastAsia="Segoe UI Historic" w:cs="Segoe UI Historic"/>
        </w:rPr>
        <w:t>ܘܟܕ</w:t>
      </w:r>
      <w:r>
        <w:rPr>
          <w:rFonts w:ascii="Times New Roman" w:hAnsi="Times New Roman" w:eastAsia="Times New Roman" w:cs="Times New Roman"/>
        </w:rPr>
        <w:t xml:space="preserve"> </w:t>
      </w:r>
      <w:r>
        <w:rPr>
          <w:rFonts w:ascii="Segoe UI Historic" w:hAnsi="Segoe UI Historic" w:eastAsia="Segoe UI Historic" w:cs="Segoe UI Historic"/>
        </w:rPr>
        <w:t>ܐܬܡܫܚ</w:t>
      </w:r>
      <w:r>
        <w:rPr>
          <w:rFonts w:ascii="Times New Roman" w:hAnsi="Times New Roman" w:eastAsia="Times New Roman" w:cs="Times New Roman"/>
        </w:rPr>
        <w:t xml:space="preserve"> </w:t>
      </w:r>
      <w:r>
        <w:rPr>
          <w:rFonts w:ascii="Segoe UI Historic" w:hAnsi="Segoe UI Historic" w:eastAsia="Segoe UI Historic" w:cs="Segoe UI Historic"/>
        </w:rPr>
        <w:t>ܒܥܡܕܗ</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ܐܩܪܒ</w:t>
      </w:r>
      <w:r>
        <w:rPr>
          <w:rFonts w:ascii="Times New Roman" w:hAnsi="Times New Roman" w:eastAsia="Times New Roman" w:cs="Times New Roman"/>
        </w:rPr>
        <w:t xml:space="preserve"> </w:t>
      </w:r>
      <w:r>
        <w:rPr>
          <w:rFonts w:ascii="Segoe UI Historic" w:hAnsi="Segoe UI Historic" w:eastAsia="Segoe UI Historic" w:cs="Segoe UI Historic"/>
        </w:rPr>
        <w:t>ܐܬܗ</w:t>
      </w:r>
      <w:r>
        <w:rPr>
          <w:rFonts w:ascii="Times New Roman" w:hAnsi="Times New Roman" w:eastAsia="Times New Roman" w:cs="Times New Roman"/>
        </w:rPr>
        <w:t xml:space="preserve"> </w:t>
      </w:r>
      <w:r>
        <w:rPr>
          <w:rFonts w:ascii="Segoe UI Historic" w:hAnsi="Segoe UI Historic" w:eastAsia="Segoe UI Historic" w:cs="Segoe UI Historic"/>
        </w:rPr>
        <w:t>ܠܬܠܬܐ</w:t>
      </w:r>
      <w:r>
        <w:rPr>
          <w:rFonts w:ascii="Times New Roman" w:hAnsi="Times New Roman" w:eastAsia="Times New Roman" w:cs="Times New Roman"/>
        </w:rPr>
        <w:t xml:space="preserve"> </w:t>
      </w:r>
      <w:r>
        <w:rPr>
          <w:rFonts w:ascii="Segoe UI Historic" w:hAnsi="Segoe UI Historic" w:eastAsia="Segoe UI Historic" w:cs="Segoe UI Historic"/>
        </w:rPr>
        <w:t>ܘܦܠܓܗܿ</w:t>
      </w:r>
      <w:r>
        <w:rPr>
          <w:rFonts w:ascii="Times New Roman" w:hAnsi="Times New Roman" w:eastAsia="Times New Roman" w:cs="Times New Roman"/>
        </w:rPr>
        <w:t xml:space="preserve"> </w:t>
      </w:r>
      <w:r>
        <w:rPr>
          <w:rFonts w:ascii="Segoe UI Historic" w:hAnsi="Segoe UI Historic" w:eastAsia="Segoe UI Historic" w:cs="Segoe UI Historic"/>
        </w:rPr>
        <w:t>ܝܘܡܝ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ܢܒܝܐܝ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ܐܬܩܛܠ</w:t>
      </w:r>
      <w:r>
        <w:rPr>
          <w:rFonts w:ascii="Times New Roman" w:hAnsi="Times New Roman" w:eastAsia="Times New Roman" w:cs="Times New Roman"/>
        </w:rPr>
        <w:t xml:space="preserve">، </w:t>
      </w:r>
      <w:r>
        <w:rPr>
          <w:rFonts w:ascii="Segoe UI Historic" w:hAnsi="Segoe UI Historic" w:eastAsia="Segoe UI Historic" w:cs="Segoe UI Historic"/>
        </w:rPr>
        <w:t>ܘܐܬܣܝܡ</w:t>
      </w:r>
      <w:r>
        <w:rPr>
          <w:rFonts w:ascii="Times New Roman" w:hAnsi="Times New Roman" w:eastAsia="Times New Roman" w:cs="Times New Roman"/>
        </w:rPr>
        <w:t xml:space="preserve"> </w:t>
      </w:r>
      <w:r>
        <w:rPr>
          <w:rFonts w:ascii="Segoe UI Historic" w:hAnsi="Segoe UI Historic" w:eastAsia="Segoe UI Historic" w:cs="Segoe UI Historic"/>
        </w:rPr>
        <w:t>ܒܩܒܪܐ</w:t>
      </w:r>
      <w:r>
        <w:rPr>
          <w:rFonts w:ascii="Times New Roman" w:hAnsi="Times New Roman" w:eastAsia="Times New Roman" w:cs="Times New Roman"/>
        </w:rPr>
        <w:t xml:space="preserve">، </w:t>
      </w:r>
      <w:r>
        <w:rPr>
          <w:rFonts w:ascii="Segoe UI Historic" w:hAnsi="Segoe UI Historic" w:eastAsia="Segoe UI Historic" w:cs="Segoe UI Historic"/>
        </w:rPr>
        <w:t>ܘܩܡ</w:t>
      </w:r>
      <w:r>
        <w:rPr>
          <w:rFonts w:ascii="Times New Roman" w:hAnsi="Times New Roman" w:eastAsia="Times New Roman" w:cs="Times New Roman"/>
        </w:rPr>
        <w:t xml:space="preserve">، </w:t>
      </w:r>
      <w:r>
        <w:rPr>
          <w:rFonts w:ascii="Segoe UI Historic" w:hAnsi="Segoe UI Historic" w:eastAsia="Segoe UI Historic" w:cs="Segoe UI Historic"/>
        </w:rPr>
        <w:t>ܘܒܬܪ</w:t>
      </w:r>
      <w:r>
        <w:rPr>
          <w:rFonts w:ascii="Times New Roman" w:hAnsi="Times New Roman" w:eastAsia="Times New Roman" w:cs="Times New Roman"/>
        </w:rPr>
        <w:t xml:space="preserve"> </w:t>
      </w:r>
      <w:r>
        <w:rPr>
          <w:rFonts w:ascii="Segoe UI Historic" w:hAnsi="Segoe UI Historic" w:eastAsia="Segoe UI Historic" w:cs="Segoe UI Historic"/>
        </w:rPr>
        <w:t>ܗܟܢ</w:t>
      </w:r>
      <w:r>
        <w:rPr>
          <w:rFonts w:ascii="Times New Roman" w:hAnsi="Times New Roman" w:eastAsia="Times New Roman" w:cs="Times New Roman"/>
        </w:rPr>
        <w:t xml:space="preserve"> </w:t>
      </w:r>
      <w:r>
        <w:rPr>
          <w:rFonts w:ascii="Segoe UI Historic" w:hAnsi="Segoe UI Historic" w:eastAsia="Segoe UI Historic" w:cs="Segoe UI Historic"/>
        </w:rPr>
        <w:t>ܣܠܩ</w:t>
      </w:r>
      <w:r>
        <w:rPr>
          <w:rFonts w:ascii="Times New Roman" w:hAnsi="Times New Roman" w:eastAsia="Times New Roman" w:cs="Times New Roman"/>
        </w:rPr>
        <w:t xml:space="preserve"> </w:t>
      </w:r>
      <w:r>
        <w:rPr>
          <w:rFonts w:ascii="Segoe UI Historic" w:hAnsi="Segoe UI Historic" w:eastAsia="Segoe UI Historic" w:cs="Segoe UI Historic"/>
        </w:rPr>
        <w:t>ܠܫܡܝܐ</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ܕܬܫܡܫܬܗ</w:t>
      </w:r>
      <w:r>
        <w:rPr>
          <w:rFonts w:ascii="Times New Roman" w:hAnsi="Times New Roman" w:eastAsia="Times New Roman" w:cs="Times New Roman"/>
        </w:rPr>
        <w:t xml:space="preserve"> </w:t>
      </w:r>
      <w:r>
        <w:rPr>
          <w:rFonts w:ascii="Segoe UI Historic" w:hAnsi="Segoe UI Historic" w:eastAsia="Segoe UI Historic" w:cs="Segoe UI Historic"/>
        </w:rPr>
        <w:t>ܕܬܠܬ</w:t>
      </w:r>
      <w:r>
        <w:rPr>
          <w:rFonts w:ascii="Times New Roman" w:hAnsi="Times New Roman" w:eastAsia="Times New Roman" w:cs="Times New Roman"/>
        </w:rPr>
        <w:t xml:space="preserve"> </w:t>
      </w:r>
      <w:r>
        <w:rPr>
          <w:rFonts w:ascii="Segoe UI Historic" w:hAnsi="Segoe UI Historic" w:eastAsia="Segoe UI Historic" w:cs="Segoe UI Historic"/>
        </w:rPr>
        <w:t>ܫܢܝ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ܘܦܠܓܗ</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ܥܡܕܗ</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ܕܡܝܠܐ</w:t>
      </w:r>
      <w:r>
        <w:rPr>
          <w:rFonts w:ascii="Times New Roman" w:hAnsi="Times New Roman" w:eastAsia="Times New Roman" w:cs="Times New Roman"/>
        </w:rPr>
        <w:t xml:space="preserve"> </w:t>
      </w:r>
      <w:r>
        <w:rPr>
          <w:rFonts w:ascii="Segoe UI Historic" w:hAnsi="Segoe UI Historic" w:eastAsia="Segoe UI Historic" w:cs="Segoe UI Historic"/>
        </w:rPr>
        <w:t>ܠܡܘܬܗ</w:t>
      </w:r>
      <w:r>
        <w:rPr>
          <w:rFonts w:ascii="Times New Roman" w:hAnsi="Times New Roman" w:eastAsia="Times New Roman" w:cs="Times New Roman"/>
        </w:rPr>
        <w:t xml:space="preserve"> </w:t>
      </w:r>
      <w:r>
        <w:rPr>
          <w:rFonts w:ascii="Segoe UI Historic" w:hAnsi="Segoe UI Historic" w:eastAsia="Segoe UI Historic" w:cs="Segoe UI Historic"/>
        </w:rPr>
        <w:t>ܘܠܩܝܡܬܗ</w:t>
      </w:r>
      <w:r>
        <w:rPr>
          <w:rFonts w:ascii="Times New Roman" w:hAnsi="Times New Roman" w:eastAsia="Times New Roman" w:cs="Times New Roman"/>
        </w:rPr>
        <w:t xml:space="preserve">؛ </w:t>
      </w:r>
      <w:r>
        <w:rPr>
          <w:rFonts w:ascii="Segoe UI Historic" w:hAnsi="Segoe UI Historic" w:eastAsia="Segoe UI Historic" w:cs="Segoe UI Historic"/>
        </w:rPr>
        <w:t>ܘܒܫܘܠܡ</w:t>
      </w:r>
      <w:r>
        <w:rPr>
          <w:rFonts w:ascii="Times New Roman" w:hAnsi="Times New Roman" w:eastAsia="Times New Roman" w:cs="Times New Roman"/>
        </w:rPr>
        <w:t xml:space="preserve"> </w:t>
      </w:r>
      <w:r>
        <w:rPr>
          <w:rFonts w:ascii="Segoe UI Historic" w:hAnsi="Segoe UI Historic" w:eastAsia="Segoe UI Historic" w:cs="Segoe UI Historic"/>
        </w:rPr>
        <w:t>ܐܠܦܐ</w:t>
      </w:r>
      <w:r>
        <w:rPr>
          <w:rFonts w:ascii="Times New Roman" w:hAnsi="Times New Roman" w:eastAsia="Times New Roman" w:cs="Times New Roman"/>
        </w:rPr>
        <w:t xml:space="preserve"> </w:t>
      </w:r>
      <w:r>
        <w:rPr>
          <w:rFonts w:ascii="Segoe UI Historic" w:hAnsi="Segoe UI Historic" w:eastAsia="Segoe UI Historic" w:cs="Segoe UI Historic"/>
        </w:rPr>
        <w:t>ܘܡܐܬܝܢ</w:t>
      </w:r>
      <w:r>
        <w:rPr>
          <w:rFonts w:ascii="Times New Roman" w:hAnsi="Times New Roman" w:eastAsia="Times New Roman" w:cs="Times New Roman"/>
        </w:rPr>
        <w:t xml:space="preserve"> </w:t>
      </w:r>
      <w:r>
        <w:rPr>
          <w:rFonts w:ascii="Segoe UI Historic" w:hAnsi="Segoe UI Historic" w:eastAsia="Segoe UI Historic" w:cs="Segoe UI Historic"/>
        </w:rPr>
        <w:t>ܘܫܬܝܢ</w:t>
      </w:r>
      <w:r>
        <w:rPr>
          <w:rFonts w:ascii="Times New Roman" w:hAnsi="Times New Roman" w:eastAsia="Times New Roman" w:cs="Times New Roman"/>
        </w:rPr>
        <w:t xml:space="preserve"> </w:t>
      </w:r>
      <w:r>
        <w:rPr>
          <w:rFonts w:ascii="Segoe UI Historic" w:hAnsi="Segoe UI Historic" w:eastAsia="Segoe UI Historic" w:cs="Segoe UI Historic"/>
        </w:rPr>
        <w:t>ܝܘܡܝ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ܕܬܫܡܫܬܗ</w:t>
      </w:r>
      <w:r>
        <w:rPr>
          <w:rFonts w:ascii="Times New Roman" w:hAnsi="Times New Roman" w:eastAsia="Times New Roman" w:cs="Times New Roman"/>
        </w:rPr>
        <w:t xml:space="preserve"> </w:t>
      </w:r>
      <w:r>
        <w:rPr>
          <w:rFonts w:ascii="Segoe UI Historic" w:hAnsi="Segoe UI Historic" w:eastAsia="Segoe UI Historic" w:cs="Segoe UI Historic"/>
        </w:rPr>
        <w:t>ܐܨܛܠܒ</w:t>
      </w:r>
      <w:r>
        <w:rPr>
          <w:rFonts w:ascii="Times New Roman" w:hAnsi="Times New Roman" w:eastAsia="Times New Roman" w:cs="Times New Roman"/>
        </w:rPr>
        <w:t xml:space="preserve"> </w:t>
      </w:r>
      <w:r>
        <w:rPr>
          <w:rFonts w:ascii="Segoe UI Historic" w:hAnsi="Segoe UI Historic" w:eastAsia="Segoe UI Historic" w:cs="Segoe UI Historic"/>
        </w:rPr>
        <w:t>ܘܒܬܪ</w:t>
      </w:r>
      <w:r>
        <w:rPr>
          <w:rFonts w:ascii="Times New Roman" w:hAnsi="Times New Roman" w:eastAsia="Times New Roman" w:cs="Times New Roman"/>
        </w:rPr>
        <w:t xml:space="preserve"> </w:t>
      </w:r>
      <w:r>
        <w:rPr>
          <w:rFonts w:ascii="Segoe UI Historic" w:hAnsi="Segoe UI Historic" w:eastAsia="Segoe UI Historic" w:cs="Segoe UI Historic"/>
        </w:rPr>
        <w:t>ܗܟܢ</w:t>
      </w:r>
      <w:r>
        <w:rPr>
          <w:rFonts w:ascii="Times New Roman" w:hAnsi="Times New Roman" w:eastAsia="Times New Roman" w:cs="Times New Roman"/>
        </w:rPr>
        <w:t xml:space="preserve"> </w:t>
      </w:r>
      <w:r>
        <w:rPr>
          <w:rFonts w:ascii="Segoe UI Historic" w:hAnsi="Segoe UI Historic" w:eastAsia="Segoe UI Historic" w:cs="Segoe UI Historic"/>
        </w:rPr>
        <w:t>ܩܡ</w:t>
      </w:r>
      <w:r>
        <w:rPr>
          <w:rFonts w:ascii="Times New Roman" w:hAnsi="Times New Roman" w:eastAsia="Times New Roman" w:cs="Times New Roman"/>
        </w:rPr>
        <w:t>—</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ܘܫܘܠܡܐ</w:t>
      </w:r>
      <w:r>
        <w:rPr>
          <w:rFonts w:ascii="Times New Roman" w:hAnsi="Times New Roman" w:eastAsia="Times New Roman" w:cs="Times New Roman"/>
        </w:rPr>
        <w:t xml:space="preserve">. </w:t>
      </w:r>
      <w:r>
        <w:rPr>
          <w:rFonts w:ascii="Segoe UI Historic" w:hAnsi="Segoe UI Historic" w:eastAsia="Segoe UI Historic" w:cs="Segoe UI Historic"/>
        </w:rPr>
        <w:t>ܘܗܘ</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ܕܡܘܬܗ</w:t>
      </w:r>
      <w:r>
        <w:rPr>
          <w:rFonts w:ascii="Times New Roman" w:hAnsi="Times New Roman" w:eastAsia="Times New Roman" w:cs="Times New Roman"/>
        </w:rPr>
        <w:t xml:space="preserve"> </w:t>
      </w:r>
      <w:r>
        <w:rPr>
          <w:rFonts w:ascii="Segoe UI Historic" w:hAnsi="Segoe UI Historic" w:eastAsia="Segoe UI Historic" w:cs="Segoe UI Historic"/>
        </w:rPr>
        <w:t>ܘܕܩܝܡܬܗ</w:t>
      </w:r>
      <w:r>
        <w:rPr>
          <w:rFonts w:ascii="Times New Roman" w:hAnsi="Times New Roman" w:eastAsia="Times New Roman" w:cs="Times New Roman"/>
        </w:rPr>
        <w:t xml:space="preserve"> </w:t>
      </w:r>
      <w:r>
        <w:rPr>
          <w:rFonts w:ascii="Segoe UI Historic" w:hAnsi="Segoe UI Historic" w:eastAsia="Segoe UI Historic" w:cs="Segoe UI Historic"/>
        </w:rPr>
        <w:t>ܐܘܠܕ</w:t>
      </w:r>
      <w:r>
        <w:rPr>
          <w:rFonts w:ascii="Times New Roman" w:hAnsi="Times New Roman" w:eastAsia="Times New Roman" w:cs="Times New Roman"/>
        </w:rPr>
        <w:t xml:space="preserve"> </w:t>
      </w:r>
      <w:r>
        <w:rPr>
          <w:rFonts w:ascii="Segoe UI Historic" w:hAnsi="Segoe UI Historic" w:eastAsia="Segoe UI Historic" w:cs="Segoe UI Historic"/>
        </w:rPr>
        <w:t>ܚܝܠܐ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ܕܬܘܒ</w:t>
      </w:r>
      <w:r>
        <w:rPr>
          <w:rFonts w:ascii="Times New Roman" w:hAnsi="Times New Roman" w:eastAsia="Times New Roman" w:cs="Times New Roman"/>
        </w:rPr>
        <w:t xml:space="preserve"> </w:t>
      </w:r>
      <w:r>
        <w:rPr>
          <w:rFonts w:ascii="Segoe UI Historic" w:hAnsi="Segoe UI Historic" w:eastAsia="Segoe UI Historic" w:cs="Segoe UI Historic"/>
        </w:rPr>
        <w:t>ܠܬܠܬ</w:t>
      </w:r>
      <w:r>
        <w:rPr>
          <w:rFonts w:ascii="Times New Roman" w:hAnsi="Times New Roman" w:eastAsia="Times New Roman" w:cs="Times New Roman"/>
        </w:rPr>
        <w:t xml:space="preserve"> </w:t>
      </w:r>
      <w:r>
        <w:rPr>
          <w:rFonts w:ascii="Segoe UI Historic" w:hAnsi="Segoe UI Historic" w:eastAsia="Segoe UI Historic" w:cs="Segoe UI Historic"/>
        </w:rPr>
        <w:t>ܫܢܝ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ܘܦܠܓܗ</w:t>
      </w:r>
      <w:r>
        <w:rPr>
          <w:rFonts w:ascii="Times New Roman" w:hAnsi="Times New Roman" w:eastAsia="Times New Roman" w:cs="Times New Roman"/>
        </w:rPr>
        <w:t xml:space="preserve"> </w:t>
      </w:r>
      <w:r>
        <w:rPr>
          <w:rFonts w:ascii="Segoe UI Historic" w:hAnsi="Segoe UI Historic" w:eastAsia="Segoe UI Historic" w:cs="Segoe UI Historic"/>
        </w:rPr>
        <w:t>ܐܘܒܠ</w:t>
      </w:r>
      <w:r>
        <w:rPr>
          <w:rFonts w:ascii="Times New Roman" w:hAnsi="Times New Roman" w:eastAsia="Times New Roman" w:cs="Times New Roman"/>
        </w:rPr>
        <w:t xml:space="preserve"> </w:t>
      </w:r>
      <w:r>
        <w:rPr>
          <w:rFonts w:ascii="Segoe UI Historic" w:hAnsi="Segoe UI Historic" w:eastAsia="Segoe UI Historic" w:cs="Segoe UI Historic"/>
        </w:rPr>
        <w:t>ܠܣܒܪܬܐ</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ܝܗܘܕܝ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ܘܡܢ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ܗܟܢ</w:t>
      </w:r>
      <w:r>
        <w:rPr>
          <w:rFonts w:ascii="Times New Roman" w:hAnsi="Times New Roman" w:eastAsia="Times New Roman" w:cs="Times New Roman"/>
        </w:rPr>
        <w:t xml:space="preserve"> </w:t>
      </w:r>
      <w:r>
        <w:rPr>
          <w:rFonts w:ascii="Segoe UI Historic" w:hAnsi="Segoe UI Historic" w:eastAsia="Segoe UI Historic" w:cs="Segoe UI Historic"/>
        </w:rPr>
        <w:t>ܠܥܠܡܐ</w:t>
      </w:r>
      <w:r>
        <w:rPr>
          <w:rFonts w:ascii="Times New Roman" w:hAnsi="Times New Roman" w:eastAsia="Times New Roman" w:cs="Times New Roman"/>
        </w:rPr>
        <w:t>.</w:t>
      </w:r>
    </w:p>
    <w:p>
      <w:pPr>
        <w:pStyle w:val="ArticleBody"/>
        <w:jc w:val="left"/>
      </w:pP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ᱵᱷᱵᱤᱥᱚᱛᱵᱟᱱᱤᱭᱟᱹ</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ᱠᱮᱛᱚᱞᱤᱠ</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ᱚᱱᱴᱤᱠᱨᱤᱥᱴ</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w:t>
      </w:r>
      <w:r>
        <w:rPr>
          <w:rFonts w:ascii="Nirmala UI" w:hAnsi="Nirmala UI" w:eastAsia="Nirmala UI" w:cs="Nirmala UI"/>
        </w:rPr>
        <w:t>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ᱵᱚᱞ</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ᱟᱵᱷᱤᱥᱮᱠ</w:t>
      </w:r>
      <w:r>
        <w:rPr>
          <w:rFonts w:ascii="Times New Roman" w:hAnsi="Times New Roman" w:eastAsia="Times New Roman" w:cs="Times New Roman"/>
        </w:rPr>
        <w:t xml:space="preserve"> </w:t>
      </w:r>
      <w:r>
        <w:rPr>
          <w:rFonts w:ascii="Nirmala UI" w:hAnsi="Nirmala UI" w:eastAsia="Nirmala UI" w:cs="Nirmala UI"/>
        </w:rPr>
        <w:t>ᱮᱢᱚᱜ</w:t>
      </w:r>
      <w:r>
        <w:rPr>
          <w:rFonts w:ascii="Times New Roman" w:hAnsi="Times New Roman" w:eastAsia="Times New Roman" w:cs="Times New Roman"/>
        </w:rPr>
        <w:t xml:space="preserve"> </w:t>
      </w:r>
      <w:r>
        <w:rPr>
          <w:rFonts w:ascii="Nirmala UI" w:hAnsi="Nirmala UI" w:eastAsia="Nirmala UI" w:cs="Nirmala UI"/>
        </w:rPr>
        <w:t>ᱟᱜᱮ</w:t>
      </w:r>
      <w:r>
        <w:rPr>
          <w:rFonts w:ascii="Times New Roman" w:hAnsi="Times New Roman" w:eastAsia="Times New Roman" w:cs="Times New Roman"/>
        </w:rPr>
        <w:t xml:space="preserve"> </w:t>
      </w:r>
      <w:r>
        <w:rPr>
          <w:rFonts w:ascii="Nirmala UI" w:hAnsi="Nirmala UI" w:eastAsia="Nirmala UI" w:cs="Nirmala UI"/>
        </w:rPr>
        <w:t>ᱛᱤᱥ</w:t>
      </w:r>
      <w:r>
        <w:rPr>
          <w:rFonts w:ascii="Times New Roman" w:hAnsi="Times New Roman" w:eastAsia="Times New Roman" w:cs="Times New Roman"/>
        </w:rPr>
        <w:t xml:space="preserve">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ᱯᱟᱹᱨᱥᱤ</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508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“the daily”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Sister White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ᱥᱚᱨᱟᱥᱚᱨᱤ</w:t>
      </w:r>
      <w:r>
        <w:rPr>
          <w:rFonts w:ascii="Times New Roman" w:hAnsi="Times New Roman" w:eastAsia="Times New Roman" w:cs="Times New Roman"/>
        </w:rPr>
        <w:t xml:space="preserve"> </w:t>
      </w:r>
      <w:r>
        <w:rPr>
          <w:rFonts w:ascii="Nirmala UI" w:hAnsi="Nirmala UI" w:eastAsia="Nirmala UI" w:cs="Nirmala UI"/>
        </w:rPr>
        <w:t>ᱡᱟᱱᱟᱹᱭᱟ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Daniel </w:t>
      </w:r>
      <w:r>
        <w:rPr>
          <w:rFonts w:ascii="Nirmala UI" w:hAnsi="Nirmala UI" w:eastAsia="Nirmala UI" w:cs="Nirmala UI"/>
        </w:rPr>
        <w:t>ᱯᱩᱛᱷᱤ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“the daily” </w:t>
      </w:r>
      <w:r>
        <w:rPr>
          <w:rFonts w:ascii="Nirmala UI" w:hAnsi="Nirmala UI" w:eastAsia="Nirmala UI" w:cs="Nirmala UI"/>
        </w:rPr>
        <w:t>ᱵᱟᱵᱛᱮ</w:t>
      </w:r>
      <w:r>
        <w:rPr>
          <w:rFonts w:ascii="Times New Roman" w:hAnsi="Times New Roman" w:eastAsia="Times New Roman" w:cs="Times New Roman"/>
        </w:rPr>
        <w:t xml:space="preserve"> Millerites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ᱴᱷᱤᱠ</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ᱭᱟᱹᱦᱟᱸ</w:t>
      </w:r>
      <w:r>
        <w:rPr>
          <w:rFonts w:ascii="Times New Roman" w:hAnsi="Times New Roman" w:eastAsia="Times New Roman" w:cs="Times New Roman"/>
        </w:rPr>
        <w:t xml:space="preserve"> </w:t>
      </w:r>
      <w:r>
        <w:rPr>
          <w:rFonts w:ascii="Nirmala UI" w:hAnsi="Nirmala UI" w:eastAsia="Nirmala UI" w:cs="Nirmala UI"/>
        </w:rPr>
        <w:t>ᱥᱚᱛᱛᱚ</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1930s </w:t>
      </w:r>
      <w:r>
        <w:rPr>
          <w:rFonts w:ascii="Nirmala UI" w:hAnsi="Nirmala UI" w:eastAsia="Nirmala UI" w:cs="Nirmala UI"/>
        </w:rPr>
        <w:t>ᱨᱮ</w:t>
      </w:r>
      <w:r>
        <w:rPr>
          <w:rFonts w:ascii="Times New Roman" w:hAnsi="Times New Roman" w:eastAsia="Times New Roman" w:cs="Times New Roman"/>
        </w:rPr>
        <w:t xml:space="preserve"> Laodicean Seventh-day Adventist church </w:t>
      </w:r>
      <w:r>
        <w:rPr>
          <w:rFonts w:ascii="Nirmala UI" w:hAnsi="Nirmala UI" w:eastAsia="Nirmala UI" w:cs="Nirmala UI"/>
        </w:rPr>
        <w:t>ᱮᱯᱚᱥᱴᱮᱴ</w:t>
      </w:r>
      <w:r>
        <w:rPr>
          <w:rFonts w:ascii="Times New Roman" w:hAnsi="Times New Roman" w:eastAsia="Times New Roman" w:cs="Times New Roman"/>
        </w:rPr>
        <w:t xml:space="preserve"> Protestantism </w:t>
      </w:r>
      <w:r>
        <w:rPr>
          <w:rFonts w:ascii="Nirmala UI" w:hAnsi="Nirmala UI" w:eastAsia="Nirmala UI" w:cs="Nirmala UI"/>
        </w:rPr>
        <w:t>ᱨᱮᱱ</w:t>
      </w:r>
      <w:r>
        <w:rPr>
          <w:rFonts w:ascii="Times New Roman" w:hAnsi="Times New Roman" w:eastAsia="Times New Roman" w:cs="Times New Roman"/>
        </w:rPr>
        <w:t xml:space="preserve"> Satanic </w:t>
      </w:r>
      <w:r>
        <w:rPr>
          <w:rFonts w:ascii="Nirmala UI" w:hAnsi="Nirmala UI" w:eastAsia="Nirmala UI" w:cs="Nirmala UI"/>
        </w:rPr>
        <w:t>ᱧᱮᱞ</w:t>
      </w:r>
      <w:r>
        <w:rPr>
          <w:rFonts w:ascii="Times New Roman" w:hAnsi="Times New Roman" w:eastAsia="Times New Roman" w:cs="Times New Roman"/>
        </w:rPr>
        <w:t xml:space="preserve"> “the daily” </w:t>
      </w:r>
      <w:r>
        <w:rPr>
          <w:rFonts w:ascii="Nirmala UI" w:hAnsi="Nirmala UI" w:eastAsia="Nirmala UI" w:cs="Nirmala UI"/>
        </w:rPr>
        <w:t>ᱵᱟᱵᱛᱮ</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ᱨᱩᱟᱹᱲ</w:t>
      </w:r>
      <w:r>
        <w:rPr>
          <w:rFonts w:ascii="Times New Roman" w:hAnsi="Times New Roman" w:eastAsia="Times New Roman" w:cs="Times New Roman"/>
        </w:rPr>
        <w:t xml:space="preserve"> </w:t>
      </w:r>
      <w:r>
        <w:rPr>
          <w:rFonts w:ascii="Nirmala UI" w:hAnsi="Nirmala UI" w:eastAsia="Nirmala UI" w:cs="Nirmala UI"/>
        </w:rPr>
        <w:t>ᱮᱱᱟ।</w:t>
      </w:r>
    </w:p>
    <w:p>
      <w:pPr>
        <w:pStyle w:val="ArticleScripture"/>
        <w:jc w:val="left"/>
      </w:pPr>
      <w:r>
        <w:rPr>
          <w:rFonts w:ascii="Times New Roman" w:hAnsi="Times New Roman" w:eastAsia="Times New Roman" w:cs="Times New Roman"/>
        </w:rPr>
        <w:t>«Шунда мен «кундалик»ка нисбатан (Дониёр 8:12) шунга амин бўлдимки, “қурбонлик” сўзи инсон ҳикмати билан қўшиб қўйилган бўлиб, матнга тегишли эмас; ва Раббимиз унинг тўғри маъносини ҳукм соати ҳақидаги нидони эълон қилганларга берган». Early Writings, 74.</w:t>
      </w:r>
    </w:p>
    <w:p>
      <w:pPr>
        <w:pStyle w:val="ArticleBody"/>
        <w:jc w:val="left"/>
      </w:pPr>
      <w:r>
        <w:rPr>
          <w:rFonts w:ascii="Times New Roman" w:hAnsi="Times New Roman" w:eastAsia="Times New Roman" w:cs="Times New Roman"/>
        </w:rPr>
        <w:t>«ڕۆژانە» نیشانەی پەروەردەی بەتپەرستییە، و ڕۆمای بەتپەرست هێزەکە بوو کە پاپایەتی دەستبەسەر دەکرد و لە سەرکەوتنی بۆ سەر تەختی زەوی ڕێگری دەکرد. وەک لە پەرتوکی دانیالدا پێشبینی کرابوو، و دواتر مێژوو پشتڕاستیی کرد، و دواتر فریشتەکان بۆ ویلیام میلەر ئاشکرایان کرد و دواتر ئێلن وایت پشتڕاستیی کرد؛ لە ساڵی 508دا، ئەو ڕێگرییە بەتپەرستانەی سەرهەڵدانی پاپایەتی لابرا. وەک مەسیح، دژەمەسیح بۆ ماوەی سی ساڵ ئامادەکاریی دەکرد تاکو لە 538دا دەسەڵات پێبدرێت. مەسیح و دژەمەسیح، هەردووکیان سی ساڵ ئامادەکارییان دەکرد بۆ ئەوەی دەسەڵات پێبدرێن. کاتێک پاپایەتی لە 538دا دەسەڵات پێدرا، پەیامی مردنی خۆی بۆ سێ ساڵ و نیوەی پێشبینیکراو ڕاگەیاند، هەروەک مەسیح پەیامی ژیانی خۆی بۆ سێ ساڵ و نیوە ڕاگەیاندبوو. ئەو دوو شایەتەی ئاشکرابوون 11، کە لە مێژووی شۆڕشی فەڕەنسا نوێنەرایەتی پەیمانی کۆن و پەیمانی نوێیان دەکرد، هەروەها هێزیان پێدرا بۆ ئەوەی بۆ سێ ڕۆژی پێشبینیکراو و نیوە پەیام بگەیەنن.</w:t>
      </w:r>
    </w:p>
    <w:p>
      <w:pPr>
        <w:pStyle w:val="ArticleScripture"/>
        <w:jc w:val="left"/>
      </w:pPr>
      <w:r>
        <w:rPr>
          <w:rFonts w:ascii="Times New Roman" w:hAnsi="Times New Roman" w:eastAsia="Times New Roman" w:cs="Times New Roman"/>
        </w:rPr>
        <w:t>Acunyaquë huëñallëhë añetacäham ca’ picama’ idigä, — aru tuarä ñu ehyaca huata mil doscientos sesenta días, saco aaquírahua’ oëmi —, Apocalipsis 11:3.</w:t>
      </w:r>
    </w:p>
    <w:p>
      <w:pPr>
        <w:pStyle w:val="ArticleBody"/>
        <w:jc w:val="left"/>
      </w:pPr>
      <w:r>
        <w:rPr>
          <w:rFonts w:ascii="Times New Roman" w:hAnsi="Times New Roman" w:eastAsia="Times New Roman" w:cs="Times New Roman"/>
        </w:rPr>
        <w:t>1798 ýylinda, müň iki ýüz altmyş pygamberlik gününden soň, mesih garşy diýilýän güýç ölümli ýarasyny aldy; edil Mesihiň müň iki ýüz altmyş günden soň haçda ölşi ýaly, hem-de Hudaýyň Sözüni aňladýan iki şaýadyň müň iki ýüz altmyş günden soň köçede öldürilişi ýaly.</w:t>
      </w:r>
    </w:p>
    <w:p>
      <w:pPr>
        <w:pStyle w:val="ArticleBody"/>
        <w:jc w:val="left"/>
      </w:pPr>
      <w:r>
        <w:rPr>
          <w:rFonts w:ascii="Times New Roman" w:hAnsi="Times New Roman" w:eastAsia="Times New Roman" w:cs="Times New Roman"/>
        </w:rPr>
        <w:t>Kristo igin ikatlon a aldaw, ket maysa kadagiti kangrunaan a suheto maipapan iti anticristo iti libro ti Apocalipsis ket ti pannakapaimbag manen ti nakapatay a sugatna, wenno ti panagungarna. Ti panagungar ni Kristo ket napasamak iti maikatlo nga aldaw, ket ti panagungar dagiti dua a saksí ket napasamak kalpasan ti tallo ket kagudua nga aldaw. Ti anticristo ket agungar a simboliko iti maikatlo nga aldaw, ta iti adu a naimpadtoan a pammaneknek, ti maikatlo nga aldaw ket simbolo ti linteg ti Domingo. Iti linteg ti Domingo, ti animal a naggapu iti baybay iti Apocalipsis trese ket agungar, ket ti tanda ti animal a naggapu iti baybay ket agbalin a maysa a suot. Kalpasanna, ti Nagkaykaysa a Pagilian, dagiti sangapulo nga ari iti Apocalipsis disi-siyete, iti pannakaidalan dagiti Nagkaykaysa a Estado, nga isu ti kangrunaan nga ari kadagiti sangapulo nga ari, ket itag-ayda ti anticristo a kas ulo ti tiga-luad a panagkaykaysa, bayat nga ti kinapapa ket sumang-at iti trono ti daga.</w:t>
      </w:r>
    </w:p>
    <w:p>
      <w:pPr>
        <w:pStyle w:val="ArticleScripture"/>
        <w:jc w:val="left"/>
      </w:pPr>
      <w:r>
        <w:rPr>
          <w:rFonts w:ascii="Times New Roman" w:hAnsi="Times New Roman" w:eastAsia="Times New Roman" w:cs="Times New Roman"/>
        </w:rPr>
        <w:t>“Wakati tunapokaribia shida ya mwisho, ni jambo la umuhimu mkuu kwamba maafikiano na umoja viwepo miongoni mwa vyombo vya Bwana. Ulimwengu umejaa dhoruba na vita na fitina. Hata hivyo chini ya kichwa kimoja—nguvu ya upapa—watu wataungana kumpinga Mungu katika nafsi ya mashahidi Wake. Muungano huu hutiwa nguvu na yule mwasi mkuu. Wakati anapotafuta kuwaunganisha mawakala wake katika kupigana dhidi ya ukweli, atafanya kazi ya kuwagawanya na kuwatawanya watetezi wake. Wivu, mashuku mabaya, usemi mbaya, huchochewa naye ili kuzalisha kutopatana na mifarakano.” Testimonies, juzuu ya 7, 182.</w:t>
      </w:r>
    </w:p>
    <w:p>
      <w:pPr>
        <w:pStyle w:val="ArticleBody"/>
        <w:jc w:val="left"/>
      </w:pPr>
      <w:r>
        <w:rPr>
          <w:rFonts w:ascii="Times New Roman" w:hAnsi="Times New Roman" w:eastAsia="Times New Roman" w:cs="Times New Roman"/>
        </w:rPr>
        <w:t>Ngemva kokuba umphikukristu evusiwe, ukhuphukela esihlalweni sobukhosi somhlaba, ahole inyunyana ephindwe kathathu ohambweni lwayo oluya e-Armagedoni, njengoba uJezebeli wahola u-Ahabi waya eNtabeni iKarmeli. Umhubi u-Asafi ubala izizwe eziyishumi, ezimele iZizwe Ezihlangene, njengomfelandawonye omubi wezitha zikaNkulunkulu, eziphakamisa “ikhanda” lazo, okuyilo “igunya lobupapa.”</w:t>
      </w:r>
    </w:p>
    <w:p>
      <w:pPr>
        <w:pStyle w:val="ArticleScripture"/>
        <w:jc w:val="left"/>
      </w:pPr>
      <w:r>
        <w:rPr>
          <w:rFonts w:ascii="Nirmala UI" w:hAnsi="Nirmala UI" w:eastAsia="Nirmala UI" w:cs="Nirmala UI"/>
        </w:rPr>
        <w:t>असाफ</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चुप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उपद्रव</w:t>
      </w:r>
      <w:r>
        <w:rPr>
          <w:rFonts w:ascii="Times New Roman" w:hAnsi="Times New Roman" w:eastAsia="Times New Roman" w:cs="Times New Roman"/>
        </w:rPr>
        <w:t xml:space="preserve"> </w:t>
      </w:r>
      <w:r>
        <w:rPr>
          <w:rFonts w:ascii="Nirmala UI" w:hAnsi="Nirmala UI" w:eastAsia="Nirmala UI" w:cs="Nirmala UI"/>
        </w:rPr>
        <w:t>मचा</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छलयुक्त</w:t>
      </w:r>
      <w:r>
        <w:rPr>
          <w:rFonts w:ascii="Times New Roman" w:hAnsi="Times New Roman" w:eastAsia="Times New Roman" w:cs="Times New Roman"/>
        </w:rPr>
        <w:t xml:space="preserve"> </w:t>
      </w:r>
      <w:r>
        <w:rPr>
          <w:rFonts w:ascii="Nirmala UI" w:hAnsi="Nirmala UI" w:eastAsia="Nirmala UI" w:cs="Nirmala UI"/>
        </w:rPr>
        <w:t>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परामर्श</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एकमत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आपस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परामर्श</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एदोम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इश्माएली</w:t>
      </w:r>
      <w:r>
        <w:rPr>
          <w:rFonts w:ascii="Times New Roman" w:hAnsi="Times New Roman" w:eastAsia="Times New Roman" w:cs="Times New Roman"/>
        </w:rPr>
        <w:t xml:space="preserve">; </w:t>
      </w:r>
      <w:r>
        <w:rPr>
          <w:rFonts w:ascii="Nirmala UI" w:hAnsi="Nirmala UI" w:eastAsia="Nirmala UI" w:cs="Nirmala UI"/>
        </w:rPr>
        <w:t>मोआब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गबाल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अम्मोन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अमालेक</w:t>
      </w:r>
      <w:r>
        <w:rPr>
          <w:rFonts w:ascii="Times New Roman" w:hAnsi="Times New Roman" w:eastAsia="Times New Roman" w:cs="Times New Roman"/>
        </w:rPr>
        <w:t xml:space="preserve">; </w:t>
      </w:r>
      <w:r>
        <w:rPr>
          <w:rFonts w:ascii="Nirmala UI" w:hAnsi="Nirmala UI" w:eastAsia="Nirmala UI" w:cs="Nirmala UI"/>
        </w:rPr>
        <w:t>पलिश्ती</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निवासियों</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83:1–8</w:t>
      </w:r>
      <w:r>
        <w:rPr>
          <w:rFonts w:ascii="Nirmala UI" w:hAnsi="Nirmala UI" w:eastAsia="Nirmala UI" w:cs="Nirmala UI"/>
        </w:rPr>
        <w:t>।</w:t>
      </w:r>
    </w:p>
    <w:p>
      <w:pPr>
        <w:pStyle w:val="ArticleBody"/>
        <w:jc w:val="left"/>
      </w:pPr>
      <w:r>
        <w:rPr>
          <w:rFonts w:ascii="Times New Roman" w:hAnsi="Times New Roman" w:eastAsia="Times New Roman" w:cs="Times New Roman"/>
        </w:rPr>
        <w:t>Sutatiava na droka ni lomalagi na drotini ni agilosi e tolu.</w:t>
      </w:r>
    </w:p>
    <w:p>
      <w:pPr>
        <w:pStyle w:val="ArticleScripture"/>
        <w:jc w:val="left"/>
      </w:pPr>
      <w:r>
        <w:rPr>
          <w:rFonts w:ascii="Times New Roman" w:hAnsi="Times New Roman" w:eastAsia="Times New Roman" w:cs="Times New Roman"/>
        </w:rPr>
        <w:t>ꞌAteꞌ ñaykita pue annan ánghel a magtayáw it katengnga ning langit, a yaꞌtí kaniya ing ebanghelyung e aliwa anggang kekatamung, ban ipangaral na karela deng eganaganang mikyabe king yatu, at king balang bansa, at lahi, at amanu, at tau, A magsalita king maragul a buses, Matakut kayu king Diyos, at ibye yu kekaya ing kaluwalhatian; uling dateng ya ing oras ning kayang pangukum: at samba yu ing ginu yang lalang king langit, at yatu, at dagat, at deng bukal da reng danum. At sinundan ne ning annen a ánghel, a magsabi, Migsa ya, migsa ya ing Babilonia, ing dakal a siyudad, uling pinainum na ding sablang bansa king alak ning poot ning kayang pakikiapid. At ing katlung ánghel sinunud narela, a magsalita king maragul a buses, Nung ninu man ing sumamba king halimaw at king kayang larawan, at tumanggap king kayang tatak king kayang agtang, o king kayang gamat, Ing metung man a ita minum ya king alak ning poot ning Diyos, a mibugsu a e mehalu king tasa ning kayang indinyasion; at pahirapan ya king api at asupre king arap da reng banal a ánghel, at king arap ning Cordero: At ing asuk ning pamagtiis da akyat yang anggang kekatamung; at ala lang kapaynawan aldo ampon bengi, deng sumasamba king halimaw at king kayang larawan, at ing ninu mang tumanggap king tatak ning kayang lagyu. Ati iti ing pagtitiis da reng banal: ati reni deng mangadi king kautusan da ning Diyos, at king pananampalataya ni Jesus. Pahayag 14:6–12.</w:t>
      </w:r>
    </w:p>
    <w:p>
      <w:pPr>
        <w:pStyle w:val="ArticleBody"/>
        <w:jc w:val="left"/>
      </w:pPr>
      <w:r>
        <w:rPr>
          <w:rFonts w:ascii="Times New Roman" w:hAnsi="Times New Roman" w:eastAsia="Times New Roman" w:cs="Times New Roman"/>
        </w:rPr>
        <w:t>د ئاسمان په منځ کې به د دریو فرښتو نښه هغه مهال رپېږي، خو ډېر ژر به د ملګرو ملتونو د لسو پاچاهانو له خوا د مسیح ضد آسمان ته پورته کړل شي. نښه به بیا د «حق» پیغام اعلانوي، او مسیح ضد به بیا د دود او رواج پیغام اعلانوي. درې فرښتې انسانانو ته خبرداری ورکوي چې د پاپيت نښه و نه مني، خو متحده ایالات، د دروغجن نبي په توګه، به نړۍ اړ باسي چې هماغه نښه ومني.</w:t>
      </w:r>
    </w:p>
    <w:p>
      <w:pPr>
        <w:pStyle w:val="ArticleBody"/>
        <w:jc w:val="left"/>
      </w:pPr>
      <w:r>
        <w:rPr>
          <w:rFonts w:ascii="Times New Roman" w:hAnsi="Times New Roman" w:eastAsia="Times New Roman" w:cs="Times New Roman"/>
        </w:rPr>
        <w:t>نحن سنختتم هنا، ونستأنف ذلك في مقالنا القادم.</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Të Zbuluarit e Jezu Krishtit - Numri Gjashtë</dc:title>
  <dc:subject>Pa Tubk'iilil ichil le Kimi'o'ob ku Kuxlajtalob.</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