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Kristusun Paariyangan - Lakin Pissqa</w:t>
      </w:r>
    </w:p>
    <w:p>
      <w:pPr>
        <w:pStyle w:val="ArticleSubtitle"/>
        <w:jc w:val="left"/>
      </w:pPr>
      <w:r>
        <w:rPr>
          <w:rFonts w:ascii="Segoe UI" w:hAnsi="Segoe UI" w:eastAsia="Segoe UI" w:cs="Segoe UI"/>
        </w:rPr>
        <w:t>ئەتمین</w:t>
      </w:r>
      <w:r>
        <w:rPr>
          <w:rFonts w:ascii="Arial" w:hAnsi="Arial" w:eastAsia="Arial" w:cs="Arial"/>
        </w:rPr>
        <w:t xml:space="preserve"> </w:t>
      </w:r>
      <w:r>
        <w:rPr>
          <w:rFonts w:ascii="Segoe UI" w:hAnsi="Segoe UI" w:eastAsia="Segoe UI" w:cs="Segoe UI"/>
        </w:rPr>
        <w:t>مۆر</w:t>
      </w:r>
      <w:r>
        <w:rPr>
          <w:rFonts w:ascii="Arial" w:hAnsi="Arial" w:eastAsia="Arial" w:cs="Arial"/>
        </w:rPr>
        <w:t xml:space="preserve"> </w:t>
      </w:r>
      <w:r>
        <w:rPr>
          <w:rFonts w:ascii="Segoe UI" w:hAnsi="Segoe UI" w:eastAsia="Segoe UI" w:cs="Segoe UI"/>
        </w:rPr>
        <w:t>وەكردنەوەی</w:t>
      </w:r>
      <w:r>
        <w:rPr>
          <w:rFonts w:ascii="Arial" w:hAnsi="Arial" w:eastAsia="Arial" w:cs="Arial"/>
        </w:rPr>
        <w:t xml:space="preserve"> </w:t>
      </w:r>
      <w:r>
        <w:rPr>
          <w:rFonts w:ascii="Segoe UI" w:hAnsi="Segoe UI" w:eastAsia="Segoe UI" w:cs="Segoe UI"/>
        </w:rPr>
        <w:t>ڕاستیی</w:t>
      </w:r>
      <w:r>
        <w:rPr>
          <w:rFonts w:ascii="Arial" w:hAnsi="Arial" w:eastAsia="Arial" w:cs="Arial"/>
        </w:rPr>
        <w:t xml:space="preserve"> </w:t>
      </w:r>
      <w:r>
        <w:rPr>
          <w:rFonts w:ascii="Segoe UI" w:hAnsi="Segoe UI" w:eastAsia="Segoe UI" w:cs="Segoe UI"/>
        </w:rPr>
        <w:t>پێغەمبەرانە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Markaasuu inni mallattoo torbaffaa bane, samii keessatti callisni yeroo walakkaa sa’aatii ta’u ture. Ergamaan torban warra Waaqa dura dhaabatan arge; isaanis xurumbaa torba ni kennaman. Ergamaan kan biraas iddoo aarsaa bira dhufee dhaabate; mi’a aarsaa warqee qabatee ture; akka inni kadhannaa qulqulloota hundumaa wajjin iddoo aarsaa warqee kan teessoo mootummaa duraa ture irratti dhiheessuuf, ixaana baay’een isatti kenname. Aarri ixaanaa sunis, kan kadhannaa qulqulloota wajjin ture, harka ergamichaa keessaa fuula Waaqa dura ol ba’e. Ergamaanis mi’a aarsaa sana fudhatee ibidda iddoo aarsaa irraa guutee lafatti darbate; sagaleewwan, qilleensota guguddoo, bakakkaawwan, fi kirkirri lafaa ni ta’an. Mul’ata Yohaannis 8:1–5.</w:t>
      </w:r>
    </w:p>
    <w:p>
      <w:pPr>
        <w:pStyle w:val="ArticleBody"/>
        <w:jc w:val="left"/>
      </w:pPr>
      <w:r>
        <w:rPr>
          <w:rFonts w:ascii="Times New Roman" w:hAnsi="Times New Roman" w:eastAsia="Times New Roman" w:cs="Times New Roman"/>
        </w:rPr>
        <w:t>No ateetañhinýi tupaópe guive osẽva tata marangatu rehe, upe tembiasakue aja Estados Unidos oguerúta tata ky’a’ỹva yvága peteĩha guive. Pe jehechauka umi siete trueno he’íva Apocalipsis kapítulo diez-pe, oñembotýva’erã kuri pe prueba yvyporakuérape g̃uarã oñemboty mboyve. Pe prueba yvyporakuérape g̃uarã avei ojehechauka hi’aguĩma oñemboty hag̃ua, oñeavri jave pe séptimo sello.</w:t>
      </w:r>
    </w:p>
    <w:p>
      <w:pPr>
        <w:pStyle w:val="ArticleScripture"/>
        <w:jc w:val="left"/>
      </w:pPr>
      <w:r>
        <w:rPr>
          <w:rFonts w:ascii="Times New Roman" w:hAnsi="Times New Roman" w:eastAsia="Times New Roman" w:cs="Times New Roman"/>
        </w:rPr>
        <w:t>Ariña nayaruw sasitu: Aka qillqatan profecía arunakapa jan imtʼamti, kunattï pacha jakʼankxiwa. Khititejj jan cheqapäki ukajj jukʼamp jan cheqapäskakpan; khititejj qʼañuchatäki ukajj jukʼamp qʼañuchatäskakpan; khititejj cheqapar uñjatäki ukajj jukʼamp cheqapar uñjatäskakpan; khititejj qullanäki ukajj jukʼamp qullanäskakpan. Apocalipsis 22:10, 11.</w:t>
      </w:r>
    </w:p>
    <w:p>
      <w:pPr>
        <w:pStyle w:val="ArticleBody"/>
        <w:jc w:val="left"/>
      </w:pPr>
      <w:r>
        <w:rPr>
          <w:rFonts w:ascii="Times New Roman" w:hAnsi="Times New Roman" w:eastAsia="Times New Roman" w:cs="Times New Roman"/>
        </w:rPr>
        <w:t>Аккәатәи мөҳәара аартра ҟалеит, ашәарыцара мҩаԥгаразы аҟыџьеибагаз быжьҩык анџьелцәа андырхиоз.</w:t>
      </w:r>
    </w:p>
    <w:p>
      <w:pPr>
        <w:pStyle w:val="ArticleScripture"/>
        <w:jc w:val="left"/>
      </w:pPr>
      <w:r>
        <w:rPr>
          <w:rFonts w:ascii="Times New Roman" w:hAnsi="Times New Roman" w:eastAsia="Times New Roman" w:cs="Times New Roman"/>
        </w:rPr>
        <w:t>Zazqendákuy ay wambrakuna, qanchis trompetakunata charishkakuna, waqachinankupaq allistakurqanku. Apocalipsis 8:6.</w:t>
      </w:r>
    </w:p>
    <w:p>
      <w:pPr>
        <w:pStyle w:val="ArticleBody"/>
        <w:jc w:val="left"/>
      </w:pPr>
      <w:r>
        <w:rPr>
          <w:rFonts w:ascii="Myanmar Text" w:hAnsi="Myanmar Text" w:eastAsia="Myanmar Text" w:cs="Myanmar Text"/>
        </w:rPr>
        <w:t>စစ်ဆေးခြင်းကာလ</w:t>
      </w:r>
      <w:r>
        <w:rPr>
          <w:rFonts w:ascii="Times New Roman" w:hAnsi="Times New Roman" w:eastAsia="Times New Roman" w:cs="Times New Roman"/>
        </w:rPr>
        <w:t xml:space="preserve"> </w:t>
      </w:r>
      <w:r>
        <w:rPr>
          <w:rFonts w:ascii="Myanmar Text" w:hAnsi="Myanmar Text" w:eastAsia="Myanmar Text" w:cs="Myanmar Text"/>
        </w:rPr>
        <w:t>ပိတ်သိမ်းသောအခါ၊</w:t>
      </w:r>
      <w:r>
        <w:rPr>
          <w:rFonts w:ascii="Times New Roman" w:hAnsi="Times New Roman" w:eastAsia="Times New Roman" w:cs="Times New Roman"/>
        </w:rPr>
        <w:t xml:space="preserve"> </w:t>
      </w:r>
      <w:r>
        <w:rPr>
          <w:rFonts w:ascii="Myanmar Text" w:hAnsi="Myanmar Text" w:eastAsia="Myanmar Text" w:cs="Myanmar Text"/>
        </w:rPr>
        <w:t>လူတို့၏အပြစ်များအတွက်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ကြားဝင်ဆုတောင်းပေးခြင်းသည်</w:t>
      </w:r>
      <w:r>
        <w:rPr>
          <w:rFonts w:ascii="Times New Roman" w:hAnsi="Times New Roman" w:eastAsia="Times New Roman" w:cs="Times New Roman"/>
        </w:rPr>
        <w:t xml:space="preserve"> </w:t>
      </w:r>
      <w:r>
        <w:rPr>
          <w:rFonts w:ascii="Myanmar Text" w:hAnsi="Myanmar Text" w:eastAsia="Myanmar Text" w:cs="Myanmar Text"/>
        </w:rPr>
        <w:t>အဆုံးသတ်သွားပြီဖြစ်သောကြောင့်၊</w:t>
      </w:r>
      <w:r>
        <w:rPr>
          <w:rFonts w:ascii="Times New Roman" w:hAnsi="Times New Roman" w:eastAsia="Times New Roman" w:cs="Times New Roman"/>
        </w:rPr>
        <w:t xml:space="preserve"> “</w:t>
      </w:r>
      <w:r>
        <w:rPr>
          <w:rFonts w:ascii="Myanmar Text" w:hAnsi="Myanmar Text" w:eastAsia="Myanmar Text" w:cs="Myanmar Text"/>
        </w:rPr>
        <w:t>မည်သည့်လူမျှ</w:t>
      </w:r>
      <w:r>
        <w:rPr>
          <w:rFonts w:ascii="Times New Roman" w:hAnsi="Times New Roman" w:eastAsia="Times New Roman" w:cs="Times New Roman"/>
        </w:rPr>
        <w:t>” “</w:t>
      </w:r>
      <w:r>
        <w:rPr>
          <w:rFonts w:ascii="Myanmar Text" w:hAnsi="Myanmar Text" w:eastAsia="Myanmar Text" w:cs="Myanmar Text"/>
        </w:rPr>
        <w:t>ဗိမာန်တော်ထဲသို့</w:t>
      </w:r>
      <w:r>
        <w:rPr>
          <w:rFonts w:ascii="Times New Roman" w:hAnsi="Times New Roman" w:eastAsia="Times New Roman" w:cs="Times New Roman"/>
        </w:rPr>
        <w:t xml:space="preserve"> </w:t>
      </w:r>
      <w:r>
        <w:rPr>
          <w:rFonts w:ascii="Myanmar Text" w:hAnsi="Myanmar Text" w:eastAsia="Myanmar Text" w:cs="Myanmar Text"/>
        </w:rPr>
        <w:t>ဝင်နိုင်</w:t>
      </w:r>
      <w:r>
        <w:rPr>
          <w:rFonts w:ascii="Times New Roman" w:hAnsi="Times New Roman" w:eastAsia="Times New Roman" w:cs="Times New Roman"/>
        </w:rPr>
        <w:t xml:space="preserve">” </w:t>
      </w:r>
      <w:r>
        <w:rPr>
          <w:rFonts w:ascii="Myanmar Text" w:hAnsi="Myanmar Text" w:eastAsia="Myanmar Text" w:cs="Myanmar Text"/>
        </w:rPr>
        <w:t>မည်မဟုတ်။</w:t>
      </w:r>
      <w:r>
        <w:rPr>
          <w:rFonts w:ascii="Times New Roman" w:hAnsi="Times New Roman" w:eastAsia="Times New Roman" w:cs="Times New Roman"/>
        </w:rPr>
        <w:t xml:space="preserve"> </w:t>
      </w:r>
      <w:r>
        <w:rPr>
          <w:rFonts w:ascii="Myanmar Text" w:hAnsi="Myanmar Text" w:eastAsia="Myanmar Text" w:cs="Myanmar Text"/>
        </w:rPr>
        <w:t>စစ်ဆေးခြင်းကာလသည်</w:t>
      </w:r>
      <w:r>
        <w:rPr>
          <w:rFonts w:ascii="Times New Roman" w:hAnsi="Times New Roman" w:eastAsia="Times New Roman" w:cs="Times New Roman"/>
        </w:rPr>
        <w:t xml:space="preserve"> </w:t>
      </w:r>
      <w:r>
        <w:rPr>
          <w:rFonts w:ascii="Myanmar Text" w:hAnsi="Myanmar Text" w:eastAsia="Myanmar Text" w:cs="Myanmar Text"/>
        </w:rPr>
        <w:t>ပိတ်သိမ်းသွားပြီး၊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အမျက်တော်ခွက်များကို</w:t>
      </w:r>
      <w:r>
        <w:rPr>
          <w:rFonts w:ascii="Times New Roman" w:hAnsi="Times New Roman" w:eastAsia="Times New Roman" w:cs="Times New Roman"/>
        </w:rPr>
        <w:t xml:space="preserve"> </w:t>
      </w:r>
      <w:r>
        <w:rPr>
          <w:rFonts w:ascii="Myanmar Text" w:hAnsi="Myanmar Text" w:eastAsia="Myanmar Text" w:cs="Myanmar Text"/>
        </w:rPr>
        <w:t>သွန်းလောင်းရန်</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ခုနစ်ပါးအား</w:t>
      </w:r>
      <w:r>
        <w:rPr>
          <w:rFonts w:ascii="Times New Roman" w:hAnsi="Times New Roman" w:eastAsia="Times New Roman" w:cs="Times New Roman"/>
        </w:rPr>
        <w:t xml:space="preserve"> </w:t>
      </w:r>
      <w:r>
        <w:rPr>
          <w:rFonts w:ascii="Myanmar Text" w:hAnsi="Myanmar Text" w:eastAsia="Myanmar Text" w:cs="Myanmar Text"/>
        </w:rPr>
        <w:t>အမိန့်ပေးထားသည်။</w:t>
      </w:r>
    </w:p>
    <w:p>
      <w:pPr>
        <w:pStyle w:val="ArticleScripture"/>
        <w:jc w:val="left"/>
      </w:pPr>
      <w:r>
        <w:rPr>
          <w:rFonts w:ascii="Times New Roman" w:hAnsi="Times New Roman" w:eastAsia="Times New Roman" w:cs="Times New Roman"/>
        </w:rPr>
        <w:t>A templo manqʼan humo oqaräna Diosan jachʼa kʼajkir qhanapatsa, chʼamapatsa; ukatsti janiw khitis templor mantañ puedkäniti, paqallqu angelanakan paqallqu tʼaqhisiyäwinakap phuqhasiñkama. Ukatsti templot mistur jachʼa aru istʼaraktwa, paqallqu angelanakar sasin: Sarapxam, ukat Diosan colerasiñap phukhunakap oraqer warapxam. Apocalipsis 15:8, 16:1.</w:t>
      </w:r>
    </w:p>
    <w:p>
      <w:pPr>
        <w:pStyle w:val="ArticleBody"/>
        <w:jc w:val="left"/>
      </w:pPr>
      <w:r>
        <w:rPr>
          <w:rFonts w:ascii="Times New Roman" w:hAnsi="Times New Roman" w:eastAsia="Times New Roman" w:cs="Times New Roman"/>
        </w:rPr>
        <w:t>Ayaw nni nkyerɛkyerɛ biara sɛ abɔfo baason a wɔhyɛn ntorobɛnto baason no wɔ Adiyisɛm ti akron kosi du-baako mu no yɛ soronko fi abɔfo baason a wohwie nsɛeɛ a etwa to baason no ho. Mmom no, nkɔmhyɛ su a atemmu a ntorobɛnto baason no gyina hɔ ma no da no adi no, ne Onyankopɔn abufuw nkuku baason no gyinabea ne ne nsunsuanso wɔ ti dunsia mu no kɔ pɛ. Sɛnea ɛbɛma nkitahodi no ada adi kɛse no, wɔfrɛ ntorobɛnto atemmu no tẽẽ sɛ nsɛeɛ.</w:t>
      </w:r>
    </w:p>
    <w:p>
      <w:pPr>
        <w:pStyle w:val="ArticleScripture"/>
        <w:jc w:val="left"/>
      </w:pPr>
      <w:r>
        <w:rPr>
          <w:rFonts w:ascii="Times New Roman" w:hAnsi="Times New Roman" w:eastAsia="Times New Roman" w:cs="Times New Roman"/>
        </w:rPr>
        <w:t>Ve adamzon ki äni beläler bilen öldürülmädiler, öz elleriniñ işlerinden täwbe etmediler; şeýtanlarga hem altından, kümüšten, misden, taştan hem agaçtan yasalğan butlarga sežde etmesinler dep täwbe etmediler; bulär ne körä bilär, ne eşidä bilär, ne de yörä bilär. Vahy 9:20.</w:t>
      </w:r>
    </w:p>
    <w:p>
      <w:pPr>
        <w:pStyle w:val="ArticleBody"/>
        <w:jc w:val="left"/>
      </w:pPr>
      <w:r>
        <w:rPr>
          <w:rFonts w:ascii="Times New Roman" w:hAnsi="Times New Roman" w:eastAsia="Times New Roman" w:cs="Times New Roman"/>
        </w:rPr>
        <w:t>افتتاح مُهر هفتم عمداً در چارچوب نزدیکیِ پایانِ مهلتِ فیض قرار داده شده است. مُهر هفتم گواهیِ دومی را نمایندگی می‌کند از آنچه هفت رعد «گفتند»؛ اموری که یوحنا و نیز پولس از نوشتن آن‌ها منع شده بودند.</w:t>
      </w:r>
    </w:p>
    <w:p>
      <w:pPr>
        <w:pStyle w:val="ArticleScripture"/>
        <w:jc w:val="left"/>
      </w:pPr>
      <w:r>
        <w:rPr>
          <w:rFonts w:ascii="Times New Roman" w:hAnsi="Times New Roman" w:eastAsia="Times New Roman" w:cs="Times New Roman"/>
        </w:rPr>
        <w:t>E khueh mahawh, sâva pathum a ri angin: a khueh zawhah, thundar pasarih chuan an aw tih ta. Thundar pasarih chuan an aw an tih hnuah ka ziak dawn a ni a: chutah van ata aw ka hria a, ka hnênah, “Thundar pasarih ten an sawi thilte chu khâr la, ziak suh,” a ti. Thupuan 10:3, 4.</w:t>
      </w:r>
    </w:p>
    <w:p>
      <w:pPr>
        <w:pStyle w:val="ArticleBody"/>
        <w:jc w:val="left"/>
      </w:pPr>
      <w:r>
        <w:rPr>
          <w:rFonts w:ascii="Times New Roman" w:hAnsi="Times New Roman" w:eastAsia="Times New Roman" w:cs="Times New Roman"/>
        </w:rPr>
        <w:t>Гьеб рахьдал «ургъараб» жо щуго тIинкIиналдасан печатьалде бахъараб букIана, ва къиркъуда жаниб, Ревелацияялъул тIехьалда печатьалде бахъараб пророчество рахьчIизе кколеб букIана, ва анкьабилеб печать гIадин, гьеб рахьчIизе кколеб букIана сынагIаталъул заман тIагIиналъе цебе.</w:t>
      </w:r>
    </w:p>
    <w:p>
      <w:pPr>
        <w:pStyle w:val="ArticleBody"/>
        <w:jc w:val="left"/>
      </w:pPr>
      <w:r>
        <w:rPr>
          <w:rFonts w:ascii="Times New Roman" w:hAnsi="Times New Roman" w:eastAsia="Times New Roman" w:cs="Times New Roman"/>
        </w:rPr>
        <w:t>أخت وایت توضّح أنّ ختم ما «تكلّمت به» الرعود السبعة يمثّل العمل نفسه الذي قام به أسد سبط يهوذا حين أمر دانيال أن يختم سفره إلى وقت النهاية. إنّ سفري دانيال والرؤيا هما السفر نفسه، وفي سفر الرؤيا يُصوَّر يسوع على أنّه أسد سبط يهوذا حين يفتح السفر المختوم بسبعة ختوم؛ ولذلك فإنّ أسد سبط يهوذا هو أيضًا الذي أمر دانيال أن يختم سفره إلى وقت النهاية. أسد سبط يهوذا هو الذي يختم كلمته ويفتحها، لأنّه هو الكلمة.</w:t>
      </w:r>
    </w:p>
    <w:p>
      <w:pPr>
        <w:pStyle w:val="ArticleScripture"/>
        <w:jc w:val="left"/>
      </w:pPr>
      <w:r>
        <w:rPr>
          <w:rFonts w:ascii="Times New Roman" w:hAnsi="Times New Roman" w:eastAsia="Times New Roman" w:cs="Times New Roman"/>
        </w:rPr>
        <w:t>«پس از آن‌که این هفت رعد صداهای خود را برآوردند، همان‌گونه که در مورد کتاب کوچک به دانیال داده شده بود، به یوحنا نیز این فرمان داده می‌شود: “آنچه را که هفت رعد گفتند، مُهر کن.”» تفسیر کتاب‌مقدسی ادونتیست‌های روز هفتم، جلد ۷، ۹۷۱.</w:t>
      </w:r>
    </w:p>
    <w:p>
      <w:pPr>
        <w:pStyle w:val="ArticleBody"/>
        <w:jc w:val="left"/>
      </w:pPr>
      <w:r>
        <w:rPr>
          <w:rFonts w:ascii="Times New Roman" w:hAnsi="Times New Roman" w:eastAsia="Times New Roman" w:cs="Times New Roman"/>
        </w:rPr>
        <w:t>Даниял мен Аян кітаптарындағы ішкі айғақтар жетінші мөрдің ашылуы жеті күнкүркіреудің айтқан сөздерінің ашылуына екінші куәлік екенін айқындайды. Даниял кітабының ашылуы да, жеті мөрмен мөрленген кітаптың ашылуы да, пайғамбарлық хабар ашылған кезде аян болатын шындықтардың табиғаты жағынан біртіндеп өрбитінін көрсетеді. Сондықтан Даниял кітабы мұны білімнің артуы ретінде көрсетеді, ал Аян кітабы оны бір мөрдің артынан бір мөрдің алынуы ретінде бейнелейді.</w:t>
      </w:r>
    </w:p>
    <w:p>
      <w:pPr>
        <w:pStyle w:val="ArticleBody"/>
        <w:jc w:val="left"/>
      </w:pPr>
      <w:r>
        <w:rPr>
          <w:rFonts w:ascii="Times New Roman" w:hAnsi="Times New Roman" w:eastAsia="Times New Roman" w:cs="Times New Roman"/>
        </w:rPr>
        <w:t>Es una luz que va resplandeciendo más y más hasta el día perfecto.</w:t>
      </w:r>
    </w:p>
    <w:p>
      <w:pPr>
        <w:pStyle w:val="ArticleScripture"/>
        <w:jc w:val="left"/>
      </w:pPr>
      <w:r>
        <w:rPr>
          <w:rFonts w:ascii="Times New Roman" w:hAnsi="Times New Roman" w:eastAsia="Times New Roman" w:cs="Times New Roman"/>
        </w:rPr>
        <w:t>Nuni k’ari taypi sarnaqäwix qhan qhan qhaniri qhanjamawa, ukasti juk’amp juk’amp qhant’aski phuqhat urukamawa. Proverbios 4:18.</w:t>
      </w:r>
    </w:p>
    <w:p>
      <w:pPr>
        <w:pStyle w:val="ArticleBody"/>
        <w:jc w:val="left"/>
      </w:pPr>
      <w:r>
        <w:rPr>
          <w:rFonts w:ascii="Times New Roman" w:hAnsi="Times New Roman" w:eastAsia="Times New Roman" w:cs="Times New Roman"/>
        </w:rPr>
        <w:t>“</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“Alani kanngata si Dios iti nagkauna a tattaona a masansan a laglagipen dagiti panangtratarna kadakuada iti asi ken panangukom, iti pammagbaga ken panangtubngar, kasta met a napateg unay a kitaentayo dagiti kinapudno a naited kadatayo iti Saona,—kinapudno a, no tungpalen, idaulnanto datayo iti kinapakumbaba ken panagpasakop, ken panagtulnog iti Dios. Masapul a mapasantotayo babaen iti kinapudno. Ti Sao ti Dios iparangarangna dagiti naisangsangayan a kinapudno para iti tunggal panawen. Dagiti panangtratar ti Dios kadagiti tattaona idi napalabas ket masapul a maawat iti naan-anay a panangimatmatatayo. Masapul a suruentayo dagiti adal a naisangratda a isuro kadatayo. Ngem saan a masapul a agtalinaedtayo laeng a makontento kadakuada. Ti Dios idaldalanna dagiti tattaona addang iti addang. Ti kinapudno ket agdur-as. Ti napudno a mangsapsapul ket agtultuloyto a mangawat iti lawag manipud langit. Ania ti kinapudno? dayta koma ti kanayon a saludsodtayo.” Signs of the Times, May 26, 1881.</w:t>
      </w:r>
    </w:p>
    <w:p>
      <w:pPr>
        <w:pStyle w:val="ArticleBody"/>
        <w:jc w:val="left"/>
      </w:pPr>
      <w:r>
        <w:rPr>
          <w:rFonts w:ascii="Times New Roman" w:hAnsi="Times New Roman" w:eastAsia="Times New Roman" w:cs="Times New Roman"/>
        </w:rPr>
        <w:t>Na ɔsrama a etwa Toɔso abiɛsa, afe 2023 awiei no, Yesu Kristo Adiyisɛm no fii ase sɛ wɔrebue ano.</w:t>
      </w:r>
    </w:p>
    <w:p>
      <w:pPr>
        <w:pStyle w:val="ArticleBody"/>
        <w:jc w:val="left"/>
      </w:pPr>
      <w:r>
        <w:rPr>
          <w:rFonts w:ascii="Times New Roman" w:hAnsi="Times New Roman" w:eastAsia="Times New Roman" w:cs="Times New Roman"/>
        </w:rPr>
        <w:t>Ninma b’aak’ehgo seal tsosts’idígíí dóó ayóo da’ahoot’éégo seven thunders bił yáhoot’ááłígíí, Jesus Christ bits’áhakees bee hodoonihgo Revelation, probation nihá dóó adáhodílyeedgo ádin unsealed biniiyé. Díí t’áá áko t’ááłá’í witness t’áá’áhoot’ééłgo éí t’áá ajiłii’ígíí message, seal tsosts’idígíí bits’áhakees łikanígíí dóó seven thunders bił yáhoot’ááłígíí bee hahoodzoh. Revelation bikáá’gi díí táá’ witness éí táá’ bee ádaat’éego Jesus Christ bits’áhakees bee hodoonihgo Revelation message yit’éego. Díí táá’ witness unsealed biniiyé éí t’áá ajiłii’go ádaat’é. Bee hane’ígíí effects ałtso t’áá ajiłii’go ádaat’é.</w:t>
      </w:r>
    </w:p>
    <w:p>
      <w:pPr>
        <w:pStyle w:val="ArticleScripture"/>
        <w:jc w:val="left"/>
      </w:pPr>
      <w:r>
        <w:rPr>
          <w:rFonts w:ascii="Times New Roman" w:hAnsi="Times New Roman" w:eastAsia="Times New Roman" w:cs="Times New Roman"/>
        </w:rPr>
        <w:t>«Тәңриниң қануниға бойсунуш — паклиништур. Җанниң ичидики бу иш тоғрисида хаталиқ қарашлири бар нурғун кишиләр; амма Әйса Өз шагиртлириниң һәқиқәт арқилиқ паклинишини дуа қилип соради вә йәнә: «Сениң сөзүң һәқиқәттур» деди (John 17:17). Паклиниш бир дәқиқидә йүз беридиған әмәс, бәлки бойсунуш үзлүксиз болғандәк, басқучму-басқуч давамлишидиған иштур. Шәйтан өз аздурушлирини бизгә қарши илгириләткили турудиғанла болса, өз-өзини йеңиш үчүн болған җәңни қайта-қайта елип беришқа тоғра келиду; бирақ бойсунуш арқилиқ һәқиқәт җанни паклайду. Һәқиқәткә садиқ болғанлар Мәсиһниң хизмити арқилиқ һаятидики һәр хил өзгирип туридиған шараитларниң тәсиридә шәкилләнгән һәр қандақ хисләт аҗизлиқини йеңиду.» Faith and Works, 85.</w:t>
      </w:r>
    </w:p>
    <w:p>
      <w:pPr>
        <w:pStyle w:val="ArticleBody"/>
        <w:jc w:val="left"/>
      </w:pPr>
      <w:r>
        <w:rPr>
          <w:rFonts w:ascii="Times New Roman" w:hAnsi="Times New Roman" w:eastAsia="Times New Roman" w:cs="Times New Roman"/>
        </w:rPr>
        <w:t>כְּתָבִים אִטִּיִים שֶׁל הַתְפַּתְּחוּת הַמִּתְקַדֶּמֶת שֶׁל הַהֲבָנָה בְּהִתְגַּלּוּת יֵשׁוּעַ הַמָּשִׁיחַ הֵחֵלּוּ לְהִתְפַּרְסֵם בְּסוֹף חֹדֶשׁ יוּלִי 2023. תַּהֲלִיךְ הֲבָנַת הָאֱמֶת שֶׁהֵחֵלָּה לְהִתְפַּרְסֵם בְּאוֹתוֹ הַזְּמַן, הֵחֵלָּה זְמַן קָצָר לְאַחַר 18 בְּיוּלִי 2020.</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ថាច់ឥតែត្រូវដមាស្គាល់នៅក្នុយបាសារ</w:t>
      </w:r>
      <w:r>
        <w:rPr>
          <w:rFonts w:ascii="Times New Roman" w:hAnsi="Times New Roman" w:eastAsia="Times New Roman" w:cs="Times New Roman"/>
        </w:rPr>
        <w:t xml:space="preserve"> </w:t>
      </w:r>
      <w:r>
        <w:rPr>
          <w:rFonts w:ascii="Leelawadee UI" w:hAnsi="Leelawadee UI" w:eastAsia="Leelawadee UI" w:cs="Leelawadee UI"/>
        </w:rPr>
        <w:t>នៃកាច់ដោះត្រាទីប្រាំពីរ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កំពុងដោះស្រាយអំពីសញ្ញាសម្គាល់នៃសម្រែកអធ្រាត្រ។</w:t>
      </w:r>
      <w:r>
        <w:rPr>
          <w:rFonts w:ascii="Times New Roman" w:hAnsi="Times New Roman" w:eastAsia="Times New Roman" w:cs="Times New Roman"/>
        </w:rPr>
        <w:t xml:space="preserve"> </w:t>
      </w:r>
      <w:r>
        <w:rPr>
          <w:rFonts w:ascii="Leelawadee UI" w:hAnsi="Leelawadee UI" w:eastAsia="Leelawadee UI" w:cs="Leelawadee UI"/>
        </w:rPr>
        <w:t>សម្រែកអធ្រាត្រ</w:t>
      </w:r>
      <w:r>
        <w:rPr>
          <w:rFonts w:ascii="Times New Roman" w:hAnsi="Times New Roman" w:eastAsia="Times New Roman" w:cs="Times New Roman"/>
        </w:rPr>
        <w:t xml:space="preserve"> </w:t>
      </w:r>
      <w:r>
        <w:rPr>
          <w:rFonts w:ascii="Leelawadee UI" w:hAnsi="Leelawadee UI" w:eastAsia="Leelawadee UI" w:cs="Leelawadee UI"/>
        </w:rPr>
        <w:t>នៅក្នុយប្រវត្តិសាស្ត្រមីឡេរីត</w:t>
      </w:r>
      <w:r>
        <w:rPr>
          <w:rFonts w:ascii="Times New Roman" w:hAnsi="Times New Roman" w:eastAsia="Times New Roman" w:cs="Times New Roman"/>
        </w:rPr>
        <w:t xml:space="preserve"> </w:t>
      </w:r>
      <w:r>
        <w:rPr>
          <w:rFonts w:ascii="Leelawadee UI" w:hAnsi="Leelawadee UI" w:eastAsia="Leelawadee UI" w:cs="Leelawadee UI"/>
        </w:rPr>
        <w:t>គឺជាការរីកចម្រើនជាបន្តបន្ទាប់នៃសេចក្ដីពិត</w:t>
      </w:r>
      <w:r>
        <w:rPr>
          <w:rFonts w:ascii="Times New Roman" w:hAnsi="Times New Roman" w:eastAsia="Times New Roman" w:cs="Times New Roman"/>
        </w:rPr>
        <w:t xml:space="preserve"> </w:t>
      </w:r>
      <w:r>
        <w:rPr>
          <w:rFonts w:ascii="Leelawadee UI" w:hAnsi="Leelawadee UI" w:eastAsia="Leelawadee UI" w:cs="Leelawadee UI"/>
        </w:rPr>
        <w:t>ហើយសេចក្ដីពិតនោះ</w:t>
      </w:r>
      <w:r>
        <w:rPr>
          <w:rFonts w:ascii="Times New Roman" w:hAnsi="Times New Roman" w:eastAsia="Times New Roman" w:cs="Times New Roman"/>
        </w:rPr>
        <w:t xml:space="preserve"> </w:t>
      </w:r>
      <w:r>
        <w:rPr>
          <w:rFonts w:ascii="Leelawadee UI" w:hAnsi="Leelawadee UI" w:eastAsia="Leelawadee UI" w:cs="Leelawadee UI"/>
        </w:rPr>
        <w:t>អាចបង្ហាញបានដោយការពិនិត្យឡើងវិញតាមប្រវត្តិសាស្ត្រនៃកិច្ចការរបស់</w:t>
      </w:r>
      <w:r>
        <w:rPr>
          <w:rFonts w:ascii="Times New Roman" w:hAnsi="Times New Roman" w:eastAsia="Times New Roman" w:cs="Times New Roman"/>
        </w:rPr>
        <w:t xml:space="preserve"> Samuel Snow</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ព្រះយេស៊ូវ</w:t>
      </w:r>
      <w:r>
        <w:rPr>
          <w:rFonts w:ascii="Times New Roman" w:hAnsi="Times New Roman" w:eastAsia="Times New Roman" w:cs="Times New Roman"/>
        </w:rPr>
        <w:t xml:space="preserve"> </w:t>
      </w:r>
      <w:r>
        <w:rPr>
          <w:rFonts w:ascii="Leelawadee UI" w:hAnsi="Leelawadee UI" w:eastAsia="Leelawadee UI" w:cs="Leelawadee UI"/>
        </w:rPr>
        <w:t>ទ្រង់ប្រើចលនារបស់ទេវតាទីមួយ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ដើម្បីបង្ហាញចលនារបស់ទេវតាទីបី</w:t>
      </w:r>
      <w:r>
        <w:rPr>
          <w:rFonts w:ascii="Times New Roman" w:hAnsi="Times New Roman" w:eastAsia="Times New Roman" w:cs="Times New Roman"/>
        </w:rPr>
        <w:t xml:space="preserve"> </w:t>
      </w:r>
      <w:r>
        <w:rPr>
          <w:rFonts w:ascii="Leelawadee UI" w:hAnsi="Leelawadee UI" w:eastAsia="Leelawadee UI" w:cs="Leelawadee UI"/>
        </w:rPr>
        <w:t>ពីព្រោះទ្រង់តែងតែបង្ហាញទីបញ្ចប់ដោយទីដើម។</w:t>
      </w:r>
    </w:p>
    <w:p>
      <w:pPr>
        <w:pStyle w:val="ArticleBody"/>
        <w:jc w:val="left"/>
      </w:pPr>
      <w:r>
        <w:rPr>
          <w:rFonts w:ascii="Times New Roman" w:hAnsi="Times New Roman" w:eastAsia="Times New Roman" w:cs="Times New Roman"/>
        </w:rPr>
        <w:t>ꞌWáa a x̱ʼéix̱ sá Midnight Cry yáa at shkalneegí, ḵaawatee x̱ʼéix̱ sá X̱ʼéiwtí áyá, ḵa yéi x̱ʼéiwdul.át has wooch aaní yóot wududliyéix̱ yá a x̱ʼánkʼ i sʼéiw. Yáat x̱ʼéiwdul.át has du een áwé wooshteen x̱ʼéix̱ sá yeisú yéi x̱at duwasáakw has káa, Midnight Cry aan yá x̱ʼeináx̱ has shagóon áyá has du eeti yéi x̱at jeewú. Seven thunders ukax̱ du ngay.át shagóon áyá yá shagóon x̱ʼeináx̱ has du eech yéi x̱at tusaneek. Seventh seal áyá yáat a tóonáx̱ yéi x̱ʼat shkalneegí shagóon x̱ʼeináx̱ at wooch x̱ʼéidáx̱, áa yagóot áyá du kagé yóot wududliyéix̱ át ash yáawu yei gax̱tooshú has du een, Midnight Cry aan kagé yéi x̱at yéi x̱wasakú léelkʼu hás duwasáakw one hundred and forty-four thousand has du x̱ʼéix̱ sealing yéi x̱at awdli. A káa yéi x̱at x̱wasakú seventh seal yáa x̱ʼat wuneiyí, Midnight Cry aan kagé yéi x̱at yóot wududliyéix̱ wé at du een x̱ʼat yéi x̱wasakú, Exeter camp meeting 1844 sháawu x̱ʼoonáx̱ yéi x̱at x̱ʼéiwdul.át wé áyá ash yáawu. Yá atx̱áayi áyá i een yakʼéi yéi x̱at du jeewú, Exeter camp meeting káa g̱unalchéesh yéi x̱at ee.</w:t>
      </w:r>
    </w:p>
    <w:p>
      <w:pPr>
        <w:pStyle w:val="ArticleBody"/>
        <w:jc w:val="left"/>
      </w:pPr>
      <w:r>
        <w:rPr>
          <w:rFonts w:ascii="Times New Roman" w:hAnsi="Times New Roman" w:eastAsia="Times New Roman" w:cs="Times New Roman"/>
        </w:rPr>
        <w:t>Wɔbue sɔfe a ɛto so nson no a, wɔtow ogya fi afɔrebukyia no so gu asase so, na ɛhɔ ba “nne, ne aprannaa, ne anyinam, ne asasewosow.” “Ɛnne” gyina hɔ ma torobɛnto.</w:t>
      </w:r>
    </w:p>
    <w:p>
      <w:pPr>
        <w:pStyle w:val="ArticleScripture"/>
        <w:jc w:val="left"/>
      </w:pPr>
      <w:r>
        <w:rPr>
          <w:rFonts w:ascii="Times New Roman" w:hAnsi="Times New Roman" w:eastAsia="Times New Roman" w:cs="Times New Roman"/>
        </w:rPr>
        <w:t>Ɓâŋ dɔl dɔl, mâ tɛ́lɛ bɛ, yí sɔŋ m̀ fɔ́ŋ tɛ nà tɔ́rɔ́ŋ, kà yɛ́ m̀ bɔn m̀táŋ m̀mɔ́ŋ bɛ bɔ bɛ́ yɔŋ nà, kà ndáŋ Yákɔb bɛ bɔ bɛ́ sɔ́n nà. Isaiah 58:1.</w:t>
      </w:r>
    </w:p>
    <w:p>
      <w:pPr>
        <w:pStyle w:val="ArticleBody"/>
        <w:jc w:val="left"/>
      </w:pPr>
      <w:r>
        <w:rPr>
          <w:rFonts w:ascii="Nirmala UI" w:hAnsi="Nirmala UI" w:eastAsia="Nirmala UI" w:cs="Nirmala UI"/>
        </w:rPr>
        <w:t>बिगुल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बिगुल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«Այս ժամանակի համար ճշմարտությունը՝ երրորդ հրեշտակի պատգամը, պետք է հռչակվի բարձրաձայն, այսինքն՝ աճող զորությամբ, երբ մոտենում ենք մեծ վերջնական փորձությանը»։ The 1888 Materials, 710.</w:t>
      </w:r>
    </w:p>
    <w:p>
      <w:pPr>
        <w:pStyle w:val="ArticleBody"/>
        <w:jc w:val="left"/>
      </w:pPr>
      <w:r>
        <w:rPr>
          <w:rFonts w:ascii="Times New Roman" w:hAnsi="Times New Roman" w:eastAsia="Times New Roman" w:cs="Times New Roman"/>
        </w:rPr>
        <w:t>“Qarixlo narixle” kɔn “qərət qələm” wəttam kələsəst məl’ak, təmsalot nəbbər b-Sinay, gize Jehovah rasu Asərtu Təzazat nəgär. Bəza tarik, mälkət itu b-ḥayl yitwäsək, gize tärar yitnəqəq wə-dhān yitwälləṭ. Fərhat itu bəzuh nəbbər, ḥatta Musa rasu bəzuh tənəqəq. Hizbu dəhan “qalat-hum” b-fərhat ahədgu, ləmiṭṭab qəlä-əgzi’ “qal-u” yāqəm səmat.</w:t>
      </w:r>
    </w:p>
    <w:p>
      <w:pPr>
        <w:pStyle w:val="ArticleScripture"/>
        <w:jc w:val="left"/>
      </w:pPr>
      <w:r>
        <w:rPr>
          <w:rFonts w:ascii="Times New Roman" w:hAnsi="Times New Roman" w:eastAsia="Times New Roman" w:cs="Times New Roman"/>
        </w:rPr>
        <w:t>Y la voz de trompeta, y la voz de palabras; la cual voz, los que la oyeron rogaron que no se les hablase más: (Porque no podían soportar lo que se ordenaba: Y si aun una bestia tocare el monte, será apedreada, o pasada con dardo: Y tan terrible era la visión, que Moisés dijo: Estoy espantado y temblando). Hebreos 12:19–21.</w:t>
      </w:r>
    </w:p>
    <w:p>
      <w:pPr>
        <w:pStyle w:val="ArticleBody"/>
        <w:jc w:val="left"/>
      </w:pPr>
      <w:r>
        <w:rPr>
          <w:rFonts w:ascii="Times New Roman" w:hAnsi="Times New Roman" w:eastAsia="Times New Roman" w:cs="Times New Roman"/>
        </w:rPr>
        <w:t>نباتشئة الـ«صوت» الذي «سمعوه» عن «صوت» رسالة الإنذار للملاك الثالث. وفي كربٍ مروّعٍ أجابوا بـ«أصواتهم» هم. كما تُمثَّل الأصوات عند قانون الأحد أيضًا بالعذارى الجاهلات اللواتي يطلبن زيتًا، وتقول لهن أصوات العذارى الحكيمات أن يذهبن ويشترين لأنفسهن. وعند ختام زمن الإمهال البشري، تصرخ «أصوات» الذين يدركون أنهم هالكون، كما تفعل العذارى الأدڤنتستيات الجاهلات عند قانون الأحد، طالبةً إلى الصخور والجبال أن تسقط عليهم. ويُرمز إلى قانون الأحد بإعطاء الشريعة على جبل سيناء.</w:t>
      </w:r>
    </w:p>
    <w:p>
      <w:pPr>
        <w:pStyle w:val="ArticleScripture"/>
        <w:jc w:val="left"/>
      </w:pPr>
      <w:r>
        <w:rPr>
          <w:rFonts w:ascii="Times New Roman" w:hAnsi="Times New Roman" w:eastAsia="Times New Roman" w:cs="Times New Roman"/>
        </w:rPr>
        <w:t>“Gai hramna theihna hmuh khihna ropui tak tak ah khan,—tawngkam hriatthiam lohna berin a awm, a hmasa atangin a chak zual a, a hlauhawm zual zel tawngkam ber, tlang tinrengah khan khawrih ri a lo riak kual a, hri remna engin tlang sang, khauh tak leh zahawm takte chu a entîr a, Sinai tlâng chungah chuan chhum zing, thlipui leh thim hnip tak karah, Pathian ropuina chu mei ei ral vek thei angin a lang,—Jehovah awmna entîrna hriatna te hian, Israel fate thinlungte chu hlauvin an chak lo va, mipuite zawng zawng chuan ‘hla takah an ding ta a.’ Mosia pawhin, ‘Ka hlau tak zet a, ka nghing hial a ni,’ tiin a sawi a. Chumi hnuah chuan, inhnialna thiltihtheihna zawng zawng chung lamah khan Jehovah aw chu a lo hriat a, amah dân thu sawmhnihte chu a sawi ta a.”</w:t>
      </w:r>
    </w:p>
    <w:p>
      <w:pPr>
        <w:pStyle w:val="ArticleScripture"/>
        <w:jc w:val="left"/>
      </w:pPr>
      <w:r>
        <w:rPr>
          <w:rFonts w:ascii="Times New Roman" w:hAnsi="Times New Roman" w:eastAsia="Times New Roman" w:cs="Times New Roman"/>
        </w:rPr>
        <w:t>«Carana agung Allah nembayangka majeng ka bangsa Israel kaayaan sajatinnyané, jiwa maranéhanana kabanjirin ku kasieunan. Kakuwatan dahsyat tinimbalan Allah karasa langkung ti nu tiasa kaemban ku raga maranéhanana nu ngageter. Maranéhanana nyuhunkeun ka Musa, “Nyarita baé sareng kami, tangtu kami rék ngadangu; nanging ulah Allah nyarita sareng kami, engké kami paéh.” Nalika patokan agung Allah ngeunaan kabeneran dipintonkeun ka maranéhanana, maranéhanana ngaraos, langkung ti kantos saméméhna, kumaha matakna dosa téh, sareng kumaha gedéna kasalahan maranéhanana, dina payuneun Allah anu murni tur suci.» Signs of the Times, March 3, 1881.</w:t>
      </w:r>
    </w:p>
    <w:p>
      <w:pPr>
        <w:pStyle w:val="ArticleBody"/>
        <w:jc w:val="left"/>
      </w:pPr>
      <w:r>
        <w:rPr>
          <w:rFonts w:ascii="Times New Roman" w:hAnsi="Times New Roman" w:eastAsia="Times New Roman" w:cs="Times New Roman"/>
        </w:rPr>
        <w:t>ווען דאָס פֿײַער פֿון מזבח ווערט געוואָרפֿן אויף דער ערד, זײַנען דאָ „קולות, און דונערס, און בליצן, און אַן ערדציטערניש.” „דונערס און בליצן” זײַנען סימבאָלן פֿון גאָטס משפטים. בײַם זונטיק־געזעץ וועט די פֿאַראייניקטע שטאַטן גאָר אָנגעפֿילט האָבן איר „גלעזל פֿון עוולה,” און „נאַציאָנאַלע אָפּפֿאַל, וועט נאָכגעפֿאָלגט ווערן דורך נאַציאָנאַלן חורבן.” דאָס „גלעזל פֿון עוולה” ווערט פֿול אין דער פֿערטער דור, ווײַל ביידע הערנער פֿון דער חיה פֿון דער ערד גייען פֿאָר דורך פֿיר דורות פֿון שטייגערנדיקער מרידה. דאָס זונטיק־געזעץ צייכנט אָן דעם פּונקט, וווּ גאָטס משפטים, פֿאָרגעשטעלט דורך „דונערס און בליצן,” ווערן אַרויסגעגעבן, און זיי ווערן אַרויסגעגעבן צו דער פֿערטער דור.</w:t>
      </w:r>
    </w:p>
    <w:p>
      <w:pPr>
        <w:pStyle w:val="ArticleScripture"/>
        <w:jc w:val="left"/>
      </w:pPr>
      <w:r>
        <w:rPr>
          <w:rFonts w:ascii="Times New Roman" w:hAnsi="Times New Roman" w:eastAsia="Times New Roman" w:cs="Times New Roman"/>
        </w:rPr>
        <w:t>«Ամորացիների մասին Տերն ասաց. “Չորրորդ սերնդում նրանք դարձյալ այստեղ պիտի գան, որովհետև ամորացիների անօրենությունը դեռ լիացած չէ”»։ Թեև այս ազգը աչքի էր ընկնում իր կռապաշտությամբ և ապականությամբ, այն դեռ չէր լցրել իր անօրենության բաժակը, և Աստված հրաման չէր տալու նրա լիակատար բնաջնջման համար։ Ժողովուրդը պետք է տեսներ աստվածային զորության բացահայտումը առանձնահատուկ կերպով, որպեսզի առանց արդարացման մնային։ Գթառատ Արարիչը կամենում էր համբերել նրանց անօրենությանը մինչև չորրորդ սերունդը։ Այնուհետև, եթե դեպի լավը որևէ փոփոխություն չերևար, Նրա դատաստանները պիտի իջնեին նրանց վրա։</w:t>
      </w:r>
    </w:p>
    <w:p>
      <w:pPr>
        <w:pStyle w:val="ArticleScripture"/>
        <w:jc w:val="left"/>
      </w:pPr>
      <w:r>
        <w:rPr>
          <w:rFonts w:ascii="Times New Roman" w:hAnsi="Times New Roman" w:eastAsia="Times New Roman" w:cs="Times New Roman"/>
        </w:rPr>
        <w:t>«Сыдықсыз дәлдікпен Шексіз Ие әлі де барлық халықтармен есебін жүргізіп отыр. Оның рақымы тәубеге шақырған үндеулермен ұсынылып тұрған кезде, бұл есеп ашық күйінде қалады; бірақ сандар Құдай белгілеп қойған белгілі бір мөлшерге жеткенде, Оның қаһарының қызметі басталады. Есеп жабылады. Құдайдың төзімі тоқтайды. Олардың пайдасына енді рақым туралы жалбарыну болмайды». Testimonies, volume 5, 208.</w:t>
      </w:r>
    </w:p>
    <w:p>
      <w:pPr>
        <w:pStyle w:val="ArticleBody"/>
        <w:jc w:val="left"/>
      </w:pPr>
      <w:r>
        <w:rPr>
          <w:rFonts w:ascii="Times New Roman" w:hAnsi="Times New Roman" w:eastAsia="Times New Roman" w:cs="Times New Roman"/>
        </w:rPr>
        <w:t>Hermana White identifica los juicios que comienzan con la ley dominical como “los juicios destructores de Dios”. Ella enseña que ya es demasiado tarde para los insensatos adventistas laodicenses, quienes tuvieron la oportunidad de prepararse para la crisis a la medianoche, pero rehusaron hacerlo. Ese tiempo de juicios destructores para las vírgenes insensatas es “un tiempo de misericordia” para aquellos que aún no habían oído la verdad.</w:t>
      </w:r>
    </w:p>
    <w:p>
      <w:pPr>
        <w:pStyle w:val="ArticleScripture"/>
        <w:jc w:val="left"/>
      </w:pPr>
      <w:r>
        <w:rPr>
          <w:rFonts w:ascii="Times New Roman" w:hAnsi="Times New Roman" w:eastAsia="Times New Roman" w:cs="Times New Roman"/>
        </w:rPr>
        <w:t>“О, ард түмэн айлчлан ирэх цаг мөчөө мэддэг ч болоосой! Энэ цаг үеийн соригч үнэнийг одоо хүртэл сонсоогүй олон хүн бий. Бурханы Сүнс тэмцэн үйлчилж буй олон хүн бий. Бурханы сүйрүүлэгч шүүлтүүдийн цаг нь үнэн гэж юу болохыг мэдэх боломж олдоогүй хүмүүсийн хувьд нигүүлслийн цаг мөн. Эзэн тэднийг энэрэнгүйгээр харна. Түүний нигүүлслийн зүрх хөдөлсөн; аврахын тулд Түүний мутар одоо ч сунгаастай байна, харин орохоос татгалзсан хүмүүст хаалга хаагдсан байна.” Гэрчлэлүүд, 9-р боть, 97.</w:t>
      </w:r>
    </w:p>
    <w:p>
      <w:pPr>
        <w:pStyle w:val="ArticleBody"/>
        <w:jc w:val="left"/>
      </w:pPr>
      <w:r>
        <w:rPr>
          <w:rFonts w:ascii="Times New Roman" w:hAnsi="Times New Roman" w:eastAsia="Times New Roman" w:cs="Times New Roman"/>
        </w:rPr>
        <w:t>مهر هفتم چون گشوده شود، «صداها و رعدها و برق‌ها و زلزله‌ای» پدید می‌آید. آن «ساعت» که «زلزله»ی مکاشفه یازده نخستین بار در آن تحقق یافت، انقلاب فرانسه بود، و تحقق کامل آن «ساعت»، «زلزله»ی وحشِ «زمین» است، در قانون یکشنبه‌ای که به‌زودی خواهد آمد. در همان «ساعت» است که مهر هفتم به‌طور کامل گشوده می‌شود. صلیب نمونهٔ قانون یکشنبه است، و در هنگام صلیب زلزله‌ای عظیم رخ داد.</w:t>
      </w:r>
    </w:p>
    <w:p>
      <w:pPr>
        <w:pStyle w:val="ArticleScripture"/>
        <w:jc w:val="left"/>
      </w:pPr>
      <w:r>
        <w:rPr>
          <w:rFonts w:ascii="Times New Roman" w:hAnsi="Times New Roman" w:eastAsia="Times New Roman" w:cs="Times New Roman"/>
        </w:rPr>
        <w:t>Isa, urrejjid zor aqqimen s taɣect i meqqren, yefka rrṛuḥ. U hatan, aḥjab n uxxam ameqqran n Rebbi yebrez sin seg ufella ar wadda; akal yenhez, u idurar n weẓru bṛezen. Matta 25:51.</w:t>
      </w:r>
    </w:p>
    <w:p>
      <w:pPr>
        <w:pStyle w:val="ArticleBody"/>
        <w:jc w:val="left"/>
      </w:pPr>
      <w:r>
        <w:rPr>
          <w:rFonts w:ascii="Times New Roman" w:hAnsi="Times New Roman" w:eastAsia="Times New Roman" w:cs="Times New Roman"/>
        </w:rPr>
        <w:t>Вәстә әл хачта мәликәтә сатанийә төшөрөлдө, Шимбә күни қанунида булғаныдәк.</w:t>
      </w:r>
    </w:p>
    <w:p>
      <w:pPr>
        <w:pStyle w:val="ArticleScripture"/>
        <w:jc w:val="left"/>
      </w:pPr>
      <w:r>
        <w:rPr>
          <w:rFonts w:ascii="Times New Roman" w:hAnsi="Times New Roman" w:eastAsia="Times New Roman" w:cs="Times New Roman"/>
        </w:rPr>
        <w:t>«Քրիստոսը չհանձնեց Իր կյանքը, մինչև որ կատարեց այն գործը, որ եկել էր անելու, և Իր վերջին շնչով բացականչեց. «Կատարված է»։ Հովհաննես 19:30։ Մարտը շահված էր։ Նրա աջ ձեռքը և Նրա սուրբ բազուկը հաղթանակ էին բերել Նրան։ Որպես Հաղթող՝ Նա Իր դրոշը կանգնեցրեց հավիտենական բարձունքների վրա։ Մի՞թե հրեշտակների մեջ ուրախություն չկար։ Ամբողջ երկինքը ցնծում էր Փրկչի հաղթանակով։ Սատանան պարտված էր և գիտեր, որ իր թագավորությունը կորած է»։ The Desire of Ages, 758.</w:t>
      </w:r>
    </w:p>
    <w:p>
      <w:pPr>
        <w:pStyle w:val="ArticleBody"/>
        <w:jc w:val="left"/>
      </w:pPr>
      <w:r>
        <w:rPr>
          <w:rFonts w:ascii="Times New Roman" w:hAnsi="Times New Roman" w:eastAsia="Times New Roman" w:cs="Times New Roman"/>
        </w:rPr>
        <w:t>La erdhëlakë e kryqit është një përfaqësim i “së vërtetës”, e cila është Alfa dhe Omega. “E vërteta” është fillimi, mesi dhe mbarimi; ajo është fjala hebraike që u krijua duke bashkuar shkronjën e parë, të trembëdhjetën dhe të fundit të alfabetit hebraik. Pati një erdhëlakë kur Krishti vdiq dhe pastaj një tjetër erdhëlakë në ringjalljen e Tij. Te kryqi pati një erdhëlakë të parë, pastaj varrin dhe mandej erdhëlakën në ringjalljen e Tij. Në të dyja erdhëlakat, varret u hapën.</w:t>
      </w:r>
    </w:p>
    <w:p>
      <w:pPr>
        <w:pStyle w:val="ArticleScripture"/>
        <w:jc w:val="left"/>
      </w:pPr>
      <w:r>
        <w:rPr>
          <w:rFonts w:ascii="Times New Roman" w:hAnsi="Times New Roman" w:eastAsia="Times New Roman" w:cs="Times New Roman"/>
        </w:rPr>
        <w:t>“</w:t>
      </w:r>
      <w:r>
        <w:rPr>
          <w:rFonts w:ascii="Nirmala UI" w:hAnsi="Nirmala UI" w:eastAsia="Nirmala UI" w:cs="Nirmala UI"/>
        </w:rPr>
        <w:t>எசு</w:t>
      </w:r>
      <w:r>
        <w:rPr>
          <w:rFonts w:ascii="Times New Roman" w:hAnsi="Times New Roman" w:eastAsia="Times New Roman" w:cs="Times New Roman"/>
        </w:rPr>
        <w:t xml:space="preserve"> </w:t>
      </w:r>
      <w:r>
        <w:rPr>
          <w:rFonts w:ascii="Nirmala UI" w:hAnsi="Nirmala UI" w:eastAsia="Nirmala UI" w:cs="Nirmala UI"/>
        </w:rPr>
        <w:t>சிலுவையில்</w:t>
      </w:r>
      <w:r>
        <w:rPr>
          <w:rFonts w:ascii="Times New Roman" w:hAnsi="Times New Roman" w:eastAsia="Times New Roman" w:cs="Times New Roman"/>
        </w:rPr>
        <w:t xml:space="preserve"> </w:t>
      </w:r>
      <w:r>
        <w:rPr>
          <w:rFonts w:ascii="Nirmala UI" w:hAnsi="Nirmala UI" w:eastAsia="Nirmala UI" w:cs="Nirmala UI"/>
        </w:rPr>
        <w:t>தொங்கிக்கொண்டிருந்தபோது</w:t>
      </w:r>
      <w:r>
        <w:rPr>
          <w:rFonts w:ascii="Times New Roman" w:hAnsi="Times New Roman" w:eastAsia="Times New Roman" w:cs="Times New Roman"/>
        </w:rPr>
        <w:t>, ‘</w:t>
      </w:r>
      <w:r>
        <w:rPr>
          <w:rFonts w:ascii="Nirmala UI" w:hAnsi="Nirmala UI" w:eastAsia="Nirmala UI" w:cs="Nirmala UI"/>
        </w:rPr>
        <w:t>முடிந்தது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உரக்கக்</w:t>
      </w:r>
      <w:r>
        <w:rPr>
          <w:rFonts w:ascii="Times New Roman" w:hAnsi="Times New Roman" w:eastAsia="Times New Roman" w:cs="Times New Roman"/>
        </w:rPr>
        <w:t xml:space="preserve"> </w:t>
      </w:r>
      <w:r>
        <w:rPr>
          <w:rFonts w:ascii="Nirmala UI" w:hAnsi="Nirmala UI" w:eastAsia="Nirmala UI" w:cs="Nirmala UI"/>
        </w:rPr>
        <w:t>கூவினார்</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பாறைகள்</w:t>
      </w:r>
      <w:r>
        <w:rPr>
          <w:rFonts w:ascii="Times New Roman" w:hAnsi="Times New Roman" w:eastAsia="Times New Roman" w:cs="Times New Roman"/>
        </w:rPr>
        <w:t xml:space="preserve"> </w:t>
      </w:r>
      <w:r>
        <w:rPr>
          <w:rFonts w:ascii="Nirmala UI" w:hAnsi="Nirmala UI" w:eastAsia="Nirmala UI" w:cs="Nirmala UI"/>
        </w:rPr>
        <w:t>பிளந்தன</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அதிர்ந்தது</w:t>
      </w:r>
      <w:r>
        <w:rPr>
          <w:rFonts w:ascii="Times New Roman" w:hAnsi="Times New Roman" w:eastAsia="Times New Roman" w:cs="Times New Roman"/>
        </w:rPr>
        <w:t xml:space="preserve">, </w:t>
      </w:r>
      <w:r>
        <w:rPr>
          <w:rFonts w:ascii="Nirmala UI" w:hAnsi="Nirmala UI" w:eastAsia="Nirmala UI" w:cs="Nirmala UI"/>
        </w:rPr>
        <w:t>கல்லறைகளில்</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திறக்கப்பட்டன</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மரணத்தையும்</w:t>
      </w:r>
      <w:r>
        <w:rPr>
          <w:rFonts w:ascii="Times New Roman" w:hAnsi="Times New Roman" w:eastAsia="Times New Roman" w:cs="Times New Roman"/>
        </w:rPr>
        <w:t xml:space="preserve"> </w:t>
      </w:r>
      <w:r>
        <w:rPr>
          <w:rFonts w:ascii="Nirmala UI" w:hAnsi="Nirmala UI" w:eastAsia="Nirmala UI" w:cs="Nirmala UI"/>
        </w:rPr>
        <w:t>கல்லறையையும்</w:t>
      </w:r>
      <w:r>
        <w:rPr>
          <w:rFonts w:ascii="Times New Roman" w:hAnsi="Times New Roman" w:eastAsia="Times New Roman" w:cs="Times New Roman"/>
        </w:rPr>
        <w:t xml:space="preserve"> </w:t>
      </w:r>
      <w:r>
        <w:rPr>
          <w:rFonts w:ascii="Nirmala UI" w:hAnsi="Nirmala UI" w:eastAsia="Nirmala UI" w:cs="Nirmala UI"/>
        </w:rPr>
        <w:t>வென்று</w:t>
      </w:r>
      <w:r>
        <w:rPr>
          <w:rFonts w:ascii="Times New Roman" w:hAnsi="Times New Roman" w:eastAsia="Times New Roman" w:cs="Times New Roman"/>
        </w:rPr>
        <w:t xml:space="preserve"> </w:t>
      </w:r>
      <w:r>
        <w:rPr>
          <w:rFonts w:ascii="Nirmala UI" w:hAnsi="Nirmala UI" w:eastAsia="Nirmala UI" w:cs="Nirmala UI"/>
        </w:rPr>
        <w:t>ஜெயந்தராக</w:t>
      </w:r>
      <w:r>
        <w:rPr>
          <w:rFonts w:ascii="Times New Roman" w:hAnsi="Times New Roman" w:eastAsia="Times New Roman" w:cs="Times New Roman"/>
        </w:rPr>
        <w:t xml:space="preserve"> </w:t>
      </w:r>
      <w:r>
        <w:rPr>
          <w:rFonts w:ascii="Nirmala UI" w:hAnsi="Nirmala UI" w:eastAsia="Nirmala UI" w:cs="Nirmala UI"/>
        </w:rPr>
        <w:t>உயிர்த்தெழுந்தபோது</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குலுங்கிக்கொண்டிருந்ததும்</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புனித</w:t>
      </w:r>
      <w:r>
        <w:rPr>
          <w:rFonts w:ascii="Times New Roman" w:hAnsi="Times New Roman" w:eastAsia="Times New Roman" w:cs="Times New Roman"/>
        </w:rPr>
        <w:t xml:space="preserve"> </w:t>
      </w:r>
      <w:r>
        <w:rPr>
          <w:rFonts w:ascii="Nirmala UI" w:hAnsi="Nirmala UI" w:eastAsia="Nirmala UI" w:cs="Nirmala UI"/>
        </w:rPr>
        <w:t>இடத்தைச்</w:t>
      </w:r>
      <w:r>
        <w:rPr>
          <w:rFonts w:ascii="Times New Roman" w:hAnsi="Times New Roman" w:eastAsia="Times New Roman" w:cs="Times New Roman"/>
        </w:rPr>
        <w:t xml:space="preserve"> </w:t>
      </w:r>
      <w:r>
        <w:rPr>
          <w:rFonts w:ascii="Nirmala UI" w:hAnsi="Nirmala UI" w:eastAsia="Nirmala UI" w:cs="Nirmala UI"/>
        </w:rPr>
        <w:t>சுற்றி</w:t>
      </w:r>
      <w:r>
        <w:rPr>
          <w:rFonts w:ascii="Times New Roman" w:hAnsi="Times New Roman" w:eastAsia="Times New Roman" w:cs="Times New Roman"/>
        </w:rPr>
        <w:t xml:space="preserve"> </w:t>
      </w:r>
      <w:r>
        <w:rPr>
          <w:rFonts w:ascii="Nirmala UI" w:hAnsi="Nirmala UI" w:eastAsia="Nirmala UI" w:cs="Nirmala UI"/>
        </w:rPr>
        <w:t>பரலோகத்தின்</w:t>
      </w:r>
      <w:r>
        <w:rPr>
          <w:rFonts w:ascii="Times New Roman" w:hAnsi="Times New Roman" w:eastAsia="Times New Roman" w:cs="Times New Roman"/>
        </w:rPr>
        <w:t xml:space="preserve"> </w:t>
      </w:r>
      <w:r>
        <w:rPr>
          <w:rFonts w:ascii="Nirmala UI" w:hAnsi="Nirmala UI" w:eastAsia="Nirmala UI" w:cs="Nirmala UI"/>
        </w:rPr>
        <w:t>மகிமை</w:t>
      </w:r>
      <w:r>
        <w:rPr>
          <w:rFonts w:ascii="Times New Roman" w:hAnsi="Times New Roman" w:eastAsia="Times New Roman" w:cs="Times New Roman"/>
        </w:rPr>
        <w:t xml:space="preserve"> </w:t>
      </w:r>
      <w:r>
        <w:rPr>
          <w:rFonts w:ascii="Nirmala UI" w:hAnsi="Nirmala UI" w:eastAsia="Nirmala UI" w:cs="Nirmala UI"/>
        </w:rPr>
        <w:t>பிரகாசித்ததும்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அழைப்புக்குக்</w:t>
      </w:r>
      <w:r>
        <w:rPr>
          <w:rFonts w:ascii="Times New Roman" w:hAnsi="Times New Roman" w:eastAsia="Times New Roman" w:cs="Times New Roman"/>
        </w:rPr>
        <w:t xml:space="preserve"> </w:t>
      </w:r>
      <w:r>
        <w:rPr>
          <w:rFonts w:ascii="Nirmala UI" w:hAnsi="Nirmala UI" w:eastAsia="Nirmala UI" w:cs="Nirmala UI"/>
        </w:rPr>
        <w:t>கீழ்ப்படிந்த</w:t>
      </w:r>
      <w:r>
        <w:rPr>
          <w:rFonts w:ascii="Times New Roman" w:hAnsi="Times New Roman" w:eastAsia="Times New Roman" w:cs="Times New Roman"/>
        </w:rPr>
        <w:t xml:space="preserve"> </w:t>
      </w:r>
      <w:r>
        <w:rPr>
          <w:rFonts w:ascii="Nirmala UI" w:hAnsi="Nirmala UI" w:eastAsia="Nirmala UI" w:cs="Nirmala UI"/>
        </w:rPr>
        <w:t>நீதிமானான</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மரித்தோர்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உயிர்த்தெழுந்தார்</w:t>
      </w:r>
      <w:r>
        <w:rPr>
          <w:rFonts w:ascii="Times New Roman" w:hAnsi="Times New Roman" w:eastAsia="Times New Roman" w:cs="Times New Roman"/>
        </w:rPr>
        <w:t xml:space="preserve"> </w:t>
      </w:r>
      <w:r>
        <w:rPr>
          <w:rFonts w:ascii="Nirmala UI" w:hAnsi="Nirmala UI" w:eastAsia="Nirmala UI" w:cs="Nirmala UI"/>
        </w:rPr>
        <w:t>என்பதற்குச்</w:t>
      </w:r>
      <w:r>
        <w:rPr>
          <w:rFonts w:ascii="Times New Roman" w:hAnsi="Times New Roman" w:eastAsia="Times New Roman" w:cs="Times New Roman"/>
        </w:rPr>
        <w:t xml:space="preserve"> </w:t>
      </w:r>
      <w:r>
        <w:rPr>
          <w:rFonts w:ascii="Nirmala UI" w:hAnsi="Nirmala UI" w:eastAsia="Nirmala UI" w:cs="Nirmala UI"/>
        </w:rPr>
        <w:t>சாட்சிகளாக</w:t>
      </w:r>
      <w:r>
        <w:rPr>
          <w:rFonts w:ascii="Times New Roman" w:hAnsi="Times New Roman" w:eastAsia="Times New Roman" w:cs="Times New Roman"/>
        </w:rPr>
        <w:t xml:space="preserve"> </w:t>
      </w:r>
      <w:r>
        <w:rPr>
          <w:rFonts w:ascii="Nirmala UI" w:hAnsi="Nirmala UI" w:eastAsia="Nirmala UI" w:cs="Nirmala UI"/>
        </w:rPr>
        <w:t>வெளிவந்தனர்</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அருள்பெற்றுத்</w:t>
      </w:r>
      <w:r>
        <w:rPr>
          <w:rFonts w:ascii="Times New Roman" w:hAnsi="Times New Roman" w:eastAsia="Times New Roman" w:cs="Times New Roman"/>
        </w:rPr>
        <w:t xml:space="preserve"> </w:t>
      </w:r>
      <w:r>
        <w:rPr>
          <w:rFonts w:ascii="Nirmala UI" w:hAnsi="Nirmala UI" w:eastAsia="Nirmala UI" w:cs="Nirmala UI"/>
        </w:rPr>
        <w:t>உயிர்த்தெழுந்த</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பரிசுத்தர்கள்</w:t>
      </w:r>
      <w:r>
        <w:rPr>
          <w:rFonts w:ascii="Times New Roman" w:hAnsi="Times New Roman" w:eastAsia="Times New Roman" w:cs="Times New Roman"/>
        </w:rPr>
        <w:t xml:space="preserve"> </w:t>
      </w:r>
      <w:r>
        <w:rPr>
          <w:rFonts w:ascii="Nirmala UI" w:hAnsi="Nirmala UI" w:eastAsia="Nirmala UI" w:cs="Nirmala UI"/>
        </w:rPr>
        <w:t>மகிமைப்படுத்தப்பட்டவர்களாக</w:t>
      </w:r>
      <w:r>
        <w:rPr>
          <w:rFonts w:ascii="Times New Roman" w:hAnsi="Times New Roman" w:eastAsia="Times New Roman" w:cs="Times New Roman"/>
        </w:rPr>
        <w:t xml:space="preserve"> </w:t>
      </w:r>
      <w:r>
        <w:rPr>
          <w:rFonts w:ascii="Nirmala UI" w:hAnsi="Nirmala UI" w:eastAsia="Nirmala UI" w:cs="Nirmala UI"/>
        </w:rPr>
        <w:t>வெளிவந்தனர்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ஸிருஷ்டிப்பின்</w:t>
      </w:r>
      <w:r>
        <w:rPr>
          <w:rFonts w:ascii="Times New Roman" w:hAnsi="Times New Roman" w:eastAsia="Times New Roman" w:cs="Times New Roman"/>
        </w:rPr>
        <w:t xml:space="preserve"> </w:t>
      </w:r>
      <w:r>
        <w:rPr>
          <w:rFonts w:ascii="Nirmala UI" w:hAnsi="Nirmala UI" w:eastAsia="Nirmala UI" w:cs="Nirmala UI"/>
        </w:rPr>
        <w:t>காலத்திலிருந்து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வரையிலும்</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யுகத்திலிருந்தும்</w:t>
      </w:r>
      <w:r>
        <w:rPr>
          <w:rFonts w:ascii="Times New Roman" w:hAnsi="Times New Roman" w:eastAsia="Times New Roman" w:cs="Times New Roman"/>
        </w:rPr>
        <w:t xml:space="preserve"> </w:t>
      </w:r>
      <w:r>
        <w:rPr>
          <w:rFonts w:ascii="Nirmala UI" w:hAnsi="Nirmala UI" w:eastAsia="Nirmala UI" w:cs="Nirmala UI"/>
        </w:rPr>
        <w:t>தேர்ந்தெடுக்கப்பட்டவர்களும்</w:t>
      </w:r>
      <w:r>
        <w:rPr>
          <w:rFonts w:ascii="Times New Roman" w:hAnsi="Times New Roman" w:eastAsia="Times New Roman" w:cs="Times New Roman"/>
        </w:rPr>
        <w:t xml:space="preserve"> </w:t>
      </w:r>
      <w:r>
        <w:rPr>
          <w:rFonts w:ascii="Nirmala UI" w:hAnsi="Nirmala UI" w:eastAsia="Nirmala UI" w:cs="Nirmala UI"/>
        </w:rPr>
        <w:t>பரிசுத்தர்களுமாயிருந்தனர்</w:t>
      </w:r>
      <w:r>
        <w:rPr>
          <w:rFonts w:ascii="Times New Roman" w:hAnsi="Times New Roman" w:eastAsia="Times New Roman" w:cs="Times New Roman"/>
        </w:rPr>
        <w:t xml:space="preserve">. </w:t>
      </w:r>
      <w:r>
        <w:rPr>
          <w:rFonts w:ascii="Nirmala UI" w:hAnsi="Nirmala UI" w:eastAsia="Nirmala UI" w:cs="Nirmala UI"/>
        </w:rPr>
        <w:t>இவ்விதமாக</w:t>
      </w:r>
      <w:r>
        <w:rPr>
          <w:rFonts w:ascii="Times New Roman" w:hAnsi="Times New Roman" w:eastAsia="Times New Roman" w:cs="Times New Roman"/>
        </w:rPr>
        <w:t xml:space="preserve">, </w:t>
      </w:r>
      <w:r>
        <w:rPr>
          <w:rFonts w:ascii="Nirmala UI" w:hAnsi="Nirmala UI" w:eastAsia="Nirmala UI" w:cs="Nirmala UI"/>
        </w:rPr>
        <w:t>யூதத்</w:t>
      </w:r>
      <w:r>
        <w:rPr>
          <w:rFonts w:ascii="Times New Roman" w:hAnsi="Times New Roman" w:eastAsia="Times New Roman" w:cs="Times New Roman"/>
        </w:rPr>
        <w:t xml:space="preserve"> </w:t>
      </w:r>
      <w:r>
        <w:rPr>
          <w:rFonts w:ascii="Nirmala UI" w:hAnsi="Nirmala UI" w:eastAsia="Nirmala UI" w:cs="Nirmala UI"/>
        </w:rPr>
        <w:t>தலைவர்கள்</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உயிர்த்தெழுதலின்</w:t>
      </w:r>
      <w:r>
        <w:rPr>
          <w:rFonts w:ascii="Times New Roman" w:hAnsi="Times New Roman" w:eastAsia="Times New Roman" w:cs="Times New Roman"/>
        </w:rPr>
        <w:t xml:space="preserve"> </w:t>
      </w:r>
      <w:r>
        <w:rPr>
          <w:rFonts w:ascii="Nirmala UI" w:hAnsi="Nirmala UI" w:eastAsia="Nirmala UI" w:cs="Nirmala UI"/>
        </w:rPr>
        <w:t>உண்மையை</w:t>
      </w:r>
      <w:r>
        <w:rPr>
          <w:rFonts w:ascii="Times New Roman" w:hAnsi="Times New Roman" w:eastAsia="Times New Roman" w:cs="Times New Roman"/>
        </w:rPr>
        <w:t xml:space="preserve"> </w:t>
      </w:r>
      <w:r>
        <w:rPr>
          <w:rFonts w:ascii="Nirmala UI" w:hAnsi="Nirmala UI" w:eastAsia="Nirmala UI" w:cs="Nirmala UI"/>
        </w:rPr>
        <w:t>மறைக்க</w:t>
      </w:r>
      <w:r>
        <w:rPr>
          <w:rFonts w:ascii="Times New Roman" w:hAnsi="Times New Roman" w:eastAsia="Times New Roman" w:cs="Times New Roman"/>
        </w:rPr>
        <w:t xml:space="preserve"> </w:t>
      </w:r>
      <w:r>
        <w:rPr>
          <w:rFonts w:ascii="Nirmala UI" w:hAnsi="Nirmala UI" w:eastAsia="Nirmala UI" w:cs="Nirmala UI"/>
        </w:rPr>
        <w:t>முற்பட்டுக்</w:t>
      </w:r>
      <w:r>
        <w:rPr>
          <w:rFonts w:ascii="Times New Roman" w:hAnsi="Times New Roman" w:eastAsia="Times New Roman" w:cs="Times New Roman"/>
        </w:rPr>
        <w:t xml:space="preserve"> </w:t>
      </w:r>
      <w:r>
        <w:rPr>
          <w:rFonts w:ascii="Nirmala UI" w:hAnsi="Nirmala UI" w:eastAsia="Nirmala UI" w:cs="Nirmala UI"/>
        </w:rPr>
        <w:t>கொண்டிருந்தபோது</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கல்லறைகளிலிருந்து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கூட்டத்தாரை</w:t>
      </w:r>
      <w:r>
        <w:rPr>
          <w:rFonts w:ascii="Times New Roman" w:hAnsi="Times New Roman" w:eastAsia="Times New Roman" w:cs="Times New Roman"/>
        </w:rPr>
        <w:t xml:space="preserve"> </w:t>
      </w:r>
      <w:r>
        <w:rPr>
          <w:rFonts w:ascii="Nirmala UI" w:hAnsi="Nirmala UI" w:eastAsia="Nirmala UI" w:cs="Nirmala UI"/>
        </w:rPr>
        <w:t>எழுப்பி</w:t>
      </w:r>
      <w:r>
        <w:rPr>
          <w:rFonts w:ascii="Times New Roman" w:hAnsi="Times New Roman" w:eastAsia="Times New Roman" w:cs="Times New Roman"/>
        </w:rPr>
        <w:t xml:space="preserve">, </w:t>
      </w:r>
      <w:r>
        <w:rPr>
          <w:rFonts w:ascii="Nirmala UI" w:hAnsi="Nirmala UI" w:eastAsia="Nirmala UI" w:cs="Nirmala UI"/>
        </w:rPr>
        <w:t>எசு</w:t>
      </w:r>
      <w:r>
        <w:rPr>
          <w:rFonts w:ascii="Times New Roman" w:hAnsi="Times New Roman" w:eastAsia="Times New Roman" w:cs="Times New Roman"/>
        </w:rPr>
        <w:t xml:space="preserve"> </w:t>
      </w:r>
      <w:r>
        <w:rPr>
          <w:rFonts w:ascii="Nirmala UI" w:hAnsi="Nirmala UI" w:eastAsia="Nirmala UI" w:cs="Nirmala UI"/>
        </w:rPr>
        <w:t>உயிர்த்தெழுந்தார்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சாட்சி</w:t>
      </w:r>
      <w:r>
        <w:rPr>
          <w:rFonts w:ascii="Times New Roman" w:hAnsi="Times New Roman" w:eastAsia="Times New Roman" w:cs="Times New Roman"/>
        </w:rPr>
        <w:t xml:space="preserve"> </w:t>
      </w:r>
      <w:r>
        <w:rPr>
          <w:rFonts w:ascii="Nirmala UI" w:hAnsi="Nirmala UI" w:eastAsia="Nirmala UI" w:cs="Nirmala UI"/>
        </w:rPr>
        <w:t>சொல்லவும்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மகிமையை</w:t>
      </w:r>
      <w:r>
        <w:rPr>
          <w:rFonts w:ascii="Times New Roman" w:hAnsi="Times New Roman" w:eastAsia="Times New Roman" w:cs="Times New Roman"/>
        </w:rPr>
        <w:t xml:space="preserve"> </w:t>
      </w:r>
      <w:r>
        <w:rPr>
          <w:rFonts w:ascii="Nirmala UI" w:hAnsi="Nirmala UI" w:eastAsia="Nirmala UI" w:cs="Nirmala UI"/>
        </w:rPr>
        <w:t>அறிவிக்கவும்</w:t>
      </w:r>
      <w:r>
        <w:rPr>
          <w:rFonts w:ascii="Times New Roman" w:hAnsi="Times New Roman" w:eastAsia="Times New Roman" w:cs="Times New Roman"/>
        </w:rPr>
        <w:t xml:space="preserve"> </w:t>
      </w:r>
      <w:r>
        <w:rPr>
          <w:rFonts w:ascii="Nirmala UI" w:hAnsi="Nirmala UI" w:eastAsia="Nirmala UI" w:cs="Nirmala UI"/>
        </w:rPr>
        <w:t>தேர்ந்தெடுத்தார்</w:t>
      </w:r>
      <w:r>
        <w:rPr>
          <w:rFonts w:ascii="Times New Roman" w:hAnsi="Times New Roman" w:eastAsia="Times New Roman" w:cs="Times New Roman"/>
        </w:rPr>
        <w:t>.” Early Writings, 184.</w:t>
      </w:r>
    </w:p>
    <w:p>
      <w:pPr>
        <w:pStyle w:val="ArticleBody"/>
        <w:jc w:val="left"/>
      </w:pPr>
      <w:r>
        <w:rPr>
          <w:rFonts w:ascii="Times New Roman" w:hAnsi="Times New Roman" w:eastAsia="Times New Roman" w:cs="Times New Roman"/>
        </w:rPr>
        <w:t>Ilkinji ýer titremesinde guburlar açyldy, iň soňky ýer titremesinde bolsa Mesihiň gubury açyldy. Ylhamyň on birinji babynda iki şaýat ýer titremesi bilen şol bir sagatda öz guburlaryndan çykýarlar. Ýer titremesi ýekşenbe kanunydyr, ol haç bilen nusgalaşdyrylandyr. Şonuň üçin ýekşenbe kanunynyň sagadynda iki direliş bolmalydyr. Birinjisi aýalyň dogum agyrylary başlamazdan öň bolup geçýän ýüz kyrk dört müňüň dogluşyny aňladýar, ikinjisi bolsa onuň dogum agyrylarynda bolup geçýär. Ylhamyň on ikinji babyndaky aýal ilki demir hasa bilen milletlere höküm sürmeli erkek çagany hiç hili dogum agyrysyz dünýä inderýär. Soňra ýekşenbe kanunynda onuň dogum agyrylary başlanýar we ol ikinji çagany dünýä getirýär. Ilki ol Ylýasy dogurýar, soňunda bolsa Musany dogurýar. Ýekşenbe kanuny Ylhamyň ýedinji babyndaky ekizleriň direliş sagadydyr.</w:t>
      </w:r>
    </w:p>
    <w:p>
      <w:pPr>
        <w:pStyle w:val="ArticleBody"/>
        <w:jc w:val="left"/>
      </w:pPr>
      <w:r>
        <w:rPr>
          <w:rFonts w:ascii="Times New Roman" w:hAnsi="Times New Roman" w:eastAsia="Times New Roman" w:cs="Times New Roman"/>
        </w:rPr>
        <w:t>Domingoggua leikuang ah asi ni hruailam daih taang ah, vāna zīngah darāi ngweihkha tan adang a hngak lo.</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तअ</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स्वर्गदूतसभ</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वेदना</w:t>
      </w:r>
      <w:r>
        <w:rPr>
          <w:rFonts w:ascii="Times New Roman" w:hAnsi="Times New Roman" w:eastAsia="Times New Roman" w:cs="Times New Roman"/>
        </w:rPr>
        <w:t xml:space="preserve"> </w:t>
      </w:r>
      <w:r>
        <w:rPr>
          <w:rFonts w:ascii="Nirmala UI" w:hAnsi="Nirmala UI" w:eastAsia="Nirmala UI" w:cs="Nirmala UI"/>
        </w:rPr>
        <w:t>देखलक।</w:t>
      </w:r>
      <w:r>
        <w:rPr>
          <w:rFonts w:ascii="Times New Roman" w:hAnsi="Times New Roman" w:eastAsia="Times New Roman" w:cs="Times New Roman"/>
        </w:rPr>
        <w:t xml:space="preserve"> </w:t>
      </w:r>
      <w:r>
        <w:rPr>
          <w:rFonts w:ascii="Nirmala UI" w:hAnsi="Nirmala UI" w:eastAsia="Nirmala UI" w:cs="Nirmala UI"/>
        </w:rPr>
        <w:t>ओसभ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सैन्यसभ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घेरल</w:t>
      </w:r>
      <w:r>
        <w:rPr>
          <w:rFonts w:ascii="Times New Roman" w:hAnsi="Times New Roman" w:eastAsia="Times New Roman" w:cs="Times New Roman"/>
        </w:rPr>
        <w:t xml:space="preserve"> </w:t>
      </w:r>
      <w:r>
        <w:rPr>
          <w:rFonts w:ascii="Nirmala UI" w:hAnsi="Nirmala UI" w:eastAsia="Nirmala UI" w:cs="Nirmala UI"/>
        </w:rPr>
        <w:t>देखलक</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प्रकृति</w:t>
      </w:r>
      <w:r>
        <w:rPr>
          <w:rFonts w:ascii="Times New Roman" w:hAnsi="Times New Roman" w:eastAsia="Times New Roman" w:cs="Times New Roman"/>
        </w:rPr>
        <w:t xml:space="preserve"> </w:t>
      </w:r>
      <w:r>
        <w:rPr>
          <w:rFonts w:ascii="Nirmala UI" w:hAnsi="Nirmala UI" w:eastAsia="Nirmala UI" w:cs="Nirmala UI"/>
        </w:rPr>
        <w:t>काँपबावनिहार</w:t>
      </w:r>
      <w:r>
        <w:rPr>
          <w:rFonts w:ascii="Times New Roman" w:hAnsi="Times New Roman" w:eastAsia="Times New Roman" w:cs="Times New Roman"/>
        </w:rPr>
        <w:t xml:space="preserve">, </w:t>
      </w:r>
      <w:r>
        <w:rPr>
          <w:rFonts w:ascii="Nirmala UI" w:hAnsi="Nirmala UI" w:eastAsia="Nirmala UI" w:cs="Nirmala UI"/>
        </w:rPr>
        <w:t>रहस्यमय</w:t>
      </w:r>
      <w:r>
        <w:rPr>
          <w:rFonts w:ascii="Times New Roman" w:hAnsi="Times New Roman" w:eastAsia="Times New Roman" w:cs="Times New Roman"/>
        </w:rPr>
        <w:t xml:space="preserve"> </w:t>
      </w:r>
      <w:r>
        <w:rPr>
          <w:rFonts w:ascii="Nirmala UI" w:hAnsi="Nirmala UI" w:eastAsia="Nirmala UI" w:cs="Nirmala UI"/>
        </w:rPr>
        <w:t>भयक</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दबल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स्वर्गमे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छुइल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नश्वर</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विस्मय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ओसभ</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शोकमे</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किरणसभ</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ओसभ</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बातिकेँ</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नीक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बुझित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दृष्टिमे</w:t>
      </w:r>
      <w:r>
        <w:rPr>
          <w:rFonts w:ascii="Times New Roman" w:hAnsi="Times New Roman" w:eastAsia="Times New Roman" w:cs="Times New Roman"/>
        </w:rPr>
        <w:t xml:space="preserve"> </w:t>
      </w:r>
      <w:r>
        <w:rPr>
          <w:rFonts w:ascii="Nirmala UI" w:hAnsi="Nirmala UI" w:eastAsia="Nirmala UI" w:cs="Nirmala UI"/>
        </w:rPr>
        <w:t>कतबा</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The Desire of Ages, 693.</w:t>
      </w:r>
    </w:p>
    <w:p>
      <w:pPr>
        <w:pStyle w:val="ArticleBody"/>
        <w:jc w:val="left"/>
      </w:pPr>
      <w:r>
        <w:rPr>
          <w:rFonts w:ascii="Times New Roman" w:hAnsi="Times New Roman" w:eastAsia="Times New Roman" w:cs="Times New Roman"/>
        </w:rPr>
        <w:t>ننگزل ؽا ستّ من ساعة الزلزلة تمثّل الميلاد الأوّل أو قيامة الشاهدين الاثنين. وفي تلك النصف ساعة يُختم الشاهدان الاثنان. ولا بدّ أن يُختما قبل قانون الأحد، لأنهما الراية التي تدعو الطفل الآخر إلى الخروج من القبر أثناء النصف ساعة الباقية. ولا يمكن أن يُبعث الطفل الثاني إلى الحياة إلا برؤية رجال ونساء عليهم ختم الله خلال مخاضات أزمة قانون الأحد.</w:t>
      </w:r>
    </w:p>
    <w:p>
      <w:pPr>
        <w:pStyle w:val="ArticleScripture"/>
        <w:jc w:val="left"/>
      </w:pPr>
      <w:r>
        <w:rPr>
          <w:rFonts w:ascii="Times New Roman" w:hAnsi="Times New Roman" w:eastAsia="Times New Roman" w:cs="Times New Roman"/>
        </w:rPr>
        <w:t>“Espíritu Santo ruranqa kay pachapi runakunata huchamanta, chanin kaymanta, hinallataq juicio-manta yuyachinankupaqmi. Kay pachaqa willakuyta chaskinmanqa cheqaqta creyikkunataq cheqaqwan santificasqa kasqankuta rikuspalla; hanan, santu principiosman hina purispa, Diospa kamachikuyninkunata waqaychaqkuna hinallataq chaykunata chakinkuwan saruqkuna ukhupi rakisqa kasqanta ancha hatun, hanan yuyaypi sut’ita rikuchispa. Espíritupa santificasqanmi Diospa sellonta apaqkunata, llulla samana p’unchayta waqaychaqkunamantataq sut’ita reqsichin. Pruebakuna chayamuptinqa, ima kasqanta bestiapa señalninqa sut’ita rikurinqa. Chayqa domingota waqaychaymi. Cheqaqta uyarispaña, kay p’unchayta sagrado hina qhawariyta hinalla qatiqkunaqa, pacha-kunata kamachikuykunatapas tikrayta yuyasqa hucha runapa firmannta apanku.” Bible Training School, December 1, 1903.</w:t>
      </w:r>
    </w:p>
    <w:p>
      <w:pPr>
        <w:pStyle w:val="ArticleBody"/>
        <w:jc w:val="left"/>
      </w:pPr>
      <w:r>
        <w:rPr>
          <w:rFonts w:ascii="Times New Roman" w:hAnsi="Times New Roman" w:eastAsia="Times New Roman" w:cs="Times New Roman"/>
        </w:rPr>
        <w:t>Jumu‘a maya luk'ana warmin nayrïr wawapawa patak pusi tunka pusïr waranqa jaqinakawa, khitinakatix Nayra Aru Uñacht’äwin qillqatan nayrïr achunakat uñt’ayatäki ukanakawa. Jupanakax uka chimpüpxiwa, kawkïr chimpus yaqha tama uwijanakax Sunday law ch’axwäwin jan walt’äwi ukhamarak nuwasïwi pachan uñt’apxañapäki uka. Uka chimpux Samarañ Urüwa, uka patak pusi tunka pusïr waranqa jaqinakax jach’añchapki uka pachanxa, uk luräwix jan leyïkxchi ukhaxa. Sister White jupanax jupanakan achuparux “Príncipe Emmanuelan wilampi q’ala q’iyat banderapa” sasaw sutichi.</w:t>
      </w:r>
    </w:p>
    <w:p>
      <w:pPr>
        <w:pStyle w:val="ArticleScripture"/>
        <w:jc w:val="left"/>
      </w:pPr>
      <w:r>
        <w:rPr>
          <w:rFonts w:ascii="Times New Roman" w:hAnsi="Times New Roman" w:eastAsia="Times New Roman" w:cs="Times New Roman"/>
        </w:rPr>
        <w:t>"Кӧрӱштӧ мен эки чэрӱ чочко айалҕада турғалар деп кӧрдӱм. Бир чэрӱ дьылга белгелери бар туулар баштаган; экинчизи Эммануил Ханыӊ канга былғанған туусу баштаган. Туу артынан туу топуракка сӱйреле берген, Раббыныӊ чэрӱзинең рота артынан рота душпанга кошулуп турганда, душпан сӧӧгинең уруу артынан уруу Кудайдыӊ буйруктарын сактаган халкына бириккен. Кӧктӧр ортозунда учуп барған бир периште Эммануилдиӊ туузын кӧп колдорго туттурган, ал убакта кӱчтӱ бир колбашчы улуғ ун менен кыйкырган: ‘Сапка тӱшӱнгӱле. Кудайдыӊ буйруктарына эм Христостыӊ таныгына берилгендер азыр ӧз орундарын алзын. Олордыӊ арасындан чыккыла, айрылып тургула, арам нерсеге тийбегиле, Мен силерди кабыл аларым, силерге Ата болорум, силер Мениӊ уулдарым эм кыздарым болорсуздар. Каалагандардын бары Раббыга жардамга, кӱчтӱлӱргӱ каршы Раббыга жардамга чыксын.’" Testimonies, volume 8, 41.</w:t>
      </w:r>
    </w:p>
    <w:p>
      <w:pPr>
        <w:pStyle w:val="ArticleBody"/>
        <w:jc w:val="left"/>
      </w:pPr>
      <w:r>
        <w:rPr>
          <w:rFonts w:ascii="Times New Roman" w:hAnsi="Times New Roman" w:eastAsia="Times New Roman" w:cs="Times New Roman"/>
        </w:rPr>
        <w:t>Yalm xwe nten yej b’zaam ne God yalm bak se b’la m’dəl b’gize n’krisis ye Sunday law. Yə yalm ne b’rihan yəmiqəṭṭəl, b’and meto arbat ena arat shih yəmiwəsəd. Yə yalm qəy n’w, məkniyatum yalm b’dəm yəntən n’w. Yə yalm be qətel yə Jericho təməsələ, gize Rahab səlasochin teqəbələt ena tebeqəch, kezaʾm b’meqemet yə qəy xər kə məskotwa wəchi, lə sərəwit Joshua t’əzazwan teqəbələt. Rahab yə God huletəña wəldoch b’n’krisis yə Sunday law t’məsəlalach, enesu yə qəy məlkətun yəyyu ena yəqəbəlu, wədə t’əzaz sərəwit Joshua yəgəbu. Yə qəy xər yə Rahab təqəmtach, lə sərəwit Joshua məlkət nəbər, yə Rahab betəsəb endayt’fu.</w:t>
      </w:r>
    </w:p>
    <w:p>
      <w:pPr>
        <w:pStyle w:val="ArticleBody"/>
        <w:jc w:val="left"/>
      </w:pPr>
      <w:r>
        <w:rPr>
          <w:rFonts w:ascii="Sylfaen" w:hAnsi="Sylfaen" w:eastAsia="Sylfaen" w:cs="Sylfaen"/>
        </w:rPr>
        <w:t>რახაბი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ჯერ</w:t>
      </w:r>
      <w:r>
        <w:rPr>
          <w:rFonts w:ascii="Times New Roman" w:hAnsi="Times New Roman" w:eastAsia="Times New Roman" w:cs="Times New Roman"/>
        </w:rPr>
        <w:t xml:space="preserve"> </w:t>
      </w:r>
      <w:r>
        <w:rPr>
          <w:rFonts w:ascii="Sylfaen" w:hAnsi="Sylfaen" w:eastAsia="Sylfaen" w:cs="Sylfaen"/>
        </w:rPr>
        <w:t>კიდევ</w:t>
      </w:r>
      <w:r>
        <w:rPr>
          <w:rFonts w:ascii="Times New Roman" w:hAnsi="Times New Roman" w:eastAsia="Times New Roman" w:cs="Times New Roman"/>
        </w:rPr>
        <w:t xml:space="preserve"> </w:t>
      </w:r>
      <w:r>
        <w:rPr>
          <w:rFonts w:ascii="Sylfaen" w:hAnsi="Sylfaen" w:eastAsia="Sylfaen" w:cs="Sylfaen"/>
        </w:rPr>
        <w:t>ბაბილონში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კრიზისის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იესოს</w:t>
      </w:r>
      <w:r>
        <w:rPr>
          <w:rFonts w:ascii="Times New Roman" w:hAnsi="Times New Roman" w:eastAsia="Times New Roman" w:cs="Times New Roman"/>
        </w:rPr>
        <w:t xml:space="preserve"> </w:t>
      </w:r>
      <w:r>
        <w:rPr>
          <w:rFonts w:ascii="Sylfaen" w:hAnsi="Sylfaen" w:eastAsia="Sylfaen" w:cs="Sylfaen"/>
        </w:rPr>
        <w:t>არმია</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პირმშოებს</w:t>
      </w:r>
      <w:r>
        <w:rPr>
          <w:rFonts w:ascii="Times New Roman" w:hAnsi="Times New Roman" w:eastAsia="Times New Roman" w:cs="Times New Roman"/>
        </w:rPr>
        <w:t xml:space="preserve">. </w:t>
      </w:r>
      <w:r>
        <w:rPr>
          <w:rFonts w:ascii="Sylfaen" w:hAnsi="Sylfaen" w:eastAsia="Sylfaen" w:cs="Sylfaen"/>
        </w:rPr>
        <w:t>წითელი</w:t>
      </w:r>
      <w:r>
        <w:rPr>
          <w:rFonts w:ascii="Times New Roman" w:hAnsi="Times New Roman" w:eastAsia="Times New Roman" w:cs="Times New Roman"/>
        </w:rPr>
        <w:t xml:space="preserve"> </w:t>
      </w:r>
      <w:r>
        <w:rPr>
          <w:rFonts w:ascii="Sylfaen" w:hAnsi="Sylfaen" w:eastAsia="Sylfaen" w:cs="Sylfaen"/>
        </w:rPr>
        <w:t>ძაფი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შაბათის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წითელი</w:t>
      </w:r>
      <w:r>
        <w:rPr>
          <w:rFonts w:ascii="Times New Roman" w:hAnsi="Times New Roman" w:eastAsia="Times New Roman" w:cs="Times New Roman"/>
        </w:rPr>
        <w:t xml:space="preserve"> </w:t>
      </w:r>
      <w:r>
        <w:rPr>
          <w:rFonts w:ascii="Sylfaen" w:hAnsi="Sylfaen" w:eastAsia="Sylfaen" w:cs="Sylfaen"/>
        </w:rPr>
        <w:t>ძაფი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მზვერავთა</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რახაბისთვის</w:t>
      </w:r>
      <w:r>
        <w:rPr>
          <w:rFonts w:ascii="Times New Roman" w:hAnsi="Times New Roman" w:eastAsia="Times New Roman" w:cs="Times New Roman"/>
        </w:rPr>
        <w:t xml:space="preserve"> </w:t>
      </w:r>
      <w:r>
        <w:rPr>
          <w:rFonts w:ascii="Sylfaen" w:hAnsi="Sylfaen" w:eastAsia="Sylfaen" w:cs="Sylfaen"/>
        </w:rPr>
        <w:t>მიცემული</w:t>
      </w:r>
      <w:r>
        <w:rPr>
          <w:rFonts w:ascii="Times New Roman" w:hAnsi="Times New Roman" w:eastAsia="Times New Roman" w:cs="Times New Roman"/>
        </w:rPr>
        <w:t xml:space="preserve"> </w:t>
      </w:r>
      <w:r>
        <w:rPr>
          <w:rFonts w:ascii="Sylfaen" w:hAnsi="Sylfaen" w:eastAsia="Sylfaen" w:cs="Sylfaen"/>
        </w:rPr>
        <w:t>ბრძანება</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დამორჩილებოდა</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სურდა</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მფარველობის</w:t>
      </w:r>
      <w:r>
        <w:rPr>
          <w:rFonts w:ascii="Times New Roman" w:hAnsi="Times New Roman" w:eastAsia="Times New Roman" w:cs="Times New Roman"/>
        </w:rPr>
        <w:t xml:space="preserve"> </w:t>
      </w:r>
      <w:r>
        <w:rPr>
          <w:rFonts w:ascii="Sylfaen" w:hAnsi="Sylfaen" w:eastAsia="Sylfaen" w:cs="Sylfaen"/>
        </w:rPr>
        <w:t>მოპოვება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Мына, биз йәргә киргәндә, сән бизни чүшүргән шу деризигә бу қизил жипни бағлап қойғин; вә атаңни, анаңни, қериндашлириңни, атаңниң барлиқ аилисини өйүңгә, йениңға жиғип кәлгин. Йәшуа 2:8.</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ክርእይዎ</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በቲ</w:t>
      </w:r>
      <w:r>
        <w:rPr>
          <w:rFonts w:ascii="Times New Roman" w:hAnsi="Times New Roman" w:eastAsia="Times New Roman" w:cs="Times New Roman"/>
        </w:rPr>
        <w:t xml:space="preserve"> </w:t>
      </w:r>
      <w:r>
        <w:rPr>
          <w:rFonts w:ascii="Ebrima" w:hAnsi="Ebrima" w:eastAsia="Ebrima" w:cs="Ebrima"/>
        </w:rPr>
        <w:t>ቀይሕ</w:t>
      </w:r>
      <w:r>
        <w:rPr>
          <w:rFonts w:ascii="Times New Roman" w:hAnsi="Times New Roman" w:eastAsia="Times New Roman" w:cs="Times New Roman"/>
        </w:rPr>
        <w:t xml:space="preserve"> </w:t>
      </w:r>
      <w:r>
        <w:rPr>
          <w:rFonts w:ascii="Ebrima" w:hAnsi="Ebrima" w:eastAsia="Ebrima" w:cs="Ebrima"/>
        </w:rPr>
        <w:t>ፈትሊ</w:t>
      </w:r>
      <w:r>
        <w:rPr>
          <w:rFonts w:ascii="Times New Roman" w:hAnsi="Times New Roman" w:eastAsia="Times New Roman" w:cs="Times New Roman"/>
        </w:rPr>
        <w:t xml:space="preserve"> </w:t>
      </w:r>
      <w:r>
        <w:rPr>
          <w:rFonts w:ascii="Ebrima" w:hAnsi="Ebrima" w:eastAsia="Ebrima" w:cs="Ebrima"/>
        </w:rPr>
        <w:t>ይውከል፤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ማንታት</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ፍልልይ</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ይለልይ።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በዅሪ</w:t>
      </w:r>
      <w:r>
        <w:rPr>
          <w:rFonts w:ascii="Times New Roman" w:hAnsi="Times New Roman" w:eastAsia="Times New Roman" w:cs="Times New Roman"/>
        </w:rPr>
        <w:t xml:space="preserve"> </w:t>
      </w:r>
      <w:r>
        <w:rPr>
          <w:rFonts w:ascii="Ebrima" w:hAnsi="Ebrima" w:eastAsia="Ebrima" w:cs="Ebrima"/>
        </w:rPr>
        <w:t>ዝተወልደ</w:t>
      </w:r>
      <w:r>
        <w:rPr>
          <w:rFonts w:ascii="Times New Roman" w:hAnsi="Times New Roman" w:eastAsia="Times New Roman" w:cs="Times New Roman"/>
        </w:rPr>
        <w:t xml:space="preserve"> </w:t>
      </w:r>
      <w:r>
        <w:rPr>
          <w:rFonts w:ascii="Ebrima" w:hAnsi="Ebrima" w:eastAsia="Ebrima" w:cs="Ebrima"/>
        </w:rPr>
        <w:t>ማንታ</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ኣእዳዎም</w:t>
      </w:r>
      <w:r>
        <w:rPr>
          <w:rFonts w:ascii="Times New Roman" w:hAnsi="Times New Roman" w:eastAsia="Times New Roman" w:cs="Times New Roman"/>
        </w:rPr>
        <w:t xml:space="preserve"> </w:t>
      </w:r>
      <w:r>
        <w:rPr>
          <w:rFonts w:ascii="Ebrima" w:hAnsi="Ebrima" w:eastAsia="Ebrima" w:cs="Ebrima"/>
        </w:rPr>
        <w:t>ብደም</w:t>
      </w:r>
      <w:r>
        <w:rPr>
          <w:rFonts w:ascii="Times New Roman" w:hAnsi="Times New Roman" w:eastAsia="Times New Roman" w:cs="Times New Roman"/>
        </w:rPr>
        <w:t xml:space="preserve"> </w:t>
      </w:r>
      <w:r>
        <w:rPr>
          <w:rFonts w:ascii="Ebrima" w:hAnsi="Ebrima" w:eastAsia="Ebrima" w:cs="Ebrima"/>
        </w:rPr>
        <w:t>ዝተቐለለ</w:t>
      </w:r>
      <w:r>
        <w:rPr>
          <w:rFonts w:ascii="Times New Roman" w:hAnsi="Times New Roman" w:eastAsia="Times New Roman" w:cs="Times New Roman"/>
        </w:rPr>
        <w:t xml:space="preserve"> </w:t>
      </w:r>
      <w:r>
        <w:rPr>
          <w:rFonts w:ascii="Ebrima" w:hAnsi="Ebrima" w:eastAsia="Ebrima" w:cs="Ebrima"/>
        </w:rPr>
        <w:t>ባንዴራ</w:t>
      </w:r>
      <w:r>
        <w:rPr>
          <w:rFonts w:ascii="Times New Roman" w:hAnsi="Times New Roman" w:eastAsia="Times New Roman" w:cs="Times New Roman"/>
        </w:rPr>
        <w:t xml:space="preserve"> </w:t>
      </w:r>
      <w:r>
        <w:rPr>
          <w:rFonts w:ascii="Ebrima" w:hAnsi="Ebrima" w:eastAsia="Ebrima" w:cs="Ebrima"/>
        </w:rPr>
        <w:t>ልኡል</w:t>
      </w:r>
      <w:r>
        <w:rPr>
          <w:rFonts w:ascii="Times New Roman" w:hAnsi="Times New Roman" w:eastAsia="Times New Roman" w:cs="Times New Roman"/>
        </w:rPr>
        <w:t xml:space="preserve"> </w:t>
      </w:r>
      <w:r>
        <w:rPr>
          <w:rFonts w:ascii="Ebrima" w:hAnsi="Ebrima" w:eastAsia="Ebrima" w:cs="Ebrima"/>
        </w:rPr>
        <w:t>እማኑኤል</w:t>
      </w:r>
      <w:r>
        <w:rPr>
          <w:rFonts w:ascii="Times New Roman" w:hAnsi="Times New Roman" w:eastAsia="Times New Roman" w:cs="Times New Roman"/>
        </w:rPr>
        <w:t xml:space="preserve"> </w:t>
      </w:r>
      <w:r>
        <w:rPr>
          <w:rFonts w:ascii="Ebrima" w:hAnsi="Ebrima" w:eastAsia="Ebrima" w:cs="Ebrima"/>
        </w:rPr>
        <w:t>ይሕዙ</w:t>
      </w:r>
      <w:r>
        <w:rPr>
          <w:rFonts w:ascii="Times New Roman" w:hAnsi="Times New Roman" w:eastAsia="Times New Roman" w:cs="Times New Roman"/>
        </w:rPr>
        <w:t xml:space="preserve"> </w:t>
      </w:r>
      <w:r>
        <w:rPr>
          <w:rFonts w:ascii="Ebrima" w:hAnsi="Ebrima" w:eastAsia="Ebrima" w:cs="Ebrima"/>
        </w:rPr>
        <w:t>እዮም።</w:t>
      </w:r>
    </w:p>
    <w:p>
      <w:pPr>
        <w:pStyle w:val="ArticleScripture"/>
        <w:jc w:val="left"/>
      </w:pPr>
      <w:r>
        <w:rPr>
          <w:rFonts w:ascii="Times New Roman" w:hAnsi="Times New Roman" w:eastAsia="Times New Roman" w:cs="Times New Roman"/>
        </w:rPr>
        <w:t>Ол халықтар үшін байрақ көтереді, Исраилдің қуғындалғандарын жинайды, әрі Яһуданың бытырап кеткендерін жердің төрт бұрышынан топтастырады. Ефремнің қызғанышы да ғайып болады, ал Яһуданың қарсыластары жойылады: Ефрем Яһудаға қызғаныш етпейді, Яһуда да Ефремге қасірет келтірмейді. Бірақ олар батысқа қарай філістірлердің иықтарына қона ұшады; шығыстағыларды бірге тонайды; Едом мен Моабқа қол салады; ал Аммон ұлдары оларға бағынады. Ишая 11:12–14.</w:t>
      </w:r>
    </w:p>
    <w:p>
      <w:pPr>
        <w:pStyle w:val="ArticleBody"/>
        <w:jc w:val="left"/>
      </w:pPr>
      <w:r>
        <w:rPr>
          <w:rFonts w:ascii="Times New Roman" w:hAnsi="Times New Roman" w:eastAsia="Times New Roman" w:cs="Times New Roman"/>
        </w:rPr>
        <w:t>Yebɛwo mma baanu a wɔyɛ ntafo no mu panyin no wɔ odwiraa nsɛnkyerɛnne no, a ɛno ne odwiraa nhama a ɛhyɛ awoɔdi kan no agyirae. Ntafonom no mu nea odi kan a wɔwoo no ne Zarah, na nea ɔto so abien no ne Pharez.</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မွေးဖွားခြင်းဝေဒနာကို</w:t>
      </w:r>
      <w:r>
        <w:rPr>
          <w:rFonts w:ascii="Times New Roman" w:hAnsi="Times New Roman" w:eastAsia="Times New Roman" w:cs="Times New Roman"/>
        </w:rPr>
        <w:t xml:space="preserve"> </w:t>
      </w:r>
      <w:r>
        <w:rPr>
          <w:rFonts w:ascii="Myanmar Text" w:hAnsi="Myanmar Text" w:eastAsia="Myanmar Text" w:cs="Myanmar Text"/>
        </w:rPr>
        <w:t>ခံနေရသောအချိန်၌၊</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ဗိုက်အတွင်း၌</w:t>
      </w:r>
      <w:r>
        <w:rPr>
          <w:rFonts w:ascii="Times New Roman" w:hAnsi="Times New Roman" w:eastAsia="Times New Roman" w:cs="Times New Roman"/>
        </w:rPr>
        <w:t xml:space="preserve"> </w:t>
      </w:r>
      <w:r>
        <w:rPr>
          <w:rFonts w:ascii="Myanmar Text" w:hAnsi="Myanmar Text" w:eastAsia="Myanmar Text" w:cs="Myanmar Text"/>
        </w:rPr>
        <w:t>အမွှာကလေးများ</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မွေးဖွားနေစဉ်တွင်၊</w:t>
      </w:r>
      <w:r>
        <w:rPr>
          <w:rFonts w:ascii="Times New Roman" w:hAnsi="Times New Roman" w:eastAsia="Times New Roman" w:cs="Times New Roman"/>
        </w:rPr>
        <w:t xml:space="preserve"> </w:t>
      </w:r>
      <w:r>
        <w:rPr>
          <w:rFonts w:ascii="Myanmar Text" w:hAnsi="Myanmar Text" w:eastAsia="Myanmar Text" w:cs="Myanmar Text"/>
        </w:rPr>
        <w:t>တစ်ယောက်က</w:t>
      </w:r>
      <w:r>
        <w:rPr>
          <w:rFonts w:ascii="Times New Roman" w:hAnsi="Times New Roman" w:eastAsia="Times New Roman" w:cs="Times New Roman"/>
        </w:rPr>
        <w:t xml:space="preserve"> </w:t>
      </w:r>
      <w:r>
        <w:rPr>
          <w:rFonts w:ascii="Myanmar Text" w:hAnsi="Myanmar Text" w:eastAsia="Myanmar Text" w:cs="Myanmar Text"/>
        </w:rPr>
        <w:t>မိမိလက်ကို</w:t>
      </w:r>
      <w:r>
        <w:rPr>
          <w:rFonts w:ascii="Times New Roman" w:hAnsi="Times New Roman" w:eastAsia="Times New Roman" w:cs="Times New Roman"/>
        </w:rPr>
        <w:t xml:space="preserve"> </w:t>
      </w:r>
      <w:r>
        <w:rPr>
          <w:rFonts w:ascii="Myanmar Text" w:hAnsi="Myanmar Text" w:eastAsia="Myanmar Text" w:cs="Myanmar Text"/>
        </w:rPr>
        <w:t>ထုတ်လိုက်၏။</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အမိဖွားဆရာမသည်</w:t>
      </w:r>
      <w:r>
        <w:rPr>
          <w:rFonts w:ascii="Times New Roman" w:hAnsi="Times New Roman" w:eastAsia="Times New Roman" w:cs="Times New Roman"/>
        </w:rPr>
        <w:t xml:space="preserve"> </w:t>
      </w:r>
      <w:r>
        <w:rPr>
          <w:rFonts w:ascii="Myanmar Text" w:hAnsi="Myanmar Text" w:eastAsia="Myanmar Text" w:cs="Myanmar Text"/>
        </w:rPr>
        <w:t>ထိုလက်ပေါ်၌</w:t>
      </w:r>
      <w:r>
        <w:rPr>
          <w:rFonts w:ascii="Times New Roman" w:hAnsi="Times New Roman" w:eastAsia="Times New Roman" w:cs="Times New Roman"/>
        </w:rPr>
        <w:t xml:space="preserve"> </w:t>
      </w:r>
      <w:r>
        <w:rPr>
          <w:rFonts w:ascii="Myanmar Text" w:hAnsi="Myanmar Text" w:eastAsia="Myanmar Text" w:cs="Myanmar Text"/>
        </w:rPr>
        <w:t>အနီရောင်ချည်တစ်ချောင်းကို</w:t>
      </w:r>
      <w:r>
        <w:rPr>
          <w:rFonts w:ascii="Times New Roman" w:hAnsi="Times New Roman" w:eastAsia="Times New Roman" w:cs="Times New Roman"/>
        </w:rPr>
        <w:t xml:space="preserve"> </w:t>
      </w:r>
      <w:r>
        <w:rPr>
          <w:rFonts w:ascii="Myanmar Text" w:hAnsi="Myanmar Text" w:eastAsia="Myanmar Text" w:cs="Myanmar Text"/>
        </w:rPr>
        <w:t>ချည်နှောင်၍၊</w:t>
      </w:r>
      <w:r>
        <w:rPr>
          <w:rFonts w:ascii="Times New Roman" w:hAnsi="Times New Roman" w:eastAsia="Times New Roman" w:cs="Times New Roman"/>
        </w:rPr>
        <w:t xml:space="preserve"> “</w:t>
      </w:r>
      <w:r>
        <w:rPr>
          <w:rFonts w:ascii="Myanmar Text" w:hAnsi="Myanmar Text" w:eastAsia="Myanmar Text" w:cs="Myanmar Text"/>
        </w:rPr>
        <w:t>ဤသူသည်</w:t>
      </w:r>
      <w:r>
        <w:rPr>
          <w:rFonts w:ascii="Times New Roman" w:hAnsi="Times New Roman" w:eastAsia="Times New Roman" w:cs="Times New Roman"/>
        </w:rPr>
        <w:t xml:space="preserve"> </w:t>
      </w:r>
      <w:r>
        <w:rPr>
          <w:rFonts w:ascii="Myanmar Text" w:hAnsi="Myanmar Text" w:eastAsia="Myanmar Text" w:cs="Myanmar Text"/>
        </w:rPr>
        <w:t>အရင်ထွက်လာသောသူ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မိမိလက်ကို</w:t>
      </w:r>
      <w:r>
        <w:rPr>
          <w:rFonts w:ascii="Times New Roman" w:hAnsi="Times New Roman" w:eastAsia="Times New Roman" w:cs="Times New Roman"/>
        </w:rPr>
        <w:t xml:space="preserve"> </w:t>
      </w:r>
      <w:r>
        <w:rPr>
          <w:rFonts w:ascii="Myanmar Text" w:hAnsi="Myanmar Text" w:eastAsia="Myanmar Text" w:cs="Myanmar Text"/>
        </w:rPr>
        <w:t>ပြန်ရုတ်သိမ်းလိုက်သောအခါ၊</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ညီအစ်ကိုသည်</w:t>
      </w:r>
      <w:r>
        <w:rPr>
          <w:rFonts w:ascii="Times New Roman" w:hAnsi="Times New Roman" w:eastAsia="Times New Roman" w:cs="Times New Roman"/>
        </w:rPr>
        <w:t xml:space="preserve"> </w:t>
      </w:r>
      <w:r>
        <w:rPr>
          <w:rFonts w:ascii="Myanmar Text" w:hAnsi="Myanmar Text" w:eastAsia="Myanmar Text" w:cs="Myanmar Text"/>
        </w:rPr>
        <w:t>ထွက်လာလေ၏။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ဖောက်ထွက်လာသနည်း။</w:t>
      </w:r>
      <w:r>
        <w:rPr>
          <w:rFonts w:ascii="Times New Roman" w:hAnsi="Times New Roman" w:eastAsia="Times New Roman" w:cs="Times New Roman"/>
        </w:rPr>
        <w:t xml:space="preserve"> </w:t>
      </w:r>
      <w:r>
        <w:rPr>
          <w:rFonts w:ascii="Myanmar Text" w:hAnsi="Myanmar Text" w:eastAsia="Myanmar Text" w:cs="Myanmar Text"/>
        </w:rPr>
        <w:t>ဤဖောက်ကွဲမှုသည်</w:t>
      </w:r>
      <w:r>
        <w:rPr>
          <w:rFonts w:ascii="Times New Roman" w:hAnsi="Times New Roman" w:eastAsia="Times New Roman" w:cs="Times New Roman"/>
        </w:rPr>
        <w:t xml:space="preserve"> </w:t>
      </w:r>
      <w:r>
        <w:rPr>
          <w:rFonts w:ascii="Myanmar Text" w:hAnsi="Myanmar Text" w:eastAsia="Myanmar Text" w:cs="Myanmar Text"/>
        </w:rPr>
        <w:t>သင့်အပေါ်၌</w:t>
      </w:r>
      <w:r>
        <w:rPr>
          <w:rFonts w:ascii="Times New Roman" w:hAnsi="Times New Roman" w:eastAsia="Times New Roman" w:cs="Times New Roman"/>
        </w:rPr>
        <w:t xml:space="preserve"> </w:t>
      </w:r>
      <w:r>
        <w:rPr>
          <w:rFonts w:ascii="Myanmar Text" w:hAnsi="Myanmar Text" w:eastAsia="Myanmar Text" w:cs="Myanmar Text"/>
        </w:rPr>
        <w:t>ဖြစ်စေသတည်း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အမည်ကို</w:t>
      </w:r>
      <w:r>
        <w:rPr>
          <w:rFonts w:ascii="Times New Roman" w:hAnsi="Times New Roman" w:eastAsia="Times New Roman" w:cs="Times New Roman"/>
        </w:rPr>
        <w:t xml:space="preserve"> </w:t>
      </w:r>
      <w:r>
        <w:rPr>
          <w:rFonts w:ascii="Myanmar Text" w:hAnsi="Myanmar Text" w:eastAsia="Myanmar Text" w:cs="Myanmar Text"/>
        </w:rPr>
        <w:t>ဖာရက်ဇ်ဟု</w:t>
      </w:r>
      <w:r>
        <w:rPr>
          <w:rFonts w:ascii="Times New Roman" w:hAnsi="Times New Roman" w:eastAsia="Times New Roman" w:cs="Times New Roman"/>
        </w:rPr>
        <w:t xml:space="preserve"> </w:t>
      </w:r>
      <w:r>
        <w:rPr>
          <w:rFonts w:ascii="Myanmar Text" w:hAnsi="Myanmar Text" w:eastAsia="Myanmar Text" w:cs="Myanmar Text"/>
        </w:rPr>
        <w:t>ခေါ်လေ၏။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မိမိလက်ပေါ်၌</w:t>
      </w:r>
      <w:r>
        <w:rPr>
          <w:rFonts w:ascii="Times New Roman" w:hAnsi="Times New Roman" w:eastAsia="Times New Roman" w:cs="Times New Roman"/>
        </w:rPr>
        <w:t xml:space="preserve"> </w:t>
      </w:r>
      <w:r>
        <w:rPr>
          <w:rFonts w:ascii="Myanmar Text" w:hAnsi="Myanmar Text" w:eastAsia="Myanmar Text" w:cs="Myanmar Text"/>
        </w:rPr>
        <w:t>အနီရောင်ချည်ရှိသော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ညီအစ်ကို</w:t>
      </w:r>
      <w:r>
        <w:rPr>
          <w:rFonts w:ascii="Times New Roman" w:hAnsi="Times New Roman" w:eastAsia="Times New Roman" w:cs="Times New Roman"/>
        </w:rPr>
        <w:t xml:space="preserve"> </w:t>
      </w:r>
      <w:r>
        <w:rPr>
          <w:rFonts w:ascii="Myanmar Text" w:hAnsi="Myanmar Text" w:eastAsia="Myanmar Text" w:cs="Myanmar Text"/>
        </w:rPr>
        <w:t>ထွက်လာလေ၏။</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အမည်ကို</w:t>
      </w:r>
      <w:r>
        <w:rPr>
          <w:rFonts w:ascii="Times New Roman" w:hAnsi="Times New Roman" w:eastAsia="Times New Roman" w:cs="Times New Roman"/>
        </w:rPr>
        <w:t xml:space="preserve"> </w:t>
      </w:r>
      <w:r>
        <w:rPr>
          <w:rFonts w:ascii="Myanmar Text" w:hAnsi="Myanmar Text" w:eastAsia="Myanmar Text" w:cs="Myanmar Text"/>
        </w:rPr>
        <w:t>ဇာရဟု</w:t>
      </w:r>
      <w:r>
        <w:rPr>
          <w:rFonts w:ascii="Times New Roman" w:hAnsi="Times New Roman" w:eastAsia="Times New Roman" w:cs="Times New Roman"/>
        </w:rPr>
        <w:t xml:space="preserve"> </w:t>
      </w:r>
      <w:r>
        <w:rPr>
          <w:rFonts w:ascii="Myanmar Text" w:hAnsi="Myanmar Text" w:eastAsia="Myanmar Text" w:cs="Myanmar Text"/>
        </w:rPr>
        <w:t>ခေါ်လေ၏။</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w:t>
      </w:r>
      <w:r>
        <w:rPr>
          <w:rFonts w:ascii="Myanmar Text" w:hAnsi="Myanmar Text" w:eastAsia="Myanmar Text" w:cs="Myanmar Text"/>
        </w:rPr>
        <w:t>၃၈</w:t>
      </w:r>
      <w:r>
        <w:rPr>
          <w:rFonts w:ascii="Times New Roman" w:hAnsi="Times New Roman" w:eastAsia="Times New Roman" w:cs="Times New Roman"/>
        </w:rPr>
        <w:t>:</w:t>
      </w:r>
      <w:r>
        <w:rPr>
          <w:rFonts w:ascii="Myanmar Text" w:hAnsi="Myanmar Text" w:eastAsia="Myanmar Text" w:cs="Myanmar Text"/>
        </w:rPr>
        <w:t>၂၇</w:t>
      </w:r>
      <w:r>
        <w:rPr>
          <w:rFonts w:ascii="Times New Roman" w:hAnsi="Times New Roman" w:eastAsia="Times New Roman" w:cs="Times New Roman"/>
        </w:rPr>
        <w:t>–</w:t>
      </w:r>
      <w:r>
        <w:rPr>
          <w:rFonts w:ascii="Myanmar Text" w:hAnsi="Myanmar Text" w:eastAsia="Myanmar Text" w:cs="Myanmar Text"/>
        </w:rPr>
        <w:t>၃၀။</w:t>
      </w:r>
    </w:p>
    <w:p>
      <w:pPr>
        <w:pStyle w:val="ArticleBody"/>
        <w:jc w:val="left"/>
      </w:pPr>
      <w:r>
        <w:rPr>
          <w:rFonts w:ascii="Times New Roman" w:hAnsi="Times New Roman" w:eastAsia="Times New Roman" w:cs="Times New Roman"/>
        </w:rPr>
        <w:t>زارح به‌معنای نورِ درحالِ برآمدن است، و فارص به‌معنای شکافتن و بیرون‌زدن. هنگامی که دوقلوی فارص، نورِ برآمدهٔ نشانِ نخِ سرخ را بر دستِ برادرِ دوقلوی خود، زارح، می‌بیند، «بیرون می‌زند»، یا از بابل بیرون می‌آید. تشخیصِ زارح نسبت به نورِ برآمدهٔ نخِ سرخ، تسلیمِ دوقلوی آخرزاده را به دوقلوی نخست‌زاده مشخص می‌سازد.</w:t>
      </w:r>
    </w:p>
    <w:p>
      <w:pPr>
        <w:pStyle w:val="ArticleScripture"/>
        <w:jc w:val="left"/>
      </w:pP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ከምሥራቅ፣</w:t>
      </w:r>
      <w:r>
        <w:rPr>
          <w:rFonts w:ascii="Times New Roman" w:hAnsi="Times New Roman" w:eastAsia="Times New Roman" w:cs="Times New Roman"/>
        </w:rPr>
        <w:t xml:space="preserve"> </w:t>
      </w:r>
      <w:r>
        <w:rPr>
          <w:rFonts w:ascii="Ebrima" w:hAnsi="Ebrima" w:eastAsia="Ebrima" w:cs="Ebrima"/>
        </w:rPr>
        <w:t>ከምዕራብ፣</w:t>
      </w:r>
      <w:r>
        <w:rPr>
          <w:rFonts w:ascii="Times New Roman" w:hAnsi="Times New Roman" w:eastAsia="Times New Roman" w:cs="Times New Roman"/>
        </w:rPr>
        <w:t xml:space="preserve"> </w:t>
      </w:r>
      <w:r>
        <w:rPr>
          <w:rFonts w:ascii="Ebrima" w:hAnsi="Ebrima" w:eastAsia="Ebrima" w:cs="Ebrima"/>
        </w:rPr>
        <w:t>ከሰሜን፣</w:t>
      </w:r>
      <w:r>
        <w:rPr>
          <w:rFonts w:ascii="Times New Roman" w:hAnsi="Times New Roman" w:eastAsia="Times New Roman" w:cs="Times New Roman"/>
        </w:rPr>
        <w:t xml:space="preserve"> </w:t>
      </w:r>
      <w:r>
        <w:rPr>
          <w:rFonts w:ascii="Ebrima" w:hAnsi="Ebrima" w:eastAsia="Ebrima" w:cs="Ebrima"/>
        </w:rPr>
        <w:t>ከደቡብም</w:t>
      </w:r>
      <w:r>
        <w:rPr>
          <w:rFonts w:ascii="Times New Roman" w:hAnsi="Times New Roman" w:eastAsia="Times New Roman" w:cs="Times New Roman"/>
        </w:rPr>
        <w:t xml:space="preserve"> </w:t>
      </w:r>
      <w:r>
        <w:rPr>
          <w:rFonts w:ascii="Ebrima" w:hAnsi="Ebrima" w:eastAsia="Ebrima" w:cs="Ebrima"/>
        </w:rPr>
        <w:t>ይመጣሉ፤</w:t>
      </w:r>
      <w:r>
        <w:rPr>
          <w:rFonts w:ascii="Times New Roman" w:hAnsi="Times New Roman" w:eastAsia="Times New Roman" w:cs="Times New Roman"/>
        </w:rPr>
        <w:t xml:space="preserve"> </w:t>
      </w:r>
      <w:r>
        <w:rPr>
          <w:rFonts w:ascii="Ebrima" w:hAnsi="Ebrima" w:eastAsia="Ebrima" w:cs="Ebrima"/>
        </w:rPr>
        <w:t>በእግዚአብሔርም</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ይቀመጣሉ።</w:t>
      </w:r>
      <w:r>
        <w:rPr>
          <w:rFonts w:ascii="Times New Roman" w:hAnsi="Times New Roman" w:eastAsia="Times New Roman" w:cs="Times New Roman"/>
        </w:rPr>
        <w:t xml:space="preserve"> </w:t>
      </w:r>
      <w:r>
        <w:rPr>
          <w:rFonts w:ascii="Ebrima" w:hAnsi="Ebrima" w:eastAsia="Ebrima" w:cs="Ebrima"/>
        </w:rPr>
        <w:t>እነሆም፣</w:t>
      </w:r>
      <w:r>
        <w:rPr>
          <w:rFonts w:ascii="Times New Roman" w:hAnsi="Times New Roman" w:eastAsia="Times New Roman" w:cs="Times New Roman"/>
        </w:rPr>
        <w:t xml:space="preserve"> </w:t>
      </w:r>
      <w:r>
        <w:rPr>
          <w:rFonts w:ascii="Ebrima" w:hAnsi="Ebrima" w:eastAsia="Ebrima" w:cs="Ebrima"/>
        </w:rPr>
        <w:t>ኋለኞች</w:t>
      </w:r>
      <w:r>
        <w:rPr>
          <w:rFonts w:ascii="Times New Roman" w:hAnsi="Times New Roman" w:eastAsia="Times New Roman" w:cs="Times New Roman"/>
        </w:rPr>
        <w:t xml:space="preserve"> </w:t>
      </w:r>
      <w:r>
        <w:rPr>
          <w:rFonts w:ascii="Ebrima" w:hAnsi="Ebrima" w:eastAsia="Ebrima" w:cs="Ebrima"/>
        </w:rPr>
        <w:t>ቀደሞች</w:t>
      </w:r>
      <w:r>
        <w:rPr>
          <w:rFonts w:ascii="Times New Roman" w:hAnsi="Times New Roman" w:eastAsia="Times New Roman" w:cs="Times New Roman"/>
        </w:rPr>
        <w:t xml:space="preserve"> </w:t>
      </w:r>
      <w:r>
        <w:rPr>
          <w:rFonts w:ascii="Ebrima" w:hAnsi="Ebrima" w:eastAsia="Ebrima" w:cs="Ebrima"/>
        </w:rPr>
        <w:t>የሚሆኑ</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ቀደሞችም</w:t>
      </w:r>
      <w:r>
        <w:rPr>
          <w:rFonts w:ascii="Times New Roman" w:hAnsi="Times New Roman" w:eastAsia="Times New Roman" w:cs="Times New Roman"/>
        </w:rPr>
        <w:t xml:space="preserve"> </w:t>
      </w:r>
      <w:r>
        <w:rPr>
          <w:rFonts w:ascii="Ebrima" w:hAnsi="Ebrima" w:eastAsia="Ebrima" w:cs="Ebrima"/>
        </w:rPr>
        <w:t>ኋለኞች</w:t>
      </w:r>
      <w:r>
        <w:rPr>
          <w:rFonts w:ascii="Times New Roman" w:hAnsi="Times New Roman" w:eastAsia="Times New Roman" w:cs="Times New Roman"/>
        </w:rPr>
        <w:t xml:space="preserve"> </w:t>
      </w:r>
      <w:r>
        <w:rPr>
          <w:rFonts w:ascii="Ebrima" w:hAnsi="Ebrima" w:eastAsia="Ebrima" w:cs="Ebrima"/>
        </w:rPr>
        <w:t>የሚሆኑ</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ሉቃስ</w:t>
      </w:r>
      <w:r>
        <w:rPr>
          <w:rFonts w:ascii="Times New Roman" w:hAnsi="Times New Roman" w:eastAsia="Times New Roman" w:cs="Times New Roman"/>
        </w:rPr>
        <w:t xml:space="preserve"> 13</w:t>
      </w:r>
      <w:r>
        <w:rPr>
          <w:rFonts w:ascii="Ebrima" w:hAnsi="Ebrima" w:eastAsia="Ebrima" w:cs="Ebrima"/>
        </w:rPr>
        <w:t>፥</w:t>
      </w:r>
      <w:r>
        <w:rPr>
          <w:rFonts w:ascii="Times New Roman" w:hAnsi="Times New Roman" w:eastAsia="Times New Roman" w:cs="Times New Roman"/>
        </w:rPr>
        <w:t>29</w:t>
      </w:r>
      <w:r>
        <w:rPr>
          <w:rFonts w:ascii="Ebrima" w:hAnsi="Ebrima" w:eastAsia="Ebrima" w:cs="Ebrima"/>
        </w:rPr>
        <w:t>፣</w:t>
      </w:r>
      <w:r>
        <w:rPr>
          <w:rFonts w:ascii="Times New Roman" w:hAnsi="Times New Roman" w:eastAsia="Times New Roman" w:cs="Times New Roman"/>
        </w:rPr>
        <w:t xml:space="preserve"> 30</w:t>
      </w:r>
      <w:r>
        <w:rPr>
          <w:rFonts w:ascii="Ebrima" w:hAnsi="Ebrima" w:eastAsia="Ebrima" w:cs="Ebrima"/>
        </w:rPr>
        <w:t>።</w:t>
      </w:r>
    </w:p>
    <w:p>
      <w:pPr>
        <w:pStyle w:val="ArticleBody"/>
        <w:jc w:val="left"/>
      </w:pPr>
      <w:r>
        <w:rPr>
          <w:rFonts w:ascii="Times New Roman" w:hAnsi="Times New Roman" w:eastAsia="Times New Roman" w:cs="Times New Roman"/>
        </w:rPr>
        <w:t>Azgiar ghall yiaght cheluit ny shiaght taarnyn three cowraghyn raad. She meehickyridjyn ta’n chied as y jerrinagh chovragh raad. Yn earish eddyr y chied vee-hickyrid as message Y Gair Eck-voaylley she yn traa farraghtyn eh. Veih’n Gair Eck-voaylley, ta ny yn nah chovragh raad, she yn traa sealley ta’n earish. Ta’n earish ta ny yn traa sealley jerrey ec y vee-hickyrid s’jerree.</w:t>
      </w:r>
    </w:p>
    <w:p>
      <w:pPr>
        <w:pStyle w:val="ArticleBody"/>
        <w:jc w:val="left"/>
      </w:pPr>
      <w:r>
        <w:rPr>
          <w:rFonts w:ascii="Ebrima" w:hAnsi="Ebrima" w:eastAsia="Ebrima" w:cs="Ebrima"/>
        </w:rPr>
        <w:t>የሰባቱ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ስውር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የመጀመሪያውና</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በመሬት</w:t>
      </w:r>
      <w:r>
        <w:rPr>
          <w:rFonts w:ascii="Times New Roman" w:hAnsi="Times New Roman" w:eastAsia="Times New Roman" w:cs="Times New Roman"/>
        </w:rPr>
        <w:t xml:space="preserve"> </w:t>
      </w:r>
      <w:r>
        <w:rPr>
          <w:rFonts w:ascii="Ebrima" w:hAnsi="Ebrima" w:eastAsia="Ebrima" w:cs="Ebrima"/>
        </w:rPr>
        <w:t>መናወጥ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የመቃብሮች</w:t>
      </w:r>
      <w:r>
        <w:rPr>
          <w:rFonts w:ascii="Times New Roman" w:hAnsi="Times New Roman" w:eastAsia="Times New Roman" w:cs="Times New Roman"/>
        </w:rPr>
        <w:t xml:space="preserve"> </w:t>
      </w:r>
      <w:r>
        <w:rPr>
          <w:rFonts w:ascii="Ebrima" w:hAnsi="Ebrima" w:eastAsia="Ebrima" w:cs="Ebrima"/>
        </w:rPr>
        <w:t>መከፈት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ከመጀመሪያው</w:t>
      </w:r>
      <w:r>
        <w:rPr>
          <w:rFonts w:ascii="Times New Roman" w:hAnsi="Times New Roman" w:eastAsia="Times New Roman" w:cs="Times New Roman"/>
        </w:rPr>
        <w:t xml:space="preserve"> </w:t>
      </w:r>
      <w:r>
        <w:rPr>
          <w:rFonts w:ascii="Ebrima" w:hAnsi="Ebrima" w:eastAsia="Ebrima" w:cs="Ebrima"/>
        </w:rPr>
        <w:t>መቃብር</w:t>
      </w:r>
      <w:r>
        <w:rPr>
          <w:rFonts w:ascii="Times New Roman" w:hAnsi="Times New Roman" w:eastAsia="Times New Roman" w:cs="Times New Roman"/>
        </w:rPr>
        <w:t xml:space="preserve"> </w:t>
      </w:r>
      <w:r>
        <w:rPr>
          <w:rFonts w:ascii="Ebrima" w:hAnsi="Ebrima" w:eastAsia="Ebrima" w:cs="Ebrima"/>
        </w:rPr>
        <w:t>መከፈት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የመዘግየት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ከሆነው</w:t>
      </w:r>
      <w:r>
        <w:rPr>
          <w:rFonts w:ascii="Times New Roman" w:hAnsi="Times New Roman" w:eastAsia="Times New Roman" w:cs="Times New Roman"/>
        </w:rPr>
        <w:t xml:space="preserve"> </w:t>
      </w:r>
      <w:r>
        <w:rPr>
          <w:rFonts w:ascii="Ebrima" w:hAnsi="Ebrima" w:eastAsia="Ebrima" w:cs="Ebrima"/>
        </w:rPr>
        <w:t>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የማኅተም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የማኅተም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መቃብር</w:t>
      </w:r>
      <w:r>
        <w:rPr>
          <w:rFonts w:ascii="Times New Roman" w:hAnsi="Times New Roman" w:eastAsia="Times New Roman" w:cs="Times New Roman"/>
        </w:rPr>
        <w:t xml:space="preserve"> </w:t>
      </w:r>
      <w:r>
        <w:rPr>
          <w:rFonts w:ascii="Ebrima" w:hAnsi="Ebrima" w:eastAsia="Ebrima" w:cs="Ebrima"/>
        </w:rPr>
        <w:t>መከፈት</w:t>
      </w:r>
      <w:r>
        <w:rPr>
          <w:rFonts w:ascii="Times New Roman" w:hAnsi="Times New Roman" w:eastAsia="Times New Roman" w:cs="Times New Roman"/>
        </w:rPr>
        <w:t xml:space="preserve"> </w:t>
      </w:r>
      <w:r>
        <w:rPr>
          <w:rFonts w:ascii="Ebrima" w:hAnsi="Ebrima" w:eastAsia="Ebrima" w:cs="Ebrima"/>
        </w:rPr>
        <w:t>ያበቃል።</w:t>
      </w:r>
    </w:p>
    <w:p>
      <w:pPr>
        <w:pStyle w:val="ArticleBody"/>
        <w:jc w:val="left"/>
      </w:pPr>
      <w:r>
        <w:rPr>
          <w:rFonts w:ascii="Times New Roman" w:hAnsi="Times New Roman" w:eastAsia="Times New Roman" w:cs="Times New Roman"/>
        </w:rPr>
        <w:t>سات ۇچ قەدەملىك يوشۇرۇن تارىخىنىڭ يەتتە گۈلدۈرمامىسىغا دائىر بۇ ئىككى گۇۋاھچىغا مەسىھنىڭ ئۆلۈمى ۋە قايتا تىرىلىشىمۇ گۇۋاھلىق بېرىدۇ. قەبرىنىڭ بىرىنچى ئېچىلىشى مەسىھنىڭ سۇ قەبرىسىگە بولغان چۆمۈلدۈرۈلۈشى بىلەن سىمۋوللاشتۇرۇلدى، ئەڭ ئاخىرقى قەبرە بولسا كرېست ئىدى. مەسىھنىڭ چۆمۈلدۈرۈلۈشى بىلەن كرېست ئارىسىدا، مەسىھ ئۆزىنىڭ خەۋىرىنى جاكارلىدى؛ بۇ «يېرىم كېچە نىداسى»نىڭ تىپى ئىدى. ئۇ بۇ جاكارلاشنى بىر مىڭ ئىككى يۈز ئاتمىش كۈندە ئەمەلگە ئاشۇردى. كرېستتىن كېيىن، ئۇنىڭ شاگىرتلىرىنىڭ شەخسىدە، «يېرىم كېچە نىداسى» خەۋىرى ئىستىفانۇسنىڭ ئۆلۈمىگىچە بىر مىڭ ئىككى يۈز ئاتمىش كۈن داۋامىدا قايتا جاكارلاندى.</w:t>
      </w:r>
    </w:p>
    <w:p>
      <w:pPr>
        <w:pStyle w:val="ArticleBody"/>
        <w:jc w:val="left"/>
      </w:pPr>
      <w:r>
        <w:rPr>
          <w:rFonts w:ascii="Times New Roman" w:hAnsi="Times New Roman" w:eastAsia="Times New Roman" w:cs="Times New Roman"/>
        </w:rPr>
        <w:t>Ваҳийнинг ўн биринчи бобидаги икки гувоҳ Ўрта тунги нидо хабарини бир минг икки юз олтмиш кун давомида эълон қилиш учун қудратлантирилган эдилар. Сўнг улар ўлдирилди ва бир минг икки юз олтмиш кун давомида кўчаларда ётқизиб қўйилди, то улар қайта тирилтирилиб, қудратлантирилгунларига қадар.</w:t>
      </w:r>
    </w:p>
    <w:p>
      <w:pPr>
        <w:pStyle w:val="ArticleBody"/>
        <w:jc w:val="left"/>
      </w:pPr>
      <w:r>
        <w:rPr>
          <w:rFonts w:ascii="Times New Roman" w:hAnsi="Times New Roman" w:eastAsia="Times New Roman" w:cs="Times New Roman"/>
        </w:rPr>
        <w:t>Aŋan dini şeŋirlerdi kelesi maqalada da zerttewdi jalğastıramız.</w:t>
      </w:r>
    </w:p>
    <w:p>
      <w:pPr>
        <w:pStyle w:val="ArticleScripture"/>
        <w:jc w:val="left"/>
      </w:pPr>
      <w:r>
        <w:rPr>
          <w:rFonts w:ascii="Times New Roman" w:hAnsi="Times New Roman" w:eastAsia="Times New Roman" w:cs="Times New Roman"/>
        </w:rPr>
        <w:t>“Ane wɔnni nokware adwensakra a wɔde wɔn kra dan kɔ Onyankopɔn nkyɛn; ane Onyankopɔn home a ɛma nkwa no mfa nkanyan kra no mma honhom mu nkwa; ane wɔn a wɔka sɛ wɔwɔ nokware no nni nnyinasosɛm a efi soro kanyan wɔn no, wɔnwoo wɔn amfi aba a ɛnsɛe mu, aba a ɛte ase na ɛtena hɔ daa no mu. Ane wɔde wɔn ho to Kristo trenee so sɛ wɔn ahobammɔ koro pɛ no; ane wɔyɛ Ne suban sɛso, na wɔyɛ adwuma wɔ Ne honhom mu no, wɔn da adagya, wonhyɛ N’atrenee ntama no. Mpɛn pii wɔma awufo fa sɛ ateasefo; efisɛ wɔn a wɔreyɛ nea wɔfrɛ no nkwagye sɛnea wɔn ankasa adwene te no, wɔnni Onyankopɔn a ɔreyɛ adwuma wɔ wɔn mu sɛ wɔmpɛ na wɔnyɛ Ne pɛpa so.”</w:t>
      </w:r>
    </w:p>
    <w:p>
      <w:pPr>
        <w:pStyle w:val="ArticleScripture"/>
        <w:jc w:val="left"/>
      </w:pPr>
      <w:r>
        <w:rPr>
          <w:rFonts w:ascii="Times New Roman" w:hAnsi="Times New Roman" w:eastAsia="Times New Roman" w:cs="Times New Roman"/>
        </w:rPr>
        <w:t>«Astaʼa tóokʼíí nitsinígíí Ezekiel nitsáhákeesgo íiyisí nátʼáanii yázhí íínííłʼį́įgo díí tsékooh bikáaʼgi tsin tʼááłáʼí bee adilnihígíí biniinaa átʼé.»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Kristusun Paariyangan - Lakin Pissqa</dc:title>
  <dc:subject>ئەتمین مۆر وەكردنەوەی ڕاستیی پێغەمبەرانە</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