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Ɔhawɛhyɛ no da no adi a Yesu Kristo de mae - Nɔma Dunu Awotwe</w:t>
      </w:r>
    </w:p>
    <w:p>
      <w:pPr>
        <w:pStyle w:val="ArticleSubtitle"/>
        <w:jc w:val="left"/>
      </w:pPr>
      <w:r>
        <w:rPr>
          <w:rFonts w:ascii="Segoe UI" w:hAnsi="Segoe UI" w:eastAsia="Segoe UI" w:cs="Segoe UI"/>
        </w:rPr>
        <w:t>پدرانیٰ</w:t>
      </w:r>
      <w:r>
        <w:rPr>
          <w:rFonts w:ascii="Arial" w:hAnsi="Arial" w:eastAsia="Arial" w:cs="Arial"/>
        </w:rPr>
        <w:t xml:space="preserve"> </w:t>
      </w:r>
      <w:r>
        <w:rPr>
          <w:rFonts w:ascii="Segoe UI" w:hAnsi="Segoe UI" w:eastAsia="Segoe UI" w:cs="Segoe UI"/>
        </w:rPr>
        <w:t>گناہاں</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1856 жылы бұрынғы Филадельфиялық Миллерит Адвентизмі Джеймс пен Эллен Уайт тарапынан Лаодикеялық деп танылды. Содан кейін Джеймс Уайт қозғалысқа Лаодикея жөніндегі хабарды Review and Herald арқылы насихаттай бастады. Сол басылымда, сол жылдың өзінде, Леуіліктер жиырма алтыншы тараудағы «жеті уақытқа» қатысты ұлғайтылған нұр да Хайрам Эдсонның сегіз мақаладан тұратын топтамасында ұсынылды; Уайттар оны соншалық жоғары бағалағандықтан, тұңғыш ұлдарына оның есімін қойған еді. Бұл топтама болашақта аяқталады деген уәдемен аяқталды, бірақ ол енді ешқашан қайта жарық көрмеді. Бірінші періштенің қозғалысының Филадельфиядан Лаодикеяға өтпелі кезеңінде бұл қозғалыс Леуіліктер жиырма алтыншы тараудағы «жеті уақытқа» сүрінді; ол Құдайдың періштелері Уильям Миллерді танып, жариялауға жетелеген ең алғашқы «уақыт пайғамбарлығын» білдіретін.</w:t>
      </w:r>
    </w:p>
    <w:p>
      <w:pPr>
        <w:pStyle w:val="ArticleBody"/>
        <w:jc w:val="left"/>
      </w:pPr>
      <w:r>
        <w:rPr>
          <w:rFonts w:ascii="Times New Roman" w:hAnsi="Times New Roman" w:eastAsia="Times New Roman" w:cs="Times New Roman"/>
        </w:rPr>
        <w:t>«ab a simi» teqerî bingehê perestgeha Milleriyan bû. Her nimûneya pêxemberî ya bingehek pîroz nimûneyeke Mesîh e, çimkî ji bilî Mesîh bingehek din nayê danîn.</w:t>
      </w:r>
    </w:p>
    <w:p>
      <w:pPr>
        <w:pStyle w:val="ArticleScripture"/>
        <w:jc w:val="left"/>
      </w:pPr>
      <w:r>
        <w:rPr>
          <w:rFonts w:ascii="Times New Roman" w:hAnsi="Times New Roman" w:eastAsia="Times New Roman" w:cs="Times New Roman"/>
        </w:rPr>
        <w:t>کہیں اور کوئی بُنِیاد کوئی شخص نہیں رکھ سکتا سوائے اُس کے جو رکھی جا چکی ہے، یعنی یسوع مسیح۔ 1 کرنتھیوں 3:11۔</w:t>
      </w:r>
    </w:p>
    <w:p>
      <w:pPr>
        <w:pStyle w:val="ArticleBody"/>
        <w:jc w:val="left"/>
      </w:pPr>
      <w:r>
        <w:rPr>
          <w:rFonts w:ascii="Times New Roman" w:hAnsi="Times New Roman" w:eastAsia="Times New Roman" w:cs="Times New Roman"/>
        </w:rPr>
        <w:t>مسیح نہ صرف بنیاد ہے، بلکہ وہی وہ بنیادی پتھر بھی ہے جسے معماروں نے ردّ کر دیا اور پھر اسی پر ٹھوکر کھائی۔ وہی وہ پتھر ہے جو آخرکار کونے کے سرے کا پتھر بن جاتا ہے۔ میلرائیٹ تاریخ میں “seven times” اسی کونے کے پتھر کی علامت تھا۔</w:t>
      </w:r>
    </w:p>
    <w:p>
      <w:pPr>
        <w:pStyle w:val="ArticleBody"/>
        <w:jc w:val="left"/>
      </w:pPr>
      <w:r>
        <w:rPr>
          <w:rFonts w:ascii="Times New Roman" w:hAnsi="Times New Roman" w:eastAsia="Times New Roman" w:cs="Times New Roman"/>
        </w:rPr>
        <w:t>Mashíyaa haqídíí bee nihiká aadóó ła’go da’iináanii bił yá’át’éego bił hane’doolnihgo t’ááłá’í t’ááłá’í náhást’éígo ałts’íísí biniiyé. “Tsosts’id dóó” bił dah naashá dooleełígíí, Israel bikáá’gi shádi’ááhí bee hodíílnihígíí, Hiram Edson doodago naaltsoos bikáá’gi tseebíígo ła’go da’iináanii íiyisí t’áá hasht’eego yá’át’éego nitsinikeesígíí, Daniel bik’éhodoonih 9:27gi Mashíyaa haqídíí bee nihiká hólǫ́ǫgo bihane’ígíí bits’ą́ą́dę́ę́’ t’áá íiyisí t’áá hasht’eego ch’íhoot’ééł. T’ááłá’í t’ááłá’í náhást’éígo Mashíyaa haqídíí Israel yił náhwiináágóó, t’áá íiyisí t’áá hasht’eego t’ááłá’í t’ááłá’í náhást’éígo Mashíyaa haqídíí Israel yił náhodiłchidgo. Áádóó dine’é bikáá’dah naasháhígíí Israel doo t’ááłá’í t’áá hasht’eego dízdiin dóó ashdladiin dóó naaki náhást’éí da, áádóó Diné’é yee hólǫ́ǫgo Israel yił náhwiináágóóhígíí dízdiin dóó ashdladiin dóó naaki jił náhást’éí da. Nihiká bee hólǫ́ǫgo nihiká yá’át’éego biniiyé Israel yił náhwiináá, áádóó nihiká bee adáhodit’į́į́łígíí biniiyé Israel yił náhodiłchid. “Tsosts’id dóó” Millerite kinteel bits’áádóó tsé bitahígíí biniiyé nidaanishłį́į́łígíí, Mashíyaa haqídíí t’ááłá’í tsé bitahígíí biniiyé nidaanishłį́į́łígíí bee t’áá ałtsoni yá’át’ééhgo nihá hólǫ́. Tsé éí doo baa hane’ dooleeł da, éí Mashíyaa doo baa hane’ dooleeł da.</w:t>
      </w:r>
    </w:p>
    <w:p>
      <w:pPr>
        <w:pStyle w:val="ArticleBody"/>
        <w:jc w:val="left"/>
      </w:pPr>
      <w:r>
        <w:rPr>
          <w:rFonts w:ascii="Times New Roman" w:hAnsi="Times New Roman" w:eastAsia="Times New Roman" w:cs="Times New Roman"/>
        </w:rPr>
        <w:t>1856 жылы Мәсіх христиан тарихында тұңғыш рет Лаодикеяның есігінің алдында тұрып, есікті қақты; Ол құрылысшылар шетке ысыруға жақындап қалған сүріну тасы туралы білімнің артуын тудыруды көздеді. Жеті жылдан кейін, немесе былай деуге болады, екі мың бес жүз жиырма нышандық күннен кейін, Лаодикеялық адвентизм есікті жапты. Өкінішке қарай, адвентизм білімнің артуын көруден бас тартты. Адам сүрінетін тас — ол сен көрмейтін тас, бірақ ол сонда бәрібір бар.</w:t>
      </w:r>
    </w:p>
    <w:p>
      <w:pPr>
        <w:pStyle w:val="ArticleScripture"/>
        <w:jc w:val="left"/>
      </w:pP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अभाव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जाऊँगा।</w:t>
      </w:r>
      <w:r>
        <w:rPr>
          <w:rFonts w:ascii="Times New Roman" w:hAnsi="Times New Roman" w:eastAsia="Times New Roman" w:cs="Times New Roman"/>
        </w:rPr>
        <w:t xml:space="preserve"> </w:t>
      </w:r>
      <w:r>
        <w:rPr>
          <w:rFonts w:ascii="Nirmala UI" w:hAnsi="Nirmala UI" w:eastAsia="Nirmala UI" w:cs="Nirmala UI"/>
        </w:rPr>
        <w:t>होशे</w:t>
      </w:r>
      <w:r>
        <w:rPr>
          <w:rFonts w:ascii="Times New Roman" w:hAnsi="Times New Roman" w:eastAsia="Times New Roman" w:cs="Times New Roman"/>
        </w:rPr>
        <w:t xml:space="preserve"> 4:6.</w:t>
      </w:r>
    </w:p>
    <w:p>
      <w:pPr>
        <w:pStyle w:val="ArticleBody"/>
        <w:jc w:val="left"/>
      </w:pPr>
      <w:r>
        <w:rPr>
          <w:rFonts w:ascii="Times New Roman" w:hAnsi="Times New Roman" w:eastAsia="Times New Roman" w:cs="Times New Roman"/>
        </w:rPr>
        <w:t>Judah a tavshatyn patsh’ëk “qanchis kuti” nisqapa ñak’ariyninqa qallarin 677 BC watapi, tukukunmi 1844 watapi octubre killapa 22 p’unchayninpi, Daniel qhelqapa pusaq kaj kapitulo, chunka tawaq versículopi nisqa iskay waranqa kimsa pachak watakunawan kuska. “Qanchis kuti” nisqaqa Advent qatiqkuna kuyuy ukhupi “tiyana simiwan chaypi sayachisqa kallpachaq rumi, chawpi sayaq pilarnin” nisqa profecíamanta kikinmi. Adventismopa tiyana siminpas, chawpi sayaq pilarninpas, wakin aswan achka profecíakunawan kuska kikin p’unchayllapi hunt’akusqa. “Qanchis kuti,” iskay waranqa kimsa pachak p’unchaykuna, Malaquías qhelqapa kimsa kaj kapitulon, Daniel qhelqapa qanchis kaj kapitulo, chunka kimsayoq versículon, hinallataq Mateo qhelqapi chunka phaxsiq sipaskunamanta yachachikuyninpas llapallanmi hunt’akusqa 1844 watapi octubre killapa 22 p’unchayninpi. Octubre 22, 1844 p’unchayqa Advent kuyuypa tiyasqa p’unchayninmi, chay p’unchaywan tinkisqa kaspaqa, huklla kamachiylla reqsisqa karqa.</w:t>
      </w:r>
    </w:p>
    <w:p>
      <w:pPr>
        <w:pStyle w:val="ArticleScripture"/>
        <w:jc w:val="left"/>
      </w:pPr>
      <w:r>
        <w:rPr>
          <w:rFonts w:ascii="Times New Roman" w:hAnsi="Times New Roman" w:eastAsia="Times New Roman" w:cs="Times New Roman"/>
        </w:rPr>
        <w:t>Náa ɗáhóltiʼii sea bee naaʼaahdi dóó niʼ bee naaʼaahdi shikaadééłgo shidineʼéego bidilhilígíí yáʼátʼééhígíí bił hólǫ́ǫgo yaa nitsáhákees, dóó ádíílwoʼígíí bee haneʼ, Diyin God nisinígíí, ádóoneʼéego ałtso tʼáá ałtso íiyisí nisin, éí yáʼátʼééhgo nihá shikaadééł dóó niʼ dóó sea dóó tʼáá ałtso ánílį́įgíí binahjįʼ, tʼáá jiikʼehgo íiyisí łaʼ dah naashá dooleeł da. Revelation 10:5, 6.</w:t>
      </w:r>
    </w:p>
    <w:p>
      <w:pPr>
        <w:pStyle w:val="ArticleBody"/>
        <w:jc w:val="left"/>
      </w:pP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ဝှိုက်သည်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မြေကြီးနှင့်</w:t>
      </w:r>
      <w:r>
        <w:rPr>
          <w:rFonts w:ascii="Times New Roman" w:hAnsi="Times New Roman" w:eastAsia="Times New Roman" w:cs="Times New Roman"/>
        </w:rPr>
        <w:t xml:space="preserve"> </w:t>
      </w:r>
      <w:r>
        <w:rPr>
          <w:rFonts w:ascii="Myanmar Text" w:hAnsi="Myanmar Text" w:eastAsia="Myanmar Text" w:cs="Myanmar Text"/>
        </w:rPr>
        <w:t>ပင်လယ်ပေါ်၌</w:t>
      </w:r>
      <w:r>
        <w:rPr>
          <w:rFonts w:ascii="Times New Roman" w:hAnsi="Times New Roman" w:eastAsia="Times New Roman" w:cs="Times New Roman"/>
        </w:rPr>
        <w:t xml:space="preserve"> </w:t>
      </w:r>
      <w:r>
        <w:rPr>
          <w:rFonts w:ascii="Myanmar Text" w:hAnsi="Myanmar Text" w:eastAsia="Myanmar Text" w:cs="Myanmar Text"/>
        </w:rPr>
        <w:t>ရပ်နေသော</w:t>
      </w:r>
      <w:r>
        <w:rPr>
          <w:rFonts w:ascii="Times New Roman" w:hAnsi="Times New Roman" w:eastAsia="Times New Roman" w:cs="Times New Roman"/>
        </w:rPr>
        <w:t xml:space="preserve"> </w:t>
      </w:r>
      <w:r>
        <w:rPr>
          <w:rFonts w:ascii="Myanmar Text" w:hAnsi="Myanmar Text" w:eastAsia="Myanmar Text" w:cs="Myanmar Text"/>
        </w:rPr>
        <w:t>ကောင်းကင်တမန်ကို</w:t>
      </w:r>
      <w:r>
        <w:rPr>
          <w:rFonts w:ascii="Times New Roman" w:hAnsi="Times New Roman" w:eastAsia="Times New Roman" w:cs="Times New Roman"/>
        </w:rPr>
        <w:t xml:space="preserve"> </w:t>
      </w:r>
      <w:r>
        <w:rPr>
          <w:rFonts w:ascii="Myanmar Text" w:hAnsi="Myanmar Text" w:eastAsia="Myanmar Text" w:cs="Myanmar Text"/>
        </w:rPr>
        <w:t>ယေရှုခရစ်တော်ဟု</w:t>
      </w:r>
      <w:r>
        <w:rPr>
          <w:rFonts w:ascii="Times New Roman" w:hAnsi="Times New Roman" w:eastAsia="Times New Roman" w:cs="Times New Roman"/>
        </w:rPr>
        <w:t xml:space="preserve"> </w:t>
      </w:r>
      <w:r>
        <w:rPr>
          <w:rFonts w:ascii="Myanmar Text" w:hAnsi="Myanmar Text" w:eastAsia="Myanmar Text" w:cs="Myanmar Text"/>
        </w:rPr>
        <w:t>သတ်မှတ်ဖော်ပြသည်။</w:t>
      </w:r>
    </w:p>
    <w:p>
      <w:pPr>
        <w:pStyle w:val="ArticleScripture"/>
        <w:jc w:val="left"/>
      </w:pPr>
      <w:r>
        <w:rPr>
          <w:rFonts w:ascii="Times New Roman" w:hAnsi="Times New Roman" w:eastAsia="Times New Roman" w:cs="Times New Roman"/>
        </w:rPr>
        <w:t>«Нааьрсе йоккха малайк, Йоханна хьехар деш хилар, Ийсас Масиһ а вацара цул коьртача даражийн хьоьга. Шен аьтту агӀо диъна тӀе, а шен аьрру агӀо хьуьлча лаьтта тӀе дилларо гайтад, Ша Сатанаца йолчу доккха мукъабоарий кхаччалца болчу сценаашкахь муха дакъа лелош ду. И хьалхаралла Шен лакхе дийна ницкъ а, бийрса бийрса ерриге дуьненна тӀехь йолу хьокъехьар а, бакъдар а билгалдо.» The Seventh-day Adventist Bible Commentary, volume 7, 971.</w:t>
      </w:r>
    </w:p>
    <w:p>
      <w:pPr>
        <w:pStyle w:val="ArticleBody"/>
        <w:jc w:val="left"/>
      </w:pPr>
      <w:r>
        <w:rPr>
          <w:rFonts w:ascii="Times New Roman" w:hAnsi="Times New Roman" w:eastAsia="Times New Roman" w:cs="Times New Roman"/>
        </w:rPr>
        <w:t>Kristos a la bèk lo èt tèrr pou reprezante Son lotorité siprèm. Ansuit, i lév Son men é i komandé ki « pa té ké ni tan ankò ». Kristos té ka anté an alyans épi bann Millerites-la, é i ba yo an sèl komandman, menm kon I té ba Abraham lè I té anté an alyans épi li. I komandé Abraham sikonsi tout ti gason. Lè I té anté an alyans épi an pèp chwazi adan listwa Moïse, I ba yo anlo komandman, é adan sé komandman-tala té ni lòd-la ki sèlman bann prèt-la té sa touché lach-la. I lév Son men é i fè sèman an 22 Oktòb 1844 ki tan profetik pa té ké ankò entégré adan pwofesi biblik. Jézi té ja palé asou sijé « tan é sézon » lè I monté an syèl adan an nwaj zanj, konsa tipifiant lasansyon dé témwen-yan kon drapo-siyal-la. Sa I té komandé lè-sa a té ka touché « tan é sézon ».</w:t>
      </w:r>
    </w:p>
    <w:p>
      <w:pPr>
        <w:pStyle w:val="ArticleScripture"/>
        <w:jc w:val="left"/>
      </w:pPr>
      <w:r>
        <w:rPr>
          <w:rFonts w:ascii="Times New Roman" w:hAnsi="Times New Roman" w:eastAsia="Times New Roman" w:cs="Times New Roman"/>
        </w:rPr>
        <w:t>هم، پس هنگامی که گرد آمده بودند، از او پرسیدند و گفتند: «ای خداوند، آیا در این زمان ملکوت را بار دیگر به اسرائیل بازمی‌گردانی؟» او به ایشان گفت: «از آنِ شما نیست که زمان‌ها یا اوقات را بدانید که پدر در اقتدار خویش قرار داده است. لیکن چون روح‌القدس بر شما آید، قوت خواهید یافت؛ و شاهدان من خواهید بود، هم در اورشلیم، و در تمامی یهودیه، و سامره، و تا اقصای زمین.» اعمال ۱:‏۶–۸</w:t>
      </w:r>
    </w:p>
    <w:p>
      <w:pPr>
        <w:pStyle w:val="ArticleBody"/>
        <w:jc w:val="left"/>
      </w:pPr>
      <w:r>
        <w:rPr>
          <w:rFonts w:ascii="Times New Roman" w:hAnsi="Times New Roman" w:eastAsia="Times New Roman" w:cs="Times New Roman"/>
        </w:rPr>
        <w:t>Yesú úyõ hene wasẽe tanẽ énásẽ rũjá áráma, kãra Solomón nĩ hãjũsádo nĩhĩẽ rĩ, “ádi sĩa yẽ sáa” atĩrĩ.</w:t>
      </w:r>
    </w:p>
    <w:p>
      <w:pPr>
        <w:pStyle w:val="ArticleScripture"/>
        <w:jc w:val="left"/>
      </w:pPr>
      <w:r>
        <w:rPr>
          <w:rFonts w:ascii="Times New Roman" w:hAnsi="Times New Roman" w:eastAsia="Times New Roman" w:cs="Times New Roman"/>
        </w:rPr>
        <w:t>Ma tiap ngarobah aya usumna, sarta aya waktuna pikeun unggal kaperluan di handapeun langit: Pandita 3:1.</w:t>
      </w:r>
    </w:p>
    <w:p>
      <w:pPr>
        <w:pStyle w:val="ArticleBody"/>
        <w:jc w:val="left"/>
      </w:pPr>
      <w:r>
        <w:rPr>
          <w:rFonts w:ascii="Times New Roman" w:hAnsi="Times New Roman" w:eastAsia="Times New Roman" w:cs="Times New Roman"/>
        </w:rPr>
        <w:t>Ичкилик Муқәддәс Язмилар хатирисидә Палмони — «Әҗайип Санғучи» — тоғрисида гувалиқ беридиған «вақитлар вә пәсилләр» бар; бирақ 1844-жили 22-өктәбирдин башлап, Худаниң хәлқи вақитқа есилған пәйғәмбәрлик хәвирини йәнә һеч қачан тәқдим қилмаслиққа әмир қилинған. Һәзрәт Әйса асманға көтирилиштин сәл бурун шагиртлириға бәргән нәсиһити, Вәһий китавиниң он биринчи бабида Униң пакланған хәлқи бәлгә сүпитидә көтирилидиған пәйттин сәл бурунқи тарихни ипадиләйду вә У 1844-жили 22-өктәбирдә бәргән әмри билән уйғун келиду. Адвентизмниң асасий санисида Мәсиһ вақитқа асасланған пәйғәмбәрлик хәвәрләрниң әндиликтә болмаслиғини буйруған еди; вә Вәһий он бирдики икки гувачиниң көтирилишиға тип болған Өзиниң асманға көтирилишидә У шу әмирни йәнә тәкрарлиди.</w:t>
      </w:r>
    </w:p>
    <w:p>
      <w:pPr>
        <w:pStyle w:val="ArticleScripture"/>
        <w:jc w:val="left"/>
      </w:pPr>
      <w:r>
        <w:rPr>
          <w:rFonts w:ascii="Times New Roman" w:hAnsi="Times New Roman" w:eastAsia="Times New Roman" w:cs="Times New Roman"/>
        </w:rPr>
        <w:t>«Дабыл алһын һәммә ағай-ҡәрҙәштәребеҙ һәм апай-һеңлеләребеҙ Раббының Үҙ һүҙе үтәлер ваҡытты — Уның килеүенә ҡағылышлымы, йә Ул айырыуса әһәмиәтле итеп биргән башҡа ниндәй ҙә булһа вәғәҙәһенә ҡағылышлымы — билдәләргә теләгән һәр кемдән. “Атаның Үҙ ихтыярына ҡалдырған ваҡыттарҙы ла, миҙгелдәрҙе лә белеү һеҙҙең эш түгел.” Ялған өйрәтеүселәр Алланың эше өсөн бик дәртле булып күренә ала, һәм үҙҙәренең теорияларын донъя менән сиркәү алдына сығарыу өсөн саралар ҙа сарыф итә ала; ләкин улар хаҡиҡәт менән яңылышлыҡты бутағас, уларҙың хәбәре — аҙаштырыу хәбәре, һәм ул йәндәрҙе ялған юлдарға алып китәсәк. Уларҙы, насар кешеләр булғандары өсөн түгел, ә ялғанды өйрәтеүселәр булғандары һәм ялғанға хәҡиҡәт мөһөрөн баҫырға тырышҡанлыҡтары өсөн, ҡаршы алырға һәм уларға ҡаршы торорға кәрәк». Testimonies to Ministers, 55.</w:t>
      </w:r>
    </w:p>
    <w:p>
      <w:pPr>
        <w:pStyle w:val="ArticleBody"/>
        <w:jc w:val="left"/>
      </w:pPr>
      <w:r>
        <w:rPr>
          <w:rFonts w:ascii="Times New Roman" w:hAnsi="Times New Roman" w:eastAsia="Times New Roman" w:cs="Times New Roman"/>
        </w:rPr>
        <w:t>ئاخبذڤ وايت ڤضحت بكل جلاء أننا لن يكون لنا قطّ رسالةٌ زمنية تُعيّن شيئًا ذا دلالة خاصة، وليس الأمر مقصورًا على مجيئه الثاني فحسب. إن نبوة الزمن، التي كانت موضوع الحركة الميلرية، قد انتهت في 22 أكتوبر 1844، وكان الأمر الوحيد المرتبط بذلك التاريخ التأسيسي هو ألّا يُستعمل الزمن مرةً أخرى أبدًا في عرض رسالة الله.</w:t>
      </w:r>
    </w:p>
    <w:p>
      <w:pPr>
        <w:pStyle w:val="ArticleBody"/>
        <w:jc w:val="left"/>
      </w:pPr>
      <w:r>
        <w:rPr>
          <w:rFonts w:ascii="Malgun Gothic" w:hAnsi="Malgun Gothic" w:eastAsia="Malgun Gothic" w:cs="Malgun Gothic"/>
        </w:rPr>
        <w:t>피랴델피아에서</w:t>
      </w:r>
      <w:r>
        <w:rPr>
          <w:rFonts w:ascii="Times New Roman" w:hAnsi="Times New Roman" w:eastAsia="Times New Roman" w:cs="Times New Roman"/>
        </w:rPr>
        <w:t xml:space="preserve"> </w:t>
      </w:r>
      <w:r>
        <w:rPr>
          <w:rFonts w:ascii="Malgun Gothic" w:hAnsi="Malgun Gothic" w:eastAsia="Malgun Gothic" w:cs="Malgun Gothic"/>
        </w:rPr>
        <w:t>라오디게아로</w:t>
      </w:r>
      <w:r>
        <w:rPr>
          <w:rFonts w:ascii="Times New Roman" w:hAnsi="Times New Roman" w:eastAsia="Times New Roman" w:cs="Times New Roman"/>
        </w:rPr>
        <w:t xml:space="preserve"> </w:t>
      </w:r>
      <w:r>
        <w:rPr>
          <w:rFonts w:ascii="Malgun Gothic" w:hAnsi="Malgun Gothic" w:eastAsia="Malgun Gothic" w:cs="Malgun Gothic"/>
        </w:rPr>
        <w:t>전환되는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시작에서</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진리에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주어졌다</w:t>
      </w:r>
      <w:r>
        <w:rPr>
          <w:rFonts w:ascii="Times New Roman" w:hAnsi="Times New Roman" w:eastAsia="Times New Roman" w:cs="Times New Roman"/>
        </w:rPr>
        <w:t xml:space="preserve">. </w:t>
      </w:r>
      <w:r>
        <w:rPr>
          <w:rFonts w:ascii="Malgun Gothic" w:hAnsi="Malgun Gothic" w:eastAsia="Malgun Gothic" w:cs="Malgun Gothic"/>
        </w:rPr>
        <w:t>그로부터</w:t>
      </w:r>
      <w:r>
        <w:rPr>
          <w:rFonts w:ascii="Times New Roman" w:hAnsi="Times New Roman" w:eastAsia="Times New Roman" w:cs="Times New Roman"/>
        </w:rPr>
        <w:t xml:space="preserve"> 7</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2,520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말해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광야</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돌이</w:t>
      </w:r>
      <w:r>
        <w:rPr>
          <w:rFonts w:ascii="Times New Roman" w:hAnsi="Times New Roman" w:eastAsia="Times New Roman" w:cs="Times New Roman"/>
        </w:rPr>
        <w:t xml:space="preserve"> </w:t>
      </w:r>
      <w:r>
        <w:rPr>
          <w:rFonts w:ascii="Malgun Gothic" w:hAnsi="Malgun Gothic" w:eastAsia="Malgun Gothic" w:cs="Malgun Gothic"/>
        </w:rPr>
        <w:t>건축자들에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버려졌다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ئۈچنچى پەرىشتىنىڭ ئاخىرقى ھەرىكىتىدە، لاودىكىيەدىن فىلادېلفىيەگە ئۆتۈشنىڭ دەل بۇرۇلۇش نۇقتىسىدا، ئاتىلارنىڭ گۇناھلىرىنى ئىقرار قىلىشنى ئۆز ئىچىگە ئالغان بىر سىناق بېرىلىدۇ. ئاتىلار ئۈچۈن ئاساسنىڭ سىنىقى «يەتتە ۋاقىت» بولۇپ، ئۇلارنىڭ ئاساس تاشى ئىدى. ئاخىرقى ھەرىكەت، ئاتىلىرى ئۆزلىرىنىڭ ئاساس تاشىنى نەزەرگە ئالمىغاندەك، ئاساس سالغۇچى سانا بىلەن باغلانغان يالغۇز ئەمرنى نەزەرگە ئالماسمۇ؟</w:t>
      </w:r>
    </w:p>
    <w:p>
      <w:pPr>
        <w:pStyle w:val="ArticleBody"/>
        <w:jc w:val="left"/>
      </w:pPr>
      <w:r>
        <w:rPr>
          <w:rFonts w:ascii="Times New Roman" w:hAnsi="Times New Roman" w:eastAsia="Times New Roman" w:cs="Times New Roman"/>
        </w:rPr>
        <w:t>Ari. Qhitpena chayta rurasqankuta. Paykuna taytakunapa huchankunata kutimullarqanku.</w:t>
      </w:r>
    </w:p>
    <w:p>
      <w:pPr>
        <w:pStyle w:val="ArticleBody"/>
        <w:jc w:val="left"/>
      </w:pPr>
      <w:r>
        <w:rPr>
          <w:rFonts w:ascii="Times New Roman" w:hAnsi="Times New Roman" w:eastAsia="Times New Roman" w:cs="Times New Roman"/>
        </w:rPr>
        <w:t>Bay babada ma nangabak iti maipundasionan a petsa, ta kadagiti dadduma pay a banag, idi maipundasionan a petsa ket Philadelphiaan pay laeng da. Bay babada ket nagkurang iti maipundasionan a pagsubokda idi nagsublida a Laodicea ken inlaksidda ti “pitong daras” a kaduana ti agdardaras a dumakkel a lawag.</w:t>
      </w:r>
    </w:p>
    <w:p>
      <w:pPr>
        <w:pStyle w:val="ArticleBody"/>
        <w:jc w:val="left"/>
      </w:pPr>
      <w:r>
        <w:rPr>
          <w:rFonts w:ascii="Times New Roman" w:hAnsi="Times New Roman" w:eastAsia="Times New Roman" w:cs="Times New Roman"/>
        </w:rPr>
        <w:t>Их основополагающему падению в 1863 году предшествовали семь лет, в течение которых Христос стучал в дверь их лаодикийских сердец. Семь лет символизируют «семь времён» и «пустыню». После «пустыни» с 1856 по 1863 год они не выдержали своего основополагающего испытания.</w:t>
      </w:r>
    </w:p>
    <w:p>
      <w:pPr>
        <w:pStyle w:val="ArticleBody"/>
        <w:jc w:val="left"/>
      </w:pPr>
      <w:r>
        <w:rPr>
          <w:rFonts w:ascii="Times New Roman" w:hAnsi="Times New Roman" w:eastAsia="Times New Roman" w:cs="Times New Roman"/>
        </w:rPr>
        <w:t>ئالەكنىڭ ئۈچىنچى پەرىشتىسىنىڭ ھەرىكىتىدىكى بىرىنچى ئۈمىدسىزلىنىشتە، خۇدانىڭ خەلقى گۇناھ قىلدى؛ چۈنكى ئۇلار ئاساسلىق ۋاقىتقا بىۋاسىتە باغلانغان يالغۇز ئەمرنى رەت قىلدى. ئۇلار بىلىپ تۇرۇپ، پەيغەمبەرلىك ئۇچۇرىغا ۋاقىت بەلگىلەشنى قوشۇشنى تاللىدى. شۇنداق قىلىش بىلەن، ئۇلار مۇسانىڭ گۇناھىنى—يەنى ئوغلىنى خەتنە قىلماي قويغانلىقىنى—ۋە ئۇززانىڭ گۇناھىنى—يەنى ئۆزىگە تۇتۇش مەنئى قىلىنغانلىقىنى بىلىپ تۇرۇپ، ئەھدە ساندۇقىغا قول تەگكۈزگەنلىكىنى—تەكرارلىدى. ئۈچىنچى پەرىشتىنىڭ ھەرىكىتى ئۆزلىرىنىڭ توغرا ئەمەسلىكىنى بىلىدىغان ئىشنى قىلدى! ئەگەر بىرەيلەن بۇ ھەقىقەتنىڭ ئۈستىنى بوياپ يوشۇرماقچى بولسا، ئۇنداقتا بوياق قۇتىسىنىڭ قالغانىنىمۇ ئىشلىتىپ، مۇسا بىلەن ئۇززانىڭ ھەر ئىككىسى گۇناھ قىلغانلىقىنى ۋە خۇدانىڭ ئىرادىسىگە قارشى ئاسىيلىقنى نامايان قىلغانلىقىنىمۇ يېپىپ قويسۇن؛ چۈنكى ئۇلار بارلىق ئىسلاھات سەپلىرىنىڭ ئەڭ ئاخىرقىسى بولغان، ھەربىر ئىسلاھات سېپى ئالدىن كۆرسىتىپ كەلگەن شۇ ئىسلاھات سېپىنىڭ بىرىنچى ئۈمىدسىزلىنىشىنى تىپىك رەۋىشتە ئىپادىلىگەن ئىدى. ئىسلاھات سەپلىرىدىكى بىرىنچى ئۈمىدسىزلىنىشنىڭ مىساللىرىدا ئالفا بىلەن ئومېگانىڭ ئىمزاسى بار، ۋە ئۇ يەردىكى خاتىرە خۇدانىڭ خەلقىنىڭ مەنپەئىتى ئۈچۈندۇر، گەرچە خۇدانىڭ خەلقى شۇ ئارقىلىق مەنپەئەتلىنىشنى رەت قىلسىمۇ.</w:t>
      </w:r>
    </w:p>
    <w:p>
      <w:pPr>
        <w:pStyle w:val="ArticleBody"/>
        <w:jc w:val="left"/>
      </w:pPr>
      <w:r>
        <w:rPr>
          <w:rFonts w:ascii="Times New Roman" w:hAnsi="Times New Roman" w:eastAsia="Times New Roman" w:cs="Times New Roman"/>
        </w:rPr>
        <w:t>Ka guurista ergayga kowaad waxaa la siiyey muddo toddoba sannadood ah, taas oo astaan u ah cidlada “toddobada jeer,” si loo aqbalo farriinta La’odikiya iyo weliba iftiinka “toddobada jeer.” Inkaarta “toddobada jeer” waa inkaarta ah in afka Rabbiga laga mantago. Sannadkii 1863, waxay ku celiyeen hawshii dib-u-dhiska Yerixoo, hawl ay ku jirtay “inkaar.” Toddobada sannadood ee ka bilaabma 1856 ilaa 1863 waa sawir-yar oo muujinaya fallaagadii dembigii awowayaashii reer binu Israa’iil hore, dembigii ku soo dejiyey korkooda inkaarta “toddobada jeer.” Israa’iil casriga ah waxay sannadkii 1863 ku celiyeen dembiyadii awowayaashood.</w:t>
      </w:r>
    </w:p>
    <w:p>
      <w:pPr>
        <w:pStyle w:val="ArticleBody"/>
        <w:jc w:val="left"/>
      </w:pPr>
      <w:r>
        <w:rPr>
          <w:rFonts w:ascii="Times New Roman" w:hAnsi="Times New Roman" w:eastAsia="Times New Roman" w:cs="Times New Roman"/>
        </w:rPr>
        <w:t>Մովսէսի եւ Օզզայի պէս, երրորդ հրեշտակի շարժումը եւս անշուշտ չյաղթահարեց առաջին յուսախաբութեան փորձութիւնը։ Ապա նրանք երեքուկէս օր տեւող «անապատային» շրջանի համար սպանուեցին փողոցներուն մէջ։ Այժմ Մխիթարիչի ձայնով մարմիններու կը կազմուին։ Մխիթարիչի ձայնը կը տրուի անապատի մէջ եղող «ձայն»-ի միջոցով, եւ այժմ անոնք կը դիմագրաւեն ոչ թէ ժամանակ որոշելու, այլ «եօթն ժամանակներ»-ու փորձութիւնը։ Անոնք արդէն իսկ ձախողած էին ժամանակ որոշելու փորձութեան մէջ։</w:t>
      </w:r>
    </w:p>
    <w:p>
      <w:pPr>
        <w:pStyle w:val="ArticleBody"/>
        <w:jc w:val="left"/>
      </w:pPr>
      <w:r>
        <w:rPr>
          <w:rFonts w:ascii="Times New Roman" w:hAnsi="Times New Roman" w:eastAsia="Times New Roman" w:cs="Times New Roman"/>
        </w:rPr>
        <w:t>Siti taatna yuuyama xel ndax ñuy gëm ne “juróom-ñaari yoon” mooy dëgg gu jaar yoon, ndaxte bu yàgg lañu seedee ne nangu nañu “juróom-ñaari yoon” ni ab waxu waay-dëgg wu wér. Dañu wax ne gëm nañu yonent biy wax ci ñaar-fukki téeméeri ak ñaar-fukk ak ñent-fukki at yu tasaaroo. Waaye man nañu bañ a xam ne am na leeral gu bees gu nattu ci “juróom-ñaari yoon.” Ñu ngi taxaw fa seen baay yi taxawoon ci atum 1856. Leer gu bees gi mooy ne ñetti fan ak genn-wàll bi nekk ci Peeñu 11, du rekk a jox xamle Réewulisoŋ Farãs, waaye léegi mooy dëgg gu tey jii.</w:t>
      </w:r>
    </w:p>
    <w:p>
      <w:pPr>
        <w:pStyle w:val="ArticleBody"/>
        <w:jc w:val="left"/>
      </w:pPr>
      <w:r>
        <w:rPr>
          <w:rFonts w:ascii="Times New Roman" w:hAnsi="Times New Roman" w:eastAsia="Times New Roman" w:cs="Times New Roman"/>
        </w:rPr>
        <w:t>Է՞ արդյոք յոթ որոտների ծածուկ պատմության բացվելը և յոթերորդ կնիքի բացվելը իրականում երկու վկաներ են, որոնք մատնանշում են, որ Հիսուս Քրիստոսի Հայտնությունն այժմ կնիքազերծվում է։ Եթե այդպես է, ապա ճի՞շտ է արդյոք, որ «Հայտնություն» ամբողջ գիրքը խոսում է վերջին օրերի մասին։ Եթե դա ճշմարիտ է, ապա երեքուկես օրը ներկայացնո՞ւմ է կույսերի առակի մեջ եղած ուշանալու ժամանակը։ Եթե ներկայացնում է, ապա «յոթ անգամների» միջոցն իրականում ներկայացնո՞ւմ է մի պատվիրան, որը պետք է կատարվի նրանց կողմից, ովքեր մասնակցել են 2020 թվականի հուլիսի 18-ի Նեշվիլի կանխատեսմանը։</w:t>
      </w:r>
    </w:p>
    <w:p>
      <w:pPr>
        <w:pStyle w:val="ArticleBody"/>
        <w:jc w:val="left"/>
      </w:pPr>
      <w:r>
        <w:rPr>
          <w:rFonts w:ascii="Times New Roman" w:hAnsi="Times New Roman" w:eastAsia="Times New Roman" w:cs="Times New Roman"/>
        </w:rPr>
        <w:t>¡Vaya! ¡He aquí una prueba para usted! ¿Acaso aquellos que despiertan y se dan cuenta de que están en el tiempo de tardanza realmente tienen que arrepentirse de sus pecados y de los pecados de sus padres al final de los tres días y medio? ¿Fue realmente un pecado desatender el mandato de no emplear el tiempo en una predicción?</w:t>
      </w:r>
    </w:p>
    <w:p>
      <w:pPr>
        <w:pStyle w:val="ArticleBody"/>
        <w:jc w:val="left"/>
      </w:pPr>
      <w:r>
        <w:rPr>
          <w:rFonts w:ascii="Times New Roman" w:hAnsi="Times New Roman" w:eastAsia="Times New Roman" w:cs="Times New Roman"/>
        </w:rPr>
        <w:t>Къэзыщыгъэныгъэхэм Нэшвиллэм ибжьэгапӏэ хъуам къыщызэфӏэкӏа нэпсалъэм Алыхьым иныбжьэм иупсэу хъуамэ тетыгъэп, ащыгъэзэгъэкӏэжынэу къэзыпытэхьагъэхэм сэри зы гупсысэ нэмыщӏ къысӏонущ, Алыхьым ипсалъэхэм къафэщ1ыгъэ пророчествэхэм лъэхъаным еплъыныр ибжьым нэс къысхэщтэу. Нэшвилль ибжьэгапӏэ псори зэмыкӏуагъэм къыщыхъуар 1844-ым Христос ибжьэхэгъэ тхьэмаджэм иныбжьэу щытынкӏэ мэхъуагъэп, атӏэ ащ Адвентизмым къикӏырэу щытхэм къаригъэлъагъуэу, Пророчествэм иУпсэм къыхэщ1ыгъэхэр зэпымыщӏэу щытхэрэу къыщыщытщ. Ащ Пророчествэм иУпсэм и тхылъхэм къыщыщтэу упрек хъуащ. Ащ дунейм исхэм пшъэрылъ тетыгъэщ, Эллен Уайт и тхылъхэр Джозеф Смит и тхылъхэмрэ, е Нострадамус и тхылъхэмрэ зэхэлъыжыгъэу щытыжьыныр. Эллен Уайт и псалъэ шъуфэхэр диныбжьэ гущыӏэфӏым и псалъэ фӏейхэмкӏэ хъуауэ къыщызэхэкӏыгъащ. Ащ Алыхьым иПсалъэу щыт Христосым ныкъуэ гъэбжьэхыну мэхъуагъэп, атӏэ псори зэпытэу Пророчествэм иУпсэм ныкъуэри гъэбжьэхыну хъуащ. Иоанн Патмос зыщӏэу щыт щыбжьэм игъэсэфыну къыщыщӏэщытщ, ар Библиэмрэ Пророчествэм иУпсэмрэ япэ иныбжьэ нэщӏышъу зыщигъэлъэтэжыгъэм папщӏэ мэхъуагъэп, атӏэ ар а тыхьакӏохэр тIур зэрыдигъэхьэзыгъэм папщӏэщ.</w:t>
      </w:r>
    </w:p>
    <w:p>
      <w:pPr>
        <w:pStyle w:val="ArticleScripture"/>
        <w:jc w:val="left"/>
      </w:pPr>
      <w:r>
        <w:rPr>
          <w:rFonts w:ascii="Times New Roman" w:hAnsi="Times New Roman" w:eastAsia="Times New Roman" w:cs="Times New Roman"/>
        </w:rPr>
        <w:t>من يوحنا، الذي هو أيضًا أخوكم وشريككم في الضيقة وفي ملكوت يسوع المسيح وصبره، كنتُ في الجزيرة التي تُدعى بطمس، من أجل كلمة الله ومن أجل شهادة يسوع المسيح. رؤيا 1:9.</w:t>
      </w:r>
    </w:p>
    <w:p>
      <w:pPr>
        <w:pStyle w:val="ArticleBody"/>
        <w:jc w:val="left"/>
      </w:pPr>
      <w:r>
        <w:rPr>
          <w:rFonts w:ascii="Times New Roman" w:hAnsi="Times New Roman" w:eastAsia="Times New Roman" w:cs="Times New Roman"/>
        </w:rPr>
        <w:t>A táa x̱wasikóo jeewát yáadáx̱ has du x̱’éi Moses yoo x̱atángi hás aadé áwé has du tlél tsú yéi has ée shukáa x̱’áatʼi at our first disappointment, áyá has du jee yoo x̱atángi hás. Yá at has du jee yoo x̱atángi hás, aadé yéi áwé 1856 x̱ʼéidei wutuwa. Yeedát áwé “seven times” kát has du een x̱’éináx̱ sáwé yán yoo x̱atángi át wé, yáanáx̱ yéi áwé áyá aawa. Yeedát áwé Laodicea dáx̱ Philadelphia aadé wooshjín át x̱ʼéidei wutuwa, yáanáx̱ yéi áwé wé beginning movement Philadelphia dáx̱ Laodicea aadé wooshjín át x̱ʼéidei aawa 1856 x̱ʼéidei. 1856 x̱ʼéidei, has du sháade hás áwé “seven times” yáx̱ x̱’éináx̱ sáwé yoo x̱atángi at tléixʼ tóonáx̱ jeedáx̱ sáwé yéi áyá a kux̱ditee, áyá has du een áwé a káx̱ has daak. Tlél wé x̱’éináx̱ sáwé yoo x̱atángi at publishing has daak kux̱ditee, i tuwáa sigóo áyá has du shaaḵáa yá x̱’éináx̱ sáwé yoo x̱atángi at káa has du x̱éinaa daakahidi. Yáanáx̱ yéi kux̱ has ée x̱wasikóo, original Seventh-day Adventist builders yáx̱, wé táa tlél yá x̱ʼawát at x̱ʼéidei jee ée at x̱wasikóo, tsú yéi has du jee sʼéixʼ áwé wé táa kát has du x̱wasikóo. Has du x̱ʼéitʼkídi áwé yáa at: tlél has du jee tleixʼ daklʼaweidí tlein áwé x̱ʼéidei has du x̱ʼéit aan shuk has du wutuwa, aadé has du x̱ʼéit éesh át kux̱duwasáakw, aa jee yéi áwé judgments has du jee x̱wasikóo wududzitee.</w:t>
      </w:r>
    </w:p>
    <w:p>
      <w:pPr>
        <w:pStyle w:val="ArticleBody"/>
        <w:jc w:val="left"/>
      </w:pPr>
      <w:r>
        <w:rPr>
          <w:rFonts w:ascii="Times New Roman" w:hAnsi="Times New Roman" w:eastAsia="Times New Roman" w:cs="Times New Roman"/>
        </w:rPr>
        <w:t>تِ اگر Alpha and Omega ہمیں اس اصول کے ساتھ تعلیم دے کہ کسی چیز کے انجام کو اُس کے آغاز سے واضح کیا جاتا ہے، تو ہم آسانی سے دیکھ سکتے ہیں کہ Alpha and Omega یہ ظاہر کر رہا ہے کہ Nashville کی پیش گوئی ہمارے باپ دادا کے ذریعے بطور نمونہ پیش کی گئی تھی۔ جب ہم اِس سچائی کو تسلیم کرتے ہیں، تو پھر ہمیں اِس حقیقت کا سامنا ہوگا کہ اُس پیش گوئی کے بعد ناکام پیش گوئی کو درست ٹھہرانے کے لیے انسانی منطق کی کسی نہ کسی قسم کو پیدا کرنے کی ہر کوشش محض ایک انجیر کے پتے سے زیادہ کچھ نہ تھی۔ پھر ہم دیکھیں گے کہ خدا ہمارے ساتھ نہیں چل رہا تھا جبکہ ہم دشمن کی سرزمین میں تھے۔ وہ وہاں تھا، لیکن صرف اِس معنی میں کہ وہ دلوں کے دروازوں پر دستک دے رہا تھا اور داخلے کا طالب تھا۔ اگر انسانی منطق کے انجیر کے پتے کو ہٹا دیا جائے، تو پھر شاید ہم یہ بھی دیکھ سکیں کہ انکار، یا وہ ناقص انسانی منطق جسے ہم نے Nashville کی پیش گوئی کو درست ثابت کرنے کے لیے استعمال کیا ہے، اِس بات کا ثبوت ہے کہ ہم مسیح کے برخلاف چلتے رہے ہیں۔</w:t>
      </w:r>
    </w:p>
    <w:p>
      <w:pPr>
        <w:pStyle w:val="ArticleBody"/>
        <w:jc w:val="left"/>
      </w:pPr>
      <w:r>
        <w:rPr>
          <w:rFonts w:ascii="Times New Roman" w:hAnsi="Times New Roman" w:eastAsia="Times New Roman" w:cs="Times New Roman"/>
        </w:rPr>
        <w:t>1856-шы жылы филадельфиялық адвентизм Лаодикеяға айналды, әрі олар мұны білді. Ие мұны пайғамбар әйел мен оның күйеуінің сөздері арқылы растады. Сол лаодикеялық жүректердің есіктерінің алдында тұрып, Мәсіх ішке кіріп, олармен бірге ас ішуді ұсынды. Оның бірге дәм татуға алып келген асы “жеті уақыттың” іргетас тасы еді. Олар бас тартты.</w:t>
      </w:r>
    </w:p>
    <w:p>
      <w:pPr>
        <w:pStyle w:val="ArticleBody"/>
        <w:jc w:val="left"/>
      </w:pPr>
      <w:r>
        <w:rPr>
          <w:rFonts w:ascii="Myanmar Text" w:hAnsi="Myanmar Text" w:eastAsia="Myanmar Text" w:cs="Myanmar Text"/>
        </w:rPr>
        <w:t>၂၀၂၃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နောက်ဆုံးလှုပ်ရှားမှုသည်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လာအိုဒီကေယာမှ</w:t>
      </w:r>
      <w:r>
        <w:rPr>
          <w:rFonts w:ascii="Times New Roman" w:hAnsi="Times New Roman" w:eastAsia="Times New Roman" w:cs="Times New Roman"/>
        </w:rPr>
        <w:t xml:space="preserve"> </w:t>
      </w:r>
      <w:r>
        <w:rPr>
          <w:rFonts w:ascii="Myanmar Text" w:hAnsi="Myanmar Text" w:eastAsia="Myanmar Text" w:cs="Myanmar Text"/>
        </w:rPr>
        <w:t>ဖိလဒေလဖိယာသို့</w:t>
      </w:r>
      <w:r>
        <w:rPr>
          <w:rFonts w:ascii="Times New Roman" w:hAnsi="Times New Roman" w:eastAsia="Times New Roman" w:cs="Times New Roman"/>
        </w:rPr>
        <w:t xml:space="preserve"> </w:t>
      </w:r>
      <w:r>
        <w:rPr>
          <w:rFonts w:ascii="Myanmar Text" w:hAnsi="Myanmar Text" w:eastAsia="Myanmar Text" w:cs="Myanmar Text"/>
        </w:rPr>
        <w:t>ကျော်လွန်ရွေ့လျားနေပြီဖြစ်သည်၊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အဋ္ဌမအသင်းတော်သည်</w:t>
      </w:r>
      <w:r>
        <w:rPr>
          <w:rFonts w:ascii="Times New Roman" w:hAnsi="Times New Roman" w:eastAsia="Times New Roman" w:cs="Times New Roman"/>
        </w:rPr>
        <w:t xml:space="preserve"> </w:t>
      </w:r>
      <w:r>
        <w:rPr>
          <w:rFonts w:ascii="Myanmar Text" w:hAnsi="Myanmar Text" w:eastAsia="Myanmar Text" w:cs="Myanmar Text"/>
        </w:rPr>
        <w:t>အသင်းတော်ခုနစ်ပါးထဲမှ</w:t>
      </w:r>
      <w:r>
        <w:rPr>
          <w:rFonts w:ascii="Times New Roman" w:hAnsi="Times New Roman" w:eastAsia="Times New Roman" w:cs="Times New Roman"/>
        </w:rPr>
        <w:t xml:space="preserve"> </w:t>
      </w:r>
      <w:r>
        <w:rPr>
          <w:rFonts w:ascii="Myanmar Text" w:hAnsi="Myanmar Text" w:eastAsia="Myanmar Text" w:cs="Myanmar Text"/>
        </w:rPr>
        <w:t>ဖြစ်သောကြောင့်ဖြစ်သည်။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အိုမေဂါဖြစ်တော်မူသော</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နှုတ်ကပတ်တော်အားဖြင့်</w:t>
      </w:r>
      <w:r>
        <w:rPr>
          <w:rFonts w:ascii="Times New Roman" w:hAnsi="Times New Roman" w:eastAsia="Times New Roman" w:cs="Times New Roman"/>
        </w:rPr>
        <w:t xml:space="preserve"> </w:t>
      </w:r>
      <w:r>
        <w:rPr>
          <w:rFonts w:ascii="Myanmar Text" w:hAnsi="Myanmar Text" w:eastAsia="Myanmar Text" w:cs="Myanmar Text"/>
        </w:rPr>
        <w:t>အတည်ပြုတော်မူပြီးဖြစ်သည်။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မကြာသေးမီက</w:t>
      </w:r>
      <w:r>
        <w:rPr>
          <w:rFonts w:ascii="Times New Roman" w:hAnsi="Times New Roman" w:eastAsia="Times New Roman" w:cs="Times New Roman"/>
        </w:rPr>
        <w:t xml:space="preserve"> </w:t>
      </w:r>
      <w:r>
        <w:rPr>
          <w:rFonts w:ascii="Myanmar Text" w:hAnsi="Myanmar Text" w:eastAsia="Myanmar Text" w:cs="Myanmar Text"/>
        </w:rPr>
        <w:t>သေဆုံး၍</w:t>
      </w:r>
      <w:r>
        <w:rPr>
          <w:rFonts w:ascii="Times New Roman" w:hAnsi="Times New Roman" w:eastAsia="Times New Roman" w:cs="Times New Roman"/>
        </w:rPr>
        <w:t xml:space="preserve"> </w:t>
      </w:r>
      <w:r>
        <w:rPr>
          <w:rFonts w:ascii="Myanmar Text" w:hAnsi="Myanmar Text" w:eastAsia="Myanmar Text" w:cs="Myanmar Text"/>
        </w:rPr>
        <w:t>ခြောက်သွေ့နေသော</w:t>
      </w:r>
      <w:r>
        <w:rPr>
          <w:rFonts w:ascii="Times New Roman" w:hAnsi="Times New Roman" w:eastAsia="Times New Roman" w:cs="Times New Roman"/>
        </w:rPr>
        <w:t xml:space="preserve"> </w:t>
      </w:r>
      <w:r>
        <w:rPr>
          <w:rFonts w:ascii="Myanmar Text" w:hAnsi="Myanmar Text" w:eastAsia="Myanmar Text" w:cs="Myanmar Text"/>
        </w:rPr>
        <w:t>အရိုးတို့၏</w:t>
      </w:r>
      <w:r>
        <w:rPr>
          <w:rFonts w:ascii="Times New Roman" w:hAnsi="Times New Roman" w:eastAsia="Times New Roman" w:cs="Times New Roman"/>
        </w:rPr>
        <w:t xml:space="preserve"> </w:t>
      </w:r>
      <w:r>
        <w:rPr>
          <w:rFonts w:ascii="Myanmar Text" w:hAnsi="Myanmar Text" w:eastAsia="Myanmar Text" w:cs="Myanmar Text"/>
        </w:rPr>
        <w:t>တံခါးရှေ့၌</w:t>
      </w:r>
      <w:r>
        <w:rPr>
          <w:rFonts w:ascii="Times New Roman" w:hAnsi="Times New Roman" w:eastAsia="Times New Roman" w:cs="Times New Roman"/>
        </w:rPr>
        <w:t xml:space="preserve"> </w:t>
      </w:r>
      <w:r>
        <w:rPr>
          <w:rFonts w:ascii="Myanmar Text" w:hAnsi="Myanmar Text" w:eastAsia="Myanmar Text" w:cs="Myanmar Text"/>
        </w:rPr>
        <w:t>ရပ်တော်မူလျက်၊</w:t>
      </w:r>
      <w:r>
        <w:rPr>
          <w:rFonts w:ascii="Times New Roman" w:hAnsi="Times New Roman" w:eastAsia="Times New Roman" w:cs="Times New Roman"/>
        </w:rPr>
        <w:t xml:space="preserve"> </w:t>
      </w:r>
      <w:r>
        <w:rPr>
          <w:rFonts w:ascii="Myanmar Text" w:hAnsi="Myanmar Text" w:eastAsia="Myanmar Text" w:cs="Myanmar Text"/>
        </w:rPr>
        <w:t>အတွင်းသို့</w:t>
      </w:r>
      <w:r>
        <w:rPr>
          <w:rFonts w:ascii="Times New Roman" w:hAnsi="Times New Roman" w:eastAsia="Times New Roman" w:cs="Times New Roman"/>
        </w:rPr>
        <w:t xml:space="preserve"> </w:t>
      </w:r>
      <w:r>
        <w:rPr>
          <w:rFonts w:ascii="Myanmar Text" w:hAnsi="Myanmar Text" w:eastAsia="Myanmar Text" w:cs="Myanmar Text"/>
        </w:rPr>
        <w:t>ဝင်၍</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စားသောက်ရန်</w:t>
      </w:r>
      <w:r>
        <w:rPr>
          <w:rFonts w:ascii="Times New Roman" w:hAnsi="Times New Roman" w:eastAsia="Times New Roman" w:cs="Times New Roman"/>
        </w:rPr>
        <w:t xml:space="preserve"> </w:t>
      </w:r>
      <w:r>
        <w:rPr>
          <w:rFonts w:ascii="Myanmar Text" w:hAnsi="Myanmar Text" w:eastAsia="Myanmar Text" w:cs="Myanmar Text"/>
        </w:rPr>
        <w:t>ကမ်းလှမ်းတော်မူနေသည်။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မျှဝေလိုတော်မူသော</w:t>
      </w:r>
      <w:r>
        <w:rPr>
          <w:rFonts w:ascii="Times New Roman" w:hAnsi="Times New Roman" w:eastAsia="Times New Roman" w:cs="Times New Roman"/>
        </w:rPr>
        <w:t xml:space="preserve"> </w:t>
      </w:r>
      <w:r>
        <w:rPr>
          <w:rFonts w:ascii="Myanmar Text" w:hAnsi="Myanmar Text" w:eastAsia="Myanmar Text" w:cs="Myanmar Text"/>
        </w:rPr>
        <w:t>အစာသည်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ဘိုးဘေးများနှင့်</w:t>
      </w:r>
      <w:r>
        <w:rPr>
          <w:rFonts w:ascii="Times New Roman" w:hAnsi="Times New Roman" w:eastAsia="Times New Roman" w:cs="Times New Roman"/>
        </w:rPr>
        <w:t xml:space="preserve"> </w:t>
      </w:r>
      <w:r>
        <w:rPr>
          <w:rFonts w:ascii="Myanmar Text" w:hAnsi="Myanmar Text" w:eastAsia="Myanmar Text" w:cs="Myanmar Text"/>
        </w:rPr>
        <w:t>မျှဝေရန်</w:t>
      </w:r>
      <w:r>
        <w:rPr>
          <w:rFonts w:ascii="Times New Roman" w:hAnsi="Times New Roman" w:eastAsia="Times New Roman" w:cs="Times New Roman"/>
        </w:rPr>
        <w:t xml:space="preserve"> </w:t>
      </w:r>
      <w:r>
        <w:rPr>
          <w:rFonts w:ascii="Myanmar Text" w:hAnsi="Myanmar Text" w:eastAsia="Myanmar Text" w:cs="Myanmar Text"/>
        </w:rPr>
        <w:t>ကြိုးပမ်းတော်မူခဲ့သော</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တစ်ထပ်တည်းဖြစ်သည်။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ဘိုးဘေးများအတွက်</w:t>
      </w:r>
      <w:r>
        <w:rPr>
          <w:rFonts w:ascii="Times New Roman" w:hAnsi="Times New Roman" w:eastAsia="Times New Roman" w:cs="Times New Roman"/>
        </w:rPr>
        <w:t xml:space="preserve"> </w:t>
      </w:r>
      <w:r>
        <w:rPr>
          <w:rFonts w:ascii="Myanmar Text" w:hAnsi="Myanmar Text" w:eastAsia="Myanmar Text" w:cs="Myanmar Text"/>
        </w:rPr>
        <w:t>ဖြစ်ခဲ့သကဲ့သို့၊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အယူဝါဒ၏</w:t>
      </w:r>
      <w:r>
        <w:rPr>
          <w:rFonts w:ascii="Times New Roman" w:hAnsi="Times New Roman" w:eastAsia="Times New Roman" w:cs="Times New Roman"/>
        </w:rPr>
        <w:t xml:space="preserve"> </w:t>
      </w:r>
      <w:r>
        <w:rPr>
          <w:rFonts w:ascii="Myanmar Text" w:hAnsi="Myanmar Text" w:eastAsia="Myanmar Text" w:cs="Myanmar Text"/>
        </w:rPr>
        <w:t>အခြေခံစက်ကိရိယာများမျှသာ</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မဟုတ်ပါ၊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ခါးသီးသော</w:t>
      </w:r>
      <w:r>
        <w:rPr>
          <w:rFonts w:ascii="Times New Roman" w:hAnsi="Times New Roman" w:eastAsia="Times New Roman" w:cs="Times New Roman"/>
        </w:rPr>
        <w:t xml:space="preserve"> </w:t>
      </w:r>
      <w:r>
        <w:rPr>
          <w:rFonts w:ascii="Myanmar Text" w:hAnsi="Myanmar Text" w:eastAsia="Myanmar Text" w:cs="Myanmar Text"/>
        </w:rPr>
        <w:t>ကုထုံးဖြစ်ပြီး၊</w:t>
      </w:r>
      <w:r>
        <w:rPr>
          <w:rFonts w:ascii="Times New Roman" w:hAnsi="Times New Roman" w:eastAsia="Times New Roman" w:cs="Times New Roman"/>
        </w:rPr>
        <w:t xml:space="preserve"> </w:t>
      </w:r>
      <w:r>
        <w:rPr>
          <w:rFonts w:ascii="Myanmar Text" w:hAnsi="Myanmar Text" w:eastAsia="Myanmar Text" w:cs="Myanmar Text"/>
        </w:rPr>
        <w:t>ထိုကုထုံးသည်</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မျိုချရခက်လှသည့်</w:t>
      </w:r>
      <w:r>
        <w:rPr>
          <w:rFonts w:ascii="Times New Roman" w:hAnsi="Times New Roman" w:eastAsia="Times New Roman" w:cs="Times New Roman"/>
        </w:rPr>
        <w:t xml:space="preserve"> </w:t>
      </w:r>
      <w:r>
        <w:rPr>
          <w:rFonts w:ascii="Myanmar Text" w:hAnsi="Myanmar Text" w:eastAsia="Myanmar Text" w:cs="Myanmar Text"/>
        </w:rPr>
        <w:t>နှိမ့်ချမှုမျိုးကို</w:t>
      </w:r>
      <w:r>
        <w:rPr>
          <w:rFonts w:ascii="Times New Roman" w:hAnsi="Times New Roman" w:eastAsia="Times New Roman" w:cs="Times New Roman"/>
        </w:rPr>
        <w:t xml:space="preserve"> </w:t>
      </w:r>
      <w:r>
        <w:rPr>
          <w:rFonts w:ascii="Myanmar Text" w:hAnsi="Myanmar Text" w:eastAsia="Myanmar Text" w:cs="Myanmar Text"/>
        </w:rPr>
        <w:t>လိုအပ်သည်။</w:t>
      </w:r>
    </w:p>
    <w:p>
      <w:pPr>
        <w:pStyle w:val="ArticleScripture"/>
        <w:jc w:val="left"/>
      </w:pPr>
      <w:r>
        <w:rPr>
          <w:rFonts w:ascii="Nirmala UI" w:hAnsi="Nirmala UI" w:eastAsia="Nirmala UI" w:cs="Nirmala UI"/>
        </w:rPr>
        <w:t>আদোনয়ের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মানবপুত্র</w:t>
      </w:r>
      <w:r>
        <w:rPr>
          <w:rFonts w:ascii="Times New Roman" w:hAnsi="Times New Roman" w:eastAsia="Times New Roman" w:cs="Times New Roman"/>
        </w:rPr>
        <w:t xml:space="preserve">, </w:t>
      </w:r>
      <w:r>
        <w:rPr>
          <w:rFonts w:ascii="Nirmala UI" w:hAnsi="Nirmala UI" w:eastAsia="Nirmala UI" w:cs="Nirmala UI"/>
        </w:rPr>
        <w:t>তূরের</w:t>
      </w:r>
      <w:r>
        <w:rPr>
          <w:rFonts w:ascii="Times New Roman" w:hAnsi="Times New Roman" w:eastAsia="Times New Roman" w:cs="Times New Roman"/>
        </w:rPr>
        <w:t xml:space="preserve"> </w:t>
      </w:r>
      <w:r>
        <w:rPr>
          <w:rFonts w:ascii="Nirmala UI" w:hAnsi="Nirmala UI" w:eastAsia="Nirmala UI" w:cs="Nirmala UI"/>
        </w:rPr>
        <w:t>অধ্যক্ষকে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আদোনয়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উদ্ধত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বলেছ</w:t>
      </w:r>
      <w:r>
        <w:rPr>
          <w:rFonts w:ascii="Times New Roman" w:hAnsi="Times New Roman" w:eastAsia="Times New Roman" w:cs="Times New Roman"/>
        </w:rPr>
        <w:t>,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সমুদ্রের</w:t>
      </w:r>
      <w:r>
        <w:rPr>
          <w:rFonts w:ascii="Times New Roman" w:hAnsi="Times New Roman" w:eastAsia="Times New Roman" w:cs="Times New Roman"/>
        </w:rPr>
        <w:t xml:space="preserve"> </w:t>
      </w:r>
      <w:r>
        <w:rPr>
          <w:rFonts w:ascii="Nirmala UI" w:hAnsi="Nirmala UI" w:eastAsia="Nirmala UI" w:cs="Nirmala UI"/>
        </w:rPr>
        <w:t>মধ্যস্থলে</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আসনে</w:t>
      </w:r>
      <w:r>
        <w:rPr>
          <w:rFonts w:ascii="Times New Roman" w:hAnsi="Times New Roman" w:eastAsia="Times New Roman" w:cs="Times New Roman"/>
        </w:rPr>
        <w:t xml:space="preserve"> </w:t>
      </w:r>
      <w:r>
        <w:rPr>
          <w:rFonts w:ascii="Nirmala UI" w:hAnsi="Nirmala UI" w:eastAsia="Nirmala UI" w:cs="Nirmala UI"/>
        </w:rPr>
        <w:t>বসে</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নও</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হৃদয়কে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হৃদয়ের</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চেয়েও</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রাখতে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28:1–3.</w:t>
      </w:r>
    </w:p>
    <w:p>
      <w:pPr>
        <w:pStyle w:val="ArticleBody"/>
        <w:jc w:val="left"/>
      </w:pPr>
      <w:r>
        <w:rPr>
          <w:rFonts w:ascii="Times New Roman" w:hAnsi="Times New Roman" w:eastAsia="Times New Roman" w:cs="Times New Roman"/>
        </w:rPr>
        <w:t>Bəlkə də Naşvill barədəki qabaqcadan xəbərdarlıqda iştirak edən bizlər Danieldən daha hikmətliyik?</w:t>
      </w:r>
    </w:p>
    <w:p>
      <w:pPr>
        <w:pStyle w:val="ArticleScripture"/>
        <w:jc w:val="left"/>
      </w:pP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রাজত্বের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গ্রন্থসমূহ</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বৎসরসংখ্যা</w:t>
      </w:r>
      <w:r>
        <w:rPr>
          <w:rFonts w:ascii="Times New Roman" w:hAnsi="Times New Roman" w:eastAsia="Times New Roman" w:cs="Times New Roman"/>
        </w:rPr>
        <w:t xml:space="preserve"> </w:t>
      </w:r>
      <w:r>
        <w:rPr>
          <w:rFonts w:ascii="Nirmala UI" w:hAnsi="Nirmala UI" w:eastAsia="Nirmala UI" w:cs="Nirmala UI"/>
        </w:rPr>
        <w:t>বুঝিলাম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সদাপ্রভুর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যিরমিয়ের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ধ্বংসাবস্থার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উপবাস</w:t>
      </w:r>
      <w:r>
        <w:rPr>
          <w:rFonts w:ascii="Times New Roman" w:hAnsi="Times New Roman" w:eastAsia="Times New Roman" w:cs="Times New Roman"/>
        </w:rPr>
        <w:t xml:space="preserve">, </w:t>
      </w:r>
      <w:r>
        <w:rPr>
          <w:rFonts w:ascii="Nirmala UI" w:hAnsi="Nirmala UI" w:eastAsia="Nirmala UI" w:cs="Nirmala UI"/>
        </w:rPr>
        <w:t>চটবস্ত্র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ভস্মসহকারে</w:t>
      </w:r>
      <w:r>
        <w:rPr>
          <w:rFonts w:ascii="Times New Roman" w:hAnsi="Times New Roman" w:eastAsia="Times New Roman" w:cs="Times New Roman"/>
        </w:rPr>
        <w:t xml:space="preserve"> </w:t>
      </w:r>
      <w:r>
        <w:rPr>
          <w:rFonts w:ascii="Nirmala UI" w:hAnsi="Nirmala UI" w:eastAsia="Nirmala UI" w:cs="Nirmala UI"/>
        </w:rPr>
        <w:t>অন্বেষণ</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ফিরাইলাম।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করিলাম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স্বীকারোক্তি</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বলিলাম</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ভয়ঙ্কর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আজ্ঞাসমূহ</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রক্ষা</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অধর্ম</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দুষ্টতার</w:t>
      </w:r>
      <w:r>
        <w:rPr>
          <w:rFonts w:ascii="Times New Roman" w:hAnsi="Times New Roman" w:eastAsia="Times New Roman" w:cs="Times New Roman"/>
        </w:rPr>
        <w:t xml:space="preserve"> </w:t>
      </w:r>
      <w:r>
        <w:rPr>
          <w:rFonts w:ascii="Nirmala UI" w:hAnsi="Nirmala UI" w:eastAsia="Nirmala UI" w:cs="Nirmala UI"/>
        </w:rPr>
        <w:t>আচরণ</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বিচ্যুত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ভাববাদীগণের</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নামে</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রাজাগণের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প্রধানগণের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বলিয়াছিল।</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ধার্মিকতা</w:t>
      </w:r>
      <w:r>
        <w:rPr>
          <w:rFonts w:ascii="Times New Roman" w:hAnsi="Times New Roman" w:eastAsia="Times New Roman" w:cs="Times New Roman"/>
        </w:rPr>
        <w:t xml:space="preserve"> </w:t>
      </w:r>
      <w:r>
        <w:rPr>
          <w:rFonts w:ascii="Nirmala UI" w:hAnsi="Nirmala UI" w:eastAsia="Nirmala UI" w:cs="Nirmala UI"/>
        </w:rPr>
        <w:t>তোমারই</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মুখলজ্জা</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আজকের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অধিবাসীদের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যেখানেই</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তাড়াইয়া</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অপরাধের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রাজাগণের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প্রধানগণের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মুখলজ্জাই</w:t>
      </w:r>
      <w:r>
        <w:rPr>
          <w:rFonts w:ascii="Times New Roman" w:hAnsi="Times New Roman" w:eastAsia="Times New Roman" w:cs="Times New Roman"/>
        </w:rPr>
        <w:t xml:space="preserve"> </w:t>
      </w:r>
      <w:r>
        <w:rPr>
          <w:rFonts w:ascii="Nirmala UI" w:hAnsi="Nirmala UI" w:eastAsia="Nirmala UI" w:cs="Nirmala UI"/>
        </w:rPr>
        <w:t>প্রাপ্য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ঈশ্বরেরই</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ক্ষমাসমূহ</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মান্য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ব্যবস্থাসমূহে</w:t>
      </w:r>
      <w:r>
        <w:rPr>
          <w:rFonts w:ascii="Times New Roman" w:hAnsi="Times New Roman" w:eastAsia="Times New Roman" w:cs="Times New Roman"/>
        </w:rPr>
        <w:t xml:space="preserve"> </w:t>
      </w:r>
      <w:r>
        <w:rPr>
          <w:rFonts w:ascii="Nirmala UI" w:hAnsi="Nirmala UI" w:eastAsia="Nirmala UI" w:cs="Nirmala UI"/>
        </w:rPr>
        <w:t>চলিবার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ভাববাদীগণের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লঙ্ঘন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বিচ্যুত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অভিশাপ</w:t>
      </w:r>
      <w:r>
        <w:rPr>
          <w:rFonts w:ascii="Times New Roman" w:hAnsi="Times New Roman" w:eastAsia="Times New Roman" w:cs="Times New Roman"/>
        </w:rPr>
        <w:t xml:space="preserve"> </w:t>
      </w:r>
      <w:r>
        <w:rPr>
          <w:rFonts w:ascii="Nirmala UI" w:hAnsi="Nirmala UI" w:eastAsia="Nirmala UI" w:cs="Nirmala UI"/>
        </w:rPr>
        <w:t>ঢালিয়া</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শপথও</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ব্যবস্থায়</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পাপ</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বিচারকর্তাগণের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বলিয়াছিলেন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মহাদুর্যোগ</w:t>
      </w:r>
      <w:r>
        <w:rPr>
          <w:rFonts w:ascii="Times New Roman" w:hAnsi="Times New Roman" w:eastAsia="Times New Roman" w:cs="Times New Roman"/>
        </w:rPr>
        <w:t xml:space="preserve"> </w:t>
      </w:r>
      <w:r>
        <w:rPr>
          <w:rFonts w:ascii="Nirmala UI" w:hAnsi="Nirmala UI" w:eastAsia="Nirmala UI" w:cs="Nirmala UI"/>
        </w:rPr>
        <w:t>আনয়নের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করিয়াছেন</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আকাশের</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ঘটিয়াছে</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নাই।</w:t>
      </w:r>
    </w:p>
    <w:p>
      <w:pPr>
        <w:pStyle w:val="ArticleScripture"/>
        <w:jc w:val="left"/>
      </w:pP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ਅਪਸ਼ਗੁਨ</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ਬੇਇਨਸਾਫੀਆਂ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ਮੁੜੀਏ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ਸਮਝੀਏ।</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ਅਪਸ਼ਗੁਨ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ਨਿਗਰਾਨੀ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ਲਿਆਇਆ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ਉਸਦੀ</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ਬਲਵਾਨ</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ਕੱਢਿਆ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ਨਾਮਣਾ</w:t>
      </w:r>
      <w:r>
        <w:rPr>
          <w:rFonts w:ascii="Times New Roman" w:hAnsi="Times New Roman" w:eastAsia="Times New Roman" w:cs="Times New Roman"/>
        </w:rPr>
        <w:t xml:space="preserve"> </w:t>
      </w:r>
      <w:r>
        <w:rPr>
          <w:rFonts w:ascii="Nirmala UI" w:hAnsi="Nirmala UI" w:eastAsia="Nirmala UI" w:cs="Nirmala UI"/>
        </w:rPr>
        <w:t>ਖੱਟਿਆ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ਦੁਸ਼ਟਤਾ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ਪ੍ਰਚੰਡ</w:t>
      </w:r>
      <w:r>
        <w:rPr>
          <w:rFonts w:ascii="Times New Roman" w:hAnsi="Times New Roman" w:eastAsia="Times New Roman" w:cs="Times New Roman"/>
        </w:rPr>
        <w:t xml:space="preserve"> </w:t>
      </w:r>
      <w:r>
        <w:rPr>
          <w:rFonts w:ascii="Nirmala UI" w:hAnsi="Nirmala UI" w:eastAsia="Nirmala UI" w:cs="Nirmala UI"/>
        </w:rPr>
        <w:t>ਰੋਸ</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ਪਰਬਤ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ਹਟ</w:t>
      </w:r>
      <w:r>
        <w:rPr>
          <w:rFonts w:ascii="Times New Roman" w:hAnsi="Times New Roman" w:eastAsia="Times New Roman" w:cs="Times New Roman"/>
        </w:rPr>
        <w:t xml:space="preserve"> </w:t>
      </w:r>
      <w:r>
        <w:rPr>
          <w:rFonts w:ascii="Nirmala UI" w:hAnsi="Nirmala UI" w:eastAsia="Nirmala UI" w:cs="Nirmala UI"/>
        </w:rPr>
        <w:t>ਜਾਏ</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ਪਿਉਆਂ</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ਬੇਇਨਸਾਫੀਆਂ</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ਪਾਸਿਆਂ</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ਤਾਣਾ</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ਪ੍ਰਾਰਥਨਾ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ਬੇਨਤੀਆਂ</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ਉਜੜੇ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ਅਸਥਾਨ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ਚਮਕਾ।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ਝੁਕਾ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ਸਾਡੀਆਂ</w:t>
      </w:r>
      <w:r>
        <w:rPr>
          <w:rFonts w:ascii="Times New Roman" w:hAnsi="Times New Roman" w:eastAsia="Times New Roman" w:cs="Times New Roman"/>
        </w:rPr>
        <w:t xml:space="preserve"> </w:t>
      </w:r>
      <w:r>
        <w:rPr>
          <w:rFonts w:ascii="Nirmala UI" w:hAnsi="Nirmala UI" w:eastAsia="Nirmala UI" w:cs="Nirmala UI"/>
        </w:rPr>
        <w:t>ਉਜਾੜਾਂ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ਦੇਖ</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ਸਦਾਇਆ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ਧਰਮਿਕਤਾਵਾਂ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ਆਧਾਰ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ਤੇਰੀਆਂ</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ਦਇਆਵਾਂ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ਬੇਨਤੀਆਂ</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ਸੁਣ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ਖਿਮਾ</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ਧਰ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ਸਦਾਏ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ਪ੍ਰਾਰਥਨਾ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ਪਰਬਤ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ਬੇਨਤੀ</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ਪ੍ਰਾਰਥਨਾ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ਗਬਰੀਏਲ</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ਉਡਾਇਆ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ਛੂਹ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ਨਿਕਲਿਆ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Ɔhawɛhyɛ no da no adi a Yesu Kristo de mae - Nɔma Dunu Awotwe</dc:title>
  <dc:subject>پدرانیٰ گناہاں</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