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Хакъикъат юу? — Бешинчи сан</w:t>
      </w:r>
    </w:p>
    <w:p>
      <w:pPr>
        <w:pStyle w:val="ArticleSubtitle"/>
        <w:jc w:val="left"/>
      </w:pPr>
      <w:r>
        <w:rPr>
          <w:rFonts w:ascii="Nirmala UI" w:hAnsi="Nirmala UI" w:eastAsia="Nirmala UI" w:cs="Nirmala UI"/>
        </w:rPr>
        <w:t>आरामदायक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Yeddi göy gurultusunun içində açılmış peyğəmbərlik tarixi indi bizim içində bulunduğumuz tarixi müəyyən edir. Sirr, təmsil etdiyi tarix gəlib çatana qədər gizli saxlanılmışdı. Bu, Təsəlliverənin, “həqiqət” Ruhunun, Yəhyanın İsa Məsihin Vəhyi adlandırdığı həqiqəti aşkar etdiyi zamandır; çünki İsa Məsih Həqiqətdir. Məsələ təkcə “həqiqət” sözünün Allahın xarakterini təmsil etməsi deyildir. Və bu, sadəcə olaraq, ibrani dilindəki “həqiqət” sözünün Müqəddəs Yazılar boyunca necə dərin mənalarda işlədildiyini göstərən ecazkar dilçilik kəşfi də deyildir. Əksinə, bu, dərk edildiyi zaman Vəhy kitabının peyğəmbərliklərini açmağın açarına çevrilən heyrətamiz möcüzədir və bununla da bütün Müqəddəs Kitabı açır. Lakin bu, yalnız orada yazılanları görməyə, eşitməyə və qorumağa hazır olanlar üçündür, çünki vaxt yaxındır.</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ᎤᏂᎦᏙᎥᎯᏍᏗᏱ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ᎬᏩᏂᏅᏙᏗᏱ</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ᎠᎦᏛᎦ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ᎤᏙᎢᏗ</w:t>
      </w:r>
      <w:r>
        <w:rPr>
          <w:rFonts w:ascii="Times New Roman" w:hAnsi="Times New Roman" w:eastAsia="Times New Roman" w:cs="Times New Roman"/>
        </w:rPr>
        <w:t xml:space="preserve"> </w:t>
      </w:r>
      <w:r>
        <w:rPr>
          <w:rFonts w:ascii="Gadugi" w:hAnsi="Gadugi" w:eastAsia="Gadugi" w:cs="Gadugi"/>
        </w:rPr>
        <w:t>ᎤᏚᎸᏗ</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ᎤᏂᎦᏔᎯᏳᎦ</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ᎤᏂᎧᎿᎭᏩᏛᎲ</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ᎠᏆᏤᎵᎢ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ᎤᏂᏍᏆᏂᎪᏗᏍᎬᎢ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ᏗᎬᏩᏍᏆᏂᎪᏗ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ᎠᎦᎵᏍᎪᏗ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ᎠᏁᎳ</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ᎤᏕᏅᏙ</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ᏧᏩᏛᎯ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ᎤᏲᎯᏎᎲ</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ᎠᎬᏩᏛᏁᏗ</w:t>
      </w:r>
      <w:r>
        <w:rPr>
          <w:rFonts w:ascii="Times New Roman" w:hAnsi="Times New Roman" w:eastAsia="Times New Roman" w:cs="Times New Roman"/>
        </w:rPr>
        <w:t xml:space="preserve"> </w:t>
      </w:r>
      <w:r>
        <w:rPr>
          <w:rFonts w:ascii="Gadugi" w:hAnsi="Gadugi" w:eastAsia="Gadugi" w:cs="Gadugi"/>
        </w:rPr>
        <w:t>ᎤᏂᏯᏍᏙᏗ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ᎬᏩᏂᏲᎰ</w:t>
      </w:r>
      <w:r>
        <w:rPr>
          <w:rFonts w:ascii="Times New Roman" w:hAnsi="Times New Roman" w:eastAsia="Times New Roman" w:cs="Times New Roman"/>
        </w:rPr>
        <w:t xml:space="preserve"> </w:t>
      </w:r>
      <w:r>
        <w:rPr>
          <w:rFonts w:ascii="Gadugi" w:hAnsi="Gadugi" w:eastAsia="Gadugi" w:cs="Gadugi"/>
        </w:rPr>
        <w:t>ᏗᎬᏩᏂᏁᏟᏴᏍᏗᏱ</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ᎦᏟᎶᏍᏛ</w:t>
      </w:r>
      <w:r>
        <w:rPr>
          <w:rFonts w:ascii="Times New Roman" w:hAnsi="Times New Roman" w:eastAsia="Times New Roman" w:cs="Times New Roman"/>
        </w:rPr>
        <w:t xml:space="preserve"> </w:t>
      </w:r>
      <w:r>
        <w:rPr>
          <w:rFonts w:ascii="Gadugi" w:hAnsi="Gadugi" w:eastAsia="Gadugi" w:cs="Gadugi"/>
        </w:rPr>
        <w:t>ᎠᎦᏅᏬᎢ</w:t>
      </w:r>
      <w:r>
        <w:rPr>
          <w:rFonts w:ascii="Times New Roman" w:hAnsi="Times New Roman" w:eastAsia="Times New Roman" w:cs="Times New Roman"/>
        </w:rPr>
        <w:t xml:space="preserve"> </w:t>
      </w:r>
      <w:r>
        <w:rPr>
          <w:rFonts w:ascii="Gadugi" w:hAnsi="Gadugi" w:eastAsia="Gadugi" w:cs="Gadugi"/>
        </w:rPr>
        <w:t>ᎤᏟᎶᏍᏛ</w:t>
      </w:r>
      <w:r>
        <w:rPr>
          <w:rFonts w:ascii="Times New Roman" w:hAnsi="Times New Roman" w:eastAsia="Times New Roman" w:cs="Times New Roman"/>
        </w:rPr>
        <w:t xml:space="preserve"> </w:t>
      </w:r>
      <w:r>
        <w:rPr>
          <w:rFonts w:ascii="Gadugi" w:hAnsi="Gadugi" w:eastAsia="Gadugi" w:cs="Gadugi"/>
        </w:rPr>
        <w:t>ᎠᏧᏣ</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ᎠᎦᏁᎳ</w:t>
      </w:r>
      <w:r>
        <w:rPr>
          <w:rFonts w:ascii="Times New Roman" w:hAnsi="Times New Roman" w:eastAsia="Times New Roman" w:cs="Times New Roman"/>
        </w:rPr>
        <w:t xml:space="preserve"> </w:t>
      </w:r>
      <w:r>
        <w:rPr>
          <w:rFonts w:ascii="Gadugi" w:hAnsi="Gadugi" w:eastAsia="Gadugi" w:cs="Gadugi"/>
        </w:rPr>
        <w:t>ᎠᏆᏒ</w:t>
      </w:r>
      <w:r>
        <w:rPr>
          <w:rFonts w:ascii="Times New Roman" w:hAnsi="Times New Roman" w:eastAsia="Times New Roman" w:cs="Times New Roman"/>
        </w:rPr>
        <w:t xml:space="preserve"> </w:t>
      </w:r>
      <w:r>
        <w:rPr>
          <w:rFonts w:ascii="Gadugi" w:hAnsi="Gadugi" w:eastAsia="Gadugi" w:cs="Gadugi"/>
        </w:rPr>
        <w:t>ᏚᎵᏍᎨᏍᏗ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ᏧᏬᏍᏗ</w:t>
      </w:r>
      <w:r>
        <w:rPr>
          <w:rFonts w:ascii="Times New Roman" w:hAnsi="Times New Roman" w:eastAsia="Times New Roman" w:cs="Times New Roman"/>
        </w:rPr>
        <w:t xml:space="preserve"> </w:t>
      </w:r>
      <w:r>
        <w:rPr>
          <w:rFonts w:ascii="Gadugi" w:hAnsi="Gadugi" w:eastAsia="Gadugi" w:cs="Gadugi"/>
        </w:rPr>
        <w:t>ᎠᏂᏦᎢᏍᏗ</w:t>
      </w:r>
      <w:r>
        <w:rPr>
          <w:rFonts w:ascii="Times New Roman" w:hAnsi="Times New Roman" w:eastAsia="Times New Roman" w:cs="Times New Roman"/>
        </w:rPr>
        <w:t xml:space="preserve"> </w:t>
      </w:r>
      <w:r>
        <w:rPr>
          <w:rFonts w:ascii="Gadugi" w:hAnsi="Gadugi" w:eastAsia="Gadugi" w:cs="Gadugi"/>
        </w:rPr>
        <w:t>ᎬᏩᏁᎶᏗ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ᎤᏂᏃᎮᎭ</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ᎤᏕᎦᏙᎥ</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ᎠᏥᏙᎭ</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ᎢᎬᏱᏗ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ᎤᏂᎦᏔᎯᏳᎦ</w:t>
      </w:r>
      <w:r>
        <w:rPr>
          <w:rFonts w:ascii="Times New Roman" w:hAnsi="Times New Roman" w:eastAsia="Times New Roman" w:cs="Times New Roman"/>
        </w:rPr>
        <w:t xml:space="preserve"> </w:t>
      </w:r>
      <w:r>
        <w:rPr>
          <w:rFonts w:ascii="Gadugi" w:hAnsi="Gadugi" w:eastAsia="Gadugi" w:cs="Gadugi"/>
        </w:rPr>
        <w:t>ᎤᎾᏓᏅᏖᏗᏱ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ᎤᏪᏲᏅᎯ</w:t>
      </w:r>
      <w:r>
        <w:rPr>
          <w:rFonts w:ascii="Times New Roman" w:hAnsi="Times New Roman" w:eastAsia="Times New Roman" w:cs="Times New Roman"/>
        </w:rPr>
        <w:t xml:space="preserve"> </w:t>
      </w:r>
      <w:r>
        <w:rPr>
          <w:rFonts w:ascii="Gadugi" w:hAnsi="Gadugi" w:eastAsia="Gadugi" w:cs="Gadugi"/>
        </w:rPr>
        <w:t>ᎬᏩᏘᏃᎯᏍᏔᏅ</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ڕاستیی پێشبینی‌کراوەکە کە وشەکە پێویستە لەگەڵ ئامادەبوونی ڕۆحی پیرۆز بخوردرێت، هاوئاهەنگی دەدات لەگەڵ پێناسەی خاتوو وایت بۆ «ڕۆن» لە مەثەلی دە کچە پاکیزەکەدا، هەروەها لەگەڵ وەسفکردنی ئەو دوو جۆرە کچە پاکیزانەی کە چاوەڕوانی زاواکەن.</w:t>
      </w:r>
    </w:p>
    <w:p>
      <w:pPr>
        <w:pStyle w:val="ArticleBody"/>
        <w:jc w:val="left"/>
      </w:pPr>
      <w:r>
        <w:rPr>
          <w:rFonts w:ascii="Times New Roman" w:hAnsi="Times New Roman" w:eastAsia="Times New Roman" w:cs="Times New Roman"/>
        </w:rPr>
        <w:t>Asɛnkyerɛnne bi mpɛn pii no, ɛwɔ nkyerɛase boro baako, na ɛsɛ sɛ wɔkyerɛ nkyerɛase no fi beae a asɛnkyerɛnne no wɔ no mu nsɛm tebea no mu. Ɛnsɛ sɛ wɔkyerɛ ase denam kasa mmara ho nimdefo nkyerɛase a ɔde ma asɛmfua no so anaa abakɔsɛm mu bere pɔtee a wɔkyerɛw asɛmfua no mu no so. Saa akwan abien yi na Adventism mu nyamekyerɛfo asɔ mu ahyɛ den de apow “nokware” no. Wɔkyerɛ asɛnkyerɛnne ase fi tebea a wɔde adi dwuma no mu. Nkɔmhyɛ Honhom no mu no, asɛmfua “ngo” a ɛwɔ mmabaa du no bɛ no mu gyina hɔ ma nneɛma ahorow kakra anyɛ yiye koraa, gyina faako a “ngo” no pue wɔ nkyekyɛm no mu no tebea so. Adɛn nti na mmabaa no mu kuw baako wɔ ngo no na afoforo no nni bi?</w:t>
      </w:r>
    </w:p>
    <w:p>
      <w:pPr>
        <w:pStyle w:val="ArticleScripture"/>
        <w:jc w:val="left"/>
      </w:pPr>
      <w:r>
        <w:rPr>
          <w:rFonts w:ascii="Times New Roman" w:hAnsi="Times New Roman" w:eastAsia="Times New Roman" w:cs="Times New Roman"/>
        </w:rPr>
        <w:t>“</w:t>
      </w:r>
      <w:r>
        <w:rPr>
          <w:rFonts w:ascii="Nirmala UI" w:hAnsi="Nirmala UI" w:eastAsia="Nirmala UI" w:cs="Nirmala UI"/>
        </w:rPr>
        <w:t>ओइकुमेने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पोनेरिया</w:t>
      </w:r>
      <w:r>
        <w:rPr>
          <w:rFonts w:ascii="Times New Roman" w:hAnsi="Times New Roman" w:eastAsia="Times New Roman" w:cs="Times New Roman"/>
        </w:rPr>
        <w:t xml:space="preserve">, </w:t>
      </w:r>
      <w:r>
        <w:rPr>
          <w:rFonts w:ascii="Nirmala UI" w:hAnsi="Nirmala UI" w:eastAsia="Nirmala UI" w:cs="Nirmala UI"/>
        </w:rPr>
        <w:t>एपाते</w:t>
      </w:r>
      <w:r>
        <w:rPr>
          <w:rFonts w:ascii="Times New Roman" w:hAnsi="Times New Roman" w:eastAsia="Times New Roman" w:cs="Times New Roman"/>
        </w:rPr>
        <w:t xml:space="preserve">, </w:t>
      </w:r>
      <w:r>
        <w:rPr>
          <w:rFonts w:ascii="Nirmala UI" w:hAnsi="Nirmala UI" w:eastAsia="Nirmala UI" w:cs="Nirmala UI"/>
        </w:rPr>
        <w:t>काइ</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तेकेन</w:t>
      </w:r>
      <w:r>
        <w:rPr>
          <w:rFonts w:ascii="Times New Roman" w:hAnsi="Times New Roman" w:eastAsia="Times New Roman" w:cs="Times New Roman"/>
        </w:rPr>
        <w:t xml:space="preserve">; </w:t>
      </w:r>
      <w:r>
        <w:rPr>
          <w:rFonts w:ascii="Nirmala UI" w:hAnsi="Nirmala UI" w:eastAsia="Nirmala UI" w:cs="Nirmala UI"/>
        </w:rPr>
        <w:t>कानाट</w:t>
      </w:r>
      <w:r>
        <w:rPr>
          <w:rFonts w:ascii="Times New Roman" w:hAnsi="Times New Roman" w:eastAsia="Times New Roman" w:cs="Times New Roman"/>
        </w:rPr>
        <w:t xml:space="preserve"> </w:t>
      </w:r>
      <w:r>
        <w:rPr>
          <w:rFonts w:ascii="Nirmala UI" w:hAnsi="Nirmala UI" w:eastAsia="Nirmala UI" w:cs="Nirmala UI"/>
        </w:rPr>
        <w:t>थेनाते</w:t>
      </w:r>
      <w:r>
        <w:rPr>
          <w:rFonts w:ascii="Times New Roman" w:hAnsi="Times New Roman" w:eastAsia="Times New Roman" w:cs="Times New Roman"/>
        </w:rPr>
        <w:t xml:space="preserve">, </w:t>
      </w:r>
      <w:r>
        <w:rPr>
          <w:rFonts w:ascii="Nirmala UI" w:hAnsi="Nirmala UI" w:eastAsia="Nirmala UI" w:cs="Nirmala UI"/>
        </w:rPr>
        <w:t>कानाट</w:t>
      </w:r>
      <w:r>
        <w:rPr>
          <w:rFonts w:ascii="Times New Roman" w:hAnsi="Times New Roman" w:eastAsia="Times New Roman" w:cs="Times New Roman"/>
        </w:rPr>
        <w:t xml:space="preserve"> </w:t>
      </w:r>
      <w:r>
        <w:rPr>
          <w:rFonts w:ascii="Nirmala UI" w:hAnsi="Nirmala UI" w:eastAsia="Nirmala UI" w:cs="Nirmala UI"/>
        </w:rPr>
        <w:t>थेनाते</w:t>
      </w:r>
      <w:r>
        <w:rPr>
          <w:rFonts w:ascii="Times New Roman" w:hAnsi="Times New Roman" w:eastAsia="Times New Roman" w:cs="Times New Roman"/>
        </w:rPr>
        <w:t xml:space="preserve">, </w:t>
      </w:r>
      <w:r>
        <w:rPr>
          <w:rFonts w:ascii="Nirmala UI" w:hAnsi="Nirmala UI" w:eastAsia="Nirmala UI" w:cs="Nirmala UI"/>
        </w:rPr>
        <w:t>मृत्योस</w:t>
      </w:r>
      <w:r>
        <w:rPr>
          <w:rFonts w:ascii="Times New Roman" w:hAnsi="Times New Roman" w:eastAsia="Times New Roman" w:cs="Times New Roman"/>
        </w:rPr>
        <w:t xml:space="preserve"> </w:t>
      </w:r>
      <w:r>
        <w:rPr>
          <w:rFonts w:ascii="Nirmala UI" w:hAnsi="Nirmala UI" w:eastAsia="Nirmala UI" w:cs="Nirmala UI"/>
        </w:rPr>
        <w:t>स्कियाते</w:t>
      </w:r>
      <w:r>
        <w:rPr>
          <w:rFonts w:ascii="Times New Roman" w:hAnsi="Times New Roman" w:eastAsia="Times New Roman" w:cs="Times New Roman"/>
        </w:rPr>
        <w:t xml:space="preserve"> </w:t>
      </w:r>
      <w:r>
        <w:rPr>
          <w:rFonts w:ascii="Nirmala UI" w:hAnsi="Nirmala UI" w:eastAsia="Nirmala UI" w:cs="Nirmala UI"/>
        </w:rPr>
        <w:t>केइ</w:t>
      </w:r>
      <w:r>
        <w:rPr>
          <w:rFonts w:ascii="Times New Roman" w:hAnsi="Times New Roman" w:eastAsia="Times New Roman" w:cs="Times New Roman"/>
        </w:rPr>
        <w:t xml:space="preserve">, </w:t>
      </w:r>
      <w:r>
        <w:rPr>
          <w:rFonts w:ascii="Nirmala UI" w:hAnsi="Nirmala UI" w:eastAsia="Nirmala UI" w:cs="Nirmala UI"/>
        </w:rPr>
        <w:t>निद्राग्रस्त।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आर्त</w:t>
      </w:r>
      <w:r>
        <w:rPr>
          <w:rFonts w:ascii="Times New Roman" w:hAnsi="Times New Roman" w:eastAsia="Times New Roman" w:cs="Times New Roman"/>
        </w:rPr>
        <w:t xml:space="preserve"> </w:t>
      </w:r>
      <w:r>
        <w:rPr>
          <w:rFonts w:ascii="Nirmala UI" w:hAnsi="Nirmala UI" w:eastAsia="Nirmala UI" w:cs="Nirmala UI"/>
        </w:rPr>
        <w:t>आत्माया</w:t>
      </w:r>
      <w:r>
        <w:rPr>
          <w:rFonts w:ascii="Times New Roman" w:hAnsi="Times New Roman" w:eastAsia="Times New Roman" w:cs="Times New Roman"/>
        </w:rPr>
        <w:t xml:space="preserve"> </w:t>
      </w:r>
      <w:r>
        <w:rPr>
          <w:rFonts w:ascii="Nirmala UI" w:hAnsi="Nirmala UI" w:eastAsia="Nirmala UI" w:cs="Nirmala UI"/>
        </w:rPr>
        <w:t>ताइदेर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कष्ट</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करछे</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ताइदेर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पहुँछाते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आमार</w:t>
      </w:r>
      <w:r>
        <w:rPr>
          <w:rFonts w:ascii="Times New Roman" w:hAnsi="Times New Roman" w:eastAsia="Times New Roman" w:cs="Times New Roman"/>
        </w:rPr>
        <w:t xml:space="preserve"> </w:t>
      </w:r>
      <w:r>
        <w:rPr>
          <w:rFonts w:ascii="Nirmala UI" w:hAnsi="Nirmala UI" w:eastAsia="Nirmala UI" w:cs="Nirmala UI"/>
        </w:rPr>
        <w:t>चित्तो</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होबे</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करछेन</w:t>
      </w:r>
      <w:r>
        <w:rPr>
          <w:rFonts w:ascii="Times New Roman" w:hAnsi="Times New Roman" w:eastAsia="Times New Roman" w:cs="Times New Roman"/>
        </w:rPr>
        <w:t xml:space="preserve">; </w:t>
      </w:r>
      <w:r>
        <w:rPr>
          <w:rFonts w:ascii="Nirmala UI" w:hAnsi="Nirmala UI" w:eastAsia="Nirmala UI" w:cs="Nirmala UI"/>
        </w:rPr>
        <w:t>तोमरा</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साक्षाते</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केउ</w:t>
      </w:r>
      <w:r>
        <w:rPr>
          <w:rFonts w:ascii="Times New Roman" w:hAnsi="Times New Roman" w:eastAsia="Times New Roman" w:cs="Times New Roman"/>
        </w:rPr>
        <w:t xml:space="preserve"> </w:t>
      </w:r>
      <w:r>
        <w:rPr>
          <w:rFonts w:ascii="Nirmala UI" w:hAnsi="Nirmala UI" w:eastAsia="Nirmala UI" w:cs="Nirmala UI"/>
        </w:rPr>
        <w:t>केउ</w:t>
      </w:r>
      <w:r>
        <w:rPr>
          <w:rFonts w:ascii="Times New Roman" w:hAnsi="Times New Roman" w:eastAsia="Times New Roman" w:cs="Times New Roman"/>
        </w:rPr>
        <w:t xml:space="preserve"> </w:t>
      </w:r>
      <w:r>
        <w:rPr>
          <w:rFonts w:ascii="Nirmala UI" w:hAnsi="Nirmala UI" w:eastAsia="Nirmala UI" w:cs="Nirmala UI"/>
        </w:rPr>
        <w:t>निजेदेर</w:t>
      </w:r>
      <w:r>
        <w:rPr>
          <w:rFonts w:ascii="Times New Roman" w:hAnsi="Times New Roman" w:eastAsia="Times New Roman" w:cs="Times New Roman"/>
        </w:rPr>
        <w:t xml:space="preserve"> </w:t>
      </w:r>
      <w:r>
        <w:rPr>
          <w:rFonts w:ascii="Nirmala UI" w:hAnsi="Nirmala UI" w:eastAsia="Nirmala UI" w:cs="Nirmala UI"/>
        </w:rPr>
        <w:t>प्रदीप</w:t>
      </w:r>
      <w:r>
        <w:rPr>
          <w:rFonts w:ascii="Times New Roman" w:hAnsi="Times New Roman" w:eastAsia="Times New Roman" w:cs="Times New Roman"/>
        </w:rPr>
        <w:t xml:space="preserve"> </w:t>
      </w:r>
      <w:r>
        <w:rPr>
          <w:rFonts w:ascii="Nirmala UI" w:hAnsi="Nirmala UI" w:eastAsia="Nirmala UI" w:cs="Nirmala UI"/>
        </w:rPr>
        <w:t>पुनर्भरनर</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बिलंब</w:t>
      </w:r>
      <w:r>
        <w:rPr>
          <w:rFonts w:ascii="Times New Roman" w:hAnsi="Times New Roman" w:eastAsia="Times New Roman" w:cs="Times New Roman"/>
        </w:rPr>
        <w:t xml:space="preserve"> </w:t>
      </w:r>
      <w:r>
        <w:rPr>
          <w:rFonts w:ascii="Nirmala UI" w:hAnsi="Nirmala UI" w:eastAsia="Nirmala UI" w:cs="Nirmala UI"/>
        </w:rPr>
        <w:t>करेछे</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ओनेक</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पाबे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होच्छे</w:t>
      </w:r>
      <w:r>
        <w:rPr>
          <w:rFonts w:ascii="Times New Roman" w:hAnsi="Times New Roman" w:eastAsia="Times New Roman" w:cs="Times New Roman"/>
        </w:rPr>
        <w:t xml:space="preserve"> </w:t>
      </w:r>
      <w:r>
        <w:rPr>
          <w:rFonts w:ascii="Nirmala UI" w:hAnsi="Nirmala UI" w:eastAsia="Nirmala UI" w:cs="Nirmala UI"/>
        </w:rPr>
        <w:t>ओइ</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हस्तांतरणयोग्य</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ओइ</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ख्रिस्तेर</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एटा</w:t>
      </w:r>
      <w:r>
        <w:rPr>
          <w:rFonts w:ascii="Times New Roman" w:hAnsi="Times New Roman" w:eastAsia="Times New Roman" w:cs="Times New Roman"/>
        </w:rPr>
        <w:t xml:space="preserve"> </w:t>
      </w:r>
      <w:r>
        <w:rPr>
          <w:rFonts w:ascii="Nirmala UI" w:hAnsi="Nirmala UI" w:eastAsia="Nirmala UI" w:cs="Nirmala UI"/>
        </w:rPr>
        <w:t>चरित्रेर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हस्तांतरणयोग्य</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अन्नेर</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एटा</w:t>
      </w:r>
      <w:r>
        <w:rPr>
          <w:rFonts w:ascii="Times New Roman" w:hAnsi="Times New Roman" w:eastAsia="Times New Roman" w:cs="Times New Roman"/>
        </w:rPr>
        <w:t xml:space="preserve"> </w:t>
      </w:r>
      <w:r>
        <w:rPr>
          <w:rFonts w:ascii="Nirmala UI" w:hAnsi="Nirmala UI" w:eastAsia="Nirmala UI" w:cs="Nirmala UI"/>
        </w:rPr>
        <w:t>सुनिश्चित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प्रत्तेकेके</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एमान</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अर्जन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पापेर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कलंकेर</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परिशोधित।</w:t>
      </w:r>
      <w:r>
        <w:rPr>
          <w:rFonts w:ascii="Times New Roman" w:hAnsi="Times New Roman" w:eastAsia="Times New Roman" w:cs="Times New Roman"/>
        </w:rPr>
        <w:t>” Bible Echo, May 4, 1896.</w:t>
      </w:r>
    </w:p>
    <w:p>
      <w:pPr>
        <w:pStyle w:val="ArticleBody"/>
        <w:jc w:val="left"/>
      </w:pPr>
      <w:r>
        <w:rPr>
          <w:rFonts w:ascii="Times New Roman" w:hAnsi="Times New Roman" w:eastAsia="Times New Roman" w:cs="Times New Roman"/>
        </w:rPr>
        <w:t>Las vírgenes insensatas no poseen el carácter necesario para salir victoriosas en la crisis que pronto sobrevendrá. Carecen de la justicia de Cristo. Pero el aceite es también un mensaje, y el aceite en la parábola de las diez vírgenes en los «últimos días» es el mensaje final de advertencia representado por la Revelación de Jesucristo, que ha de ser oído, leído y guardado.</w:t>
      </w:r>
    </w:p>
    <w:p>
      <w:pPr>
        <w:pStyle w:val="ArticleScripture"/>
        <w:jc w:val="left"/>
      </w:pPr>
      <w:r>
        <w:rPr>
          <w:rFonts w:ascii="Times New Roman" w:hAnsi="Times New Roman" w:eastAsia="Times New Roman" w:cs="Times New Roman"/>
        </w:rPr>
        <w:t>« Les oints qui se tiennent auprès du Seigneur de toute la terre occupent la position autrefois donnée à Satan comme chérubin protecteur. Par les êtres saints qui entourent son trône, le Seigneur entretient une communication constante avec les habitants de la terre. L’huile d’or représente la grâce par laquelle Dieu maintient remplies les lampes des croyants, afin qu’elles ne vacillent point et ne s’éteignent point. N’était cette huile sainte répandue du ciel dans les messages de l’Esprit de Dieu, les puissances du mal exerceraient sur les hommes un contrôle entier. »</w:t>
      </w:r>
    </w:p>
    <w:p>
      <w:pPr>
        <w:pStyle w:val="ArticleScripture"/>
        <w:jc w:val="left"/>
      </w:pP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বার্তাসমূহ</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অসম্মানিত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সুবর্ণ</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ঢেলে</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অবস্থানকারীদের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পৌঁছে</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আসিতেছে</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সাক্ষাতে</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লালন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মূর্খ</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দেখিবে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সাক্ষাৎ</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সংগ্রহ</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বিপর্যস্ত</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নিবেদন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দেখাও</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ব্যাপ্ত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সুবর্ণ</w:t>
      </w:r>
      <w:r>
        <w:rPr>
          <w:rFonts w:ascii="Times New Roman" w:hAnsi="Times New Roman" w:eastAsia="Times New Roman" w:cs="Times New Roman"/>
        </w:rPr>
        <w:t xml:space="preserve"> </w:t>
      </w:r>
      <w:r>
        <w:rPr>
          <w:rFonts w:ascii="Nirmala UI" w:hAnsi="Nirmala UI" w:eastAsia="Nirmala UI" w:cs="Nirmala UI"/>
        </w:rPr>
        <w:t>নলের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সুবর্ণ</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দ্বারাও</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বাহিনীগণের</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কহেন।</w:t>
      </w:r>
      <w:r>
        <w:rPr>
          <w:rFonts w:ascii="Times New Roman" w:hAnsi="Times New Roman" w:eastAsia="Times New Roman" w:cs="Times New Roman"/>
        </w:rPr>
        <w:t xml:space="preserve">’ </w:t>
      </w:r>
      <w:r>
        <w:rPr>
          <w:rFonts w:ascii="Nirmala UI" w:hAnsi="Nirmala UI" w:eastAsia="Nirmala UI" w:cs="Nirmala UI"/>
        </w:rPr>
        <w:t>ধার্মিকতার</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উজ্জ্বল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সন্তানগণ</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 xml:space="preserve"> </w:t>
      </w:r>
      <w:r>
        <w:rPr>
          <w:rFonts w:ascii="Nirmala UI" w:hAnsi="Nirmala UI" w:eastAsia="Nirmala UI" w:cs="Nirmala UI"/>
        </w:rPr>
        <w:t>দীপস্বরূপ</w:t>
      </w:r>
      <w:r>
        <w:rPr>
          <w:rFonts w:ascii="Times New Roman" w:hAnsi="Times New Roman" w:eastAsia="Times New Roman" w:cs="Times New Roman"/>
        </w:rPr>
        <w:t xml:space="preserve"> </w:t>
      </w:r>
      <w:r>
        <w:rPr>
          <w:rFonts w:ascii="Nirmala UI" w:hAnsi="Nirmala UI" w:eastAsia="Nirmala UI" w:cs="Nirmala UI"/>
        </w:rPr>
        <w:t>জ্বলজ্বল</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Review and Herald, July 20, 1897.</w:t>
      </w:r>
    </w:p>
    <w:p>
      <w:pPr>
        <w:pStyle w:val="ArticleBody"/>
        <w:jc w:val="left"/>
      </w:pP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वार्ता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पुन्हा</w:t>
      </w:r>
      <w:r>
        <w:rPr>
          <w:rFonts w:ascii="Times New Roman" w:hAnsi="Times New Roman" w:eastAsia="Times New Roman" w:cs="Times New Roman"/>
        </w:rPr>
        <w:t xml:space="preserve"> </w:t>
      </w:r>
      <w:r>
        <w:rPr>
          <w:rFonts w:ascii="Nirmala UI" w:hAnsi="Nirmala UI" w:eastAsia="Nirmala UI" w:cs="Nirmala UI"/>
        </w:rPr>
        <w:t>एकदा</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ख्रिस्ताचे</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उताऱ्यात</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होरेबाच्या</w:t>
      </w:r>
      <w:r>
        <w:rPr>
          <w:rFonts w:ascii="Times New Roman" w:hAnsi="Times New Roman" w:eastAsia="Times New Roman" w:cs="Times New Roman"/>
        </w:rPr>
        <w:t xml:space="preserve"> </w:t>
      </w:r>
      <w:r>
        <w:rPr>
          <w:rFonts w:ascii="Nirmala UI" w:hAnsi="Nirmala UI" w:eastAsia="Nirmala UI" w:cs="Nirmala UI"/>
        </w:rPr>
        <w:t>गुहेत</w:t>
      </w:r>
      <w:r>
        <w:rPr>
          <w:rFonts w:ascii="Times New Roman" w:hAnsi="Times New Roman" w:eastAsia="Times New Roman" w:cs="Times New Roman"/>
        </w:rPr>
        <w:t xml:space="preserve"> </w:t>
      </w:r>
      <w:r>
        <w:rPr>
          <w:rFonts w:ascii="Nirmala UI" w:hAnsi="Nirmala UI" w:eastAsia="Nirmala UI" w:cs="Nirmala UI"/>
        </w:rPr>
        <w:t>मोशेने</w:t>
      </w:r>
      <w:r>
        <w:rPr>
          <w:rFonts w:ascii="Times New Roman" w:hAnsi="Times New Roman" w:eastAsia="Times New Roman" w:cs="Times New Roman"/>
        </w:rPr>
        <w:t xml:space="preserve"> </w:t>
      </w:r>
      <w:r>
        <w:rPr>
          <w:rFonts w:ascii="Nirmala UI" w:hAnsi="Nirmala UI" w:eastAsia="Nirmala UI" w:cs="Nirmala UI"/>
        </w:rPr>
        <w:t>जशी</w:t>
      </w:r>
      <w:r>
        <w:rPr>
          <w:rFonts w:ascii="Times New Roman" w:hAnsi="Times New Roman" w:eastAsia="Times New Roman" w:cs="Times New Roman"/>
        </w:rPr>
        <w:t xml:space="preserve"> </w:t>
      </w:r>
      <w:r>
        <w:rPr>
          <w:rFonts w:ascii="Nirmala UI" w:hAnsi="Nirmala UI" w:eastAsia="Nirmala UI" w:cs="Nirmala UI"/>
        </w:rPr>
        <w:t>देवाकडे</w:t>
      </w:r>
      <w:r>
        <w:rPr>
          <w:rFonts w:ascii="Times New Roman" w:hAnsi="Times New Roman" w:eastAsia="Times New Roman" w:cs="Times New Roman"/>
        </w:rPr>
        <w:t xml:space="preserve"> </w:t>
      </w:r>
      <w:r>
        <w:rPr>
          <w:rFonts w:ascii="Nirmala UI" w:hAnsi="Nirmala UI" w:eastAsia="Nirmala UI" w:cs="Nirmala UI"/>
        </w:rPr>
        <w:t>विनवणी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तशीच</w:t>
      </w:r>
      <w:r>
        <w:rPr>
          <w:rFonts w:ascii="Times New Roman" w:hAnsi="Times New Roman" w:eastAsia="Times New Roman" w:cs="Times New Roman"/>
        </w:rPr>
        <w:t xml:space="preserve"> </w:t>
      </w:r>
      <w:r>
        <w:rPr>
          <w:rFonts w:ascii="Nirmala UI" w:hAnsi="Nirmala UI" w:eastAsia="Nirmala UI" w:cs="Nirmala UI"/>
        </w:rPr>
        <w:t>करावी</w:t>
      </w:r>
      <w:r>
        <w:rPr>
          <w:rFonts w:ascii="Times New Roman" w:hAnsi="Times New Roman" w:eastAsia="Times New Roman" w:cs="Times New Roman"/>
        </w:rPr>
        <w:t xml:space="preserve"> </w:t>
      </w:r>
      <w:r>
        <w:rPr>
          <w:rFonts w:ascii="Nirmala UI" w:hAnsi="Nirmala UI" w:eastAsia="Nirmala UI" w:cs="Nirmala UI"/>
        </w:rPr>
        <w:t>लागेल</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लक्ष</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मोशेने</w:t>
      </w:r>
      <w:r>
        <w:rPr>
          <w:rFonts w:ascii="Times New Roman" w:hAnsi="Times New Roman" w:eastAsia="Times New Roman" w:cs="Times New Roman"/>
        </w:rPr>
        <w:t xml:space="preserve"> </w:t>
      </w:r>
      <w:r>
        <w:rPr>
          <w:rFonts w:ascii="Nirmala UI" w:hAnsi="Nirmala UI" w:eastAsia="Nirmala UI" w:cs="Nirmala UI"/>
        </w:rPr>
        <w:t>जशी</w:t>
      </w:r>
      <w:r>
        <w:rPr>
          <w:rFonts w:ascii="Times New Roman" w:hAnsi="Times New Roman" w:eastAsia="Times New Roman" w:cs="Times New Roman"/>
        </w:rPr>
        <w:t xml:space="preserve"> </w:t>
      </w:r>
      <w:r>
        <w:rPr>
          <w:rFonts w:ascii="Nirmala UI" w:hAnsi="Nirmala UI" w:eastAsia="Nirmala UI" w:cs="Nirmala UI"/>
        </w:rPr>
        <w:t>विनवणी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तशी</w:t>
      </w:r>
      <w:r>
        <w:rPr>
          <w:rFonts w:ascii="Times New Roman" w:hAnsi="Times New Roman" w:eastAsia="Times New Roman" w:cs="Times New Roman"/>
        </w:rPr>
        <w:t xml:space="preserve"> </w:t>
      </w:r>
      <w:r>
        <w:rPr>
          <w:rFonts w:ascii="Nirmala UI" w:hAnsi="Nirmala UI" w:eastAsia="Nirmala UI" w:cs="Nirmala UI"/>
        </w:rPr>
        <w:t>विनवणी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गौरव</w:t>
      </w:r>
      <w:r>
        <w:rPr>
          <w:rFonts w:ascii="Times New Roman" w:hAnsi="Times New Roman" w:eastAsia="Times New Roman" w:cs="Times New Roman"/>
        </w:rPr>
        <w:t xml:space="preserve">” </w:t>
      </w:r>
      <w:r>
        <w:rPr>
          <w:rFonts w:ascii="Nirmala UI" w:hAnsi="Nirmala UI" w:eastAsia="Nirmala UI" w:cs="Nirmala UI"/>
        </w:rPr>
        <w:t>आम्हाला</w:t>
      </w:r>
      <w:r>
        <w:rPr>
          <w:rFonts w:ascii="Times New Roman" w:hAnsi="Times New Roman" w:eastAsia="Times New Roman" w:cs="Times New Roman"/>
        </w:rPr>
        <w:t xml:space="preserve"> “</w:t>
      </w:r>
      <w:r>
        <w:rPr>
          <w:rFonts w:ascii="Nirmala UI" w:hAnsi="Nirmala UI" w:eastAsia="Nirmala UI" w:cs="Nirmala UI"/>
        </w:rPr>
        <w:t>दाखवावे</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आपल्याला</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आत्म्याची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सांत्वनकर्ता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करावी</w:t>
      </w:r>
      <w:r>
        <w:rPr>
          <w:rFonts w:ascii="Times New Roman" w:hAnsi="Times New Roman" w:eastAsia="Times New Roman" w:cs="Times New Roman"/>
        </w:rPr>
        <w:t xml:space="preserve"> </w:t>
      </w:r>
      <w:r>
        <w:rPr>
          <w:rFonts w:ascii="Nirmala UI" w:hAnsi="Nirmala UI" w:eastAsia="Nirmala UI" w:cs="Nirmala UI"/>
        </w:rPr>
        <w:t>लागेल</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केल्यास</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सुवर्णनलिकांच्या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धार्मिकतेतून</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विनवणी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ख्रिस्ताचा</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w:t>
      </w:r>
      <w:r>
        <w:rPr>
          <w:rFonts w:ascii="Nirmala UI" w:hAnsi="Nirmala UI" w:eastAsia="Nirmala UI" w:cs="Nirmala UI"/>
        </w:rPr>
        <w:t>अॅडव्हेंटिझमच्या</w:t>
      </w:r>
      <w:r>
        <w:rPr>
          <w:rFonts w:ascii="Times New Roman" w:hAnsi="Times New Roman" w:eastAsia="Times New Roman" w:cs="Times New Roman"/>
        </w:rPr>
        <w:t xml:space="preserve"> </w:t>
      </w:r>
      <w:r>
        <w:rPr>
          <w:rFonts w:ascii="Nirmala UI" w:hAnsi="Nirmala UI" w:eastAsia="Nirmala UI" w:cs="Nirmala UI"/>
        </w:rPr>
        <w:t>परंपरा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रूढी</w:t>
      </w:r>
      <w:r>
        <w:rPr>
          <w:rFonts w:ascii="Times New Roman" w:hAnsi="Times New Roman" w:eastAsia="Times New Roman" w:cs="Times New Roman"/>
        </w:rPr>
        <w:t xml:space="preserve"> </w:t>
      </w:r>
      <w:r>
        <w:rPr>
          <w:rFonts w:ascii="Nirmala UI" w:hAnsi="Nirmala UI" w:eastAsia="Nirmala UI" w:cs="Nirmala UI"/>
        </w:rPr>
        <w:t>सांगतात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पाहिजे</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प्रकटीकरणाची</w:t>
      </w:r>
      <w:r>
        <w:rPr>
          <w:rFonts w:ascii="Times New Roman" w:hAnsi="Times New Roman" w:eastAsia="Times New Roman" w:cs="Times New Roman"/>
        </w:rPr>
        <w:t xml:space="preserve"> </w:t>
      </w:r>
      <w:r>
        <w:rPr>
          <w:rFonts w:ascii="Nirmala UI" w:hAnsi="Nirmala UI" w:eastAsia="Nirmala UI" w:cs="Nirmala UI"/>
        </w:rPr>
        <w:t>वार्ता</w:t>
      </w:r>
      <w:r>
        <w:rPr>
          <w:rFonts w:ascii="Times New Roman" w:hAnsi="Times New Roman" w:eastAsia="Times New Roman" w:cs="Times New Roman"/>
        </w:rPr>
        <w:t xml:space="preserve"> </w:t>
      </w:r>
      <w:r>
        <w:rPr>
          <w:rFonts w:ascii="Nirmala UI" w:hAnsi="Nirmala UI" w:eastAsia="Nirmala UI" w:cs="Nirmala UI"/>
        </w:rPr>
        <w:t>नाकारत</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स्वतःलाच</w:t>
      </w:r>
      <w:r>
        <w:rPr>
          <w:rFonts w:ascii="Times New Roman" w:hAnsi="Times New Roman" w:eastAsia="Times New Roman" w:cs="Times New Roman"/>
        </w:rPr>
        <w:t xml:space="preserve"> </w:t>
      </w:r>
      <w:r>
        <w:rPr>
          <w:rFonts w:ascii="Nirmala UI" w:hAnsi="Nirmala UI" w:eastAsia="Nirmala UI" w:cs="Nirmala UI"/>
        </w:rPr>
        <w:t>फसवितो</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आपल्यापर्यंत</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आत्म्याच्या</w:t>
      </w:r>
      <w:r>
        <w:rPr>
          <w:rFonts w:ascii="Times New Roman" w:hAnsi="Times New Roman" w:eastAsia="Times New Roman" w:cs="Times New Roman"/>
        </w:rPr>
        <w:t xml:space="preserve"> </w:t>
      </w:r>
      <w:r>
        <w:rPr>
          <w:rFonts w:ascii="Nirmala UI" w:hAnsi="Nirmala UI" w:eastAsia="Nirmala UI" w:cs="Nirmala UI"/>
        </w:rPr>
        <w:t>संदेशांद्वारे</w:t>
      </w:r>
      <w:r>
        <w:rPr>
          <w:rFonts w:ascii="Times New Roman" w:hAnsi="Times New Roman" w:eastAsia="Times New Roman" w:cs="Times New Roman"/>
        </w:rPr>
        <w:t xml:space="preserve">” </w:t>
      </w:r>
      <w:r>
        <w:rPr>
          <w:rFonts w:ascii="Nirmala UI" w:hAnsi="Nirmala UI" w:eastAsia="Nirmala UI" w:cs="Nirmala UI"/>
        </w:rPr>
        <w:t>पोहोचविली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सिंहासनासमोर</w:t>
      </w:r>
      <w:r>
        <w:rPr>
          <w:rFonts w:ascii="Times New Roman" w:hAnsi="Times New Roman" w:eastAsia="Times New Roman" w:cs="Times New Roman"/>
        </w:rPr>
        <w:t xml:space="preserve"> </w:t>
      </w:r>
      <w:r>
        <w:rPr>
          <w:rFonts w:ascii="Nirmala UI" w:hAnsi="Nirmala UI" w:eastAsia="Nirmala UI" w:cs="Nirmala UI"/>
        </w:rPr>
        <w:t>उभ्या</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अभिषिक्तांच्या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पोहोचविले</w:t>
      </w:r>
      <w:r>
        <w:rPr>
          <w:rFonts w:ascii="Times New Roman" w:hAnsi="Times New Roman" w:eastAsia="Times New Roman" w:cs="Times New Roman"/>
        </w:rPr>
        <w:t xml:space="preserve"> </w:t>
      </w:r>
      <w:r>
        <w:rPr>
          <w:rFonts w:ascii="Nirmala UI" w:hAnsi="Nirmala UI" w:eastAsia="Nirmala UI" w:cs="Nirmala UI"/>
        </w:rPr>
        <w:t>जातात</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वार्ता</w:t>
      </w:r>
      <w:r>
        <w:rPr>
          <w:rFonts w:ascii="Times New Roman" w:hAnsi="Times New Roman" w:eastAsia="Times New Roman" w:cs="Times New Roman"/>
        </w:rPr>
        <w:t xml:space="preserve"> </w:t>
      </w:r>
      <w:r>
        <w:rPr>
          <w:rFonts w:ascii="Nirmala UI" w:hAnsi="Nirmala UI" w:eastAsia="Nirmala UI" w:cs="Nirmala UI"/>
        </w:rPr>
        <w:t>नाकारतो</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धार्मिकताही</w:t>
      </w:r>
      <w:r>
        <w:rPr>
          <w:rFonts w:ascii="Times New Roman" w:hAnsi="Times New Roman" w:eastAsia="Times New Roman" w:cs="Times New Roman"/>
        </w:rPr>
        <w:t xml:space="preserve"> </w:t>
      </w:r>
      <w:r>
        <w:rPr>
          <w:rFonts w:ascii="Nirmala UI" w:hAnsi="Nirmala UI" w:eastAsia="Nirmala UI" w:cs="Nirmala UI"/>
        </w:rPr>
        <w:t>नाकारतो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Зарәту уан, уа айттым уған: «Шамдалдың оң жағындағы және сол жағындағы мына екі зәйтүн ағашы не?» Тағы жауап беріп, уған айттым: «Өздерінен алтын майды ағызып шығаратын екі алтын түтік арқылы тұрған мына екі зәйтүн бұтағы не?» Сонда ол маған жауап беріп, айтты: «Бұлардың не екенін білмейсің бе?» Ал мен: «Жоқ, тақсыр», — дедім. Сонда ол айтты: «Бұлар — бүкіл жердің Иесінің қасында тұратын екі майланған жан». Зәкәрия 4:11–14.</w:t>
      </w:r>
    </w:p>
    <w:p>
      <w:pPr>
        <w:pStyle w:val="ArticleBody"/>
        <w:jc w:val="left"/>
      </w:pPr>
      <w:r>
        <w:rPr>
          <w:rFonts w:ascii="Times New Roman" w:hAnsi="Times New Roman" w:eastAsia="Times New Roman" w:cs="Times New Roman"/>
        </w:rPr>
        <w:t>Ҷаҳанниң барлиқ йериниң Рәббиниң йенида турадиған бу икки «мәсиһ қилинған зат» йәнә Вәһий китавиниң он биринчи бабидики икки гувач сүпитидә һәм тәсвирләнгән.</w:t>
      </w:r>
    </w:p>
    <w:p>
      <w:pPr>
        <w:pStyle w:val="ArticleScripture"/>
        <w:jc w:val="left"/>
      </w:pPr>
      <w:r>
        <w:rPr>
          <w:rFonts w:ascii="Times New Roman" w:hAnsi="Times New Roman" w:eastAsia="Times New Roman" w:cs="Times New Roman"/>
        </w:rPr>
        <w:t>«Бу икки гуваһ һәққидә пәйғәмбәр йәниму мундақ дәп җакарлайду: “Булар йәрниң Худаси алдида туридиған икки зәйтун дәриғи вә икки шамдантур.”» «Сөзиң,» дәп ейтти мәдһийәчи, «путлиримға чирақ, йолумға нурдур.» Аян 11:4; Зәбур 119:105. Бу икки гуваһ Қедимки вә Йеңи Әһдиниң Муқәддәс Язмиларини ипадиләйду. Улуқ Күрәш, 267.</w:t>
      </w:r>
    </w:p>
    <w:p>
      <w:pPr>
        <w:pStyle w:val="ArticleBody"/>
        <w:jc w:val="left"/>
      </w:pPr>
      <w:r>
        <w:rPr>
          <w:rFonts w:ascii="Times New Roman" w:hAnsi="Times New Roman" w:eastAsia="Times New Roman" w:cs="Times New Roman"/>
        </w:rPr>
        <w:t>چاہے ہم دو گواہوں کے بارے میں زکریاہ کی گواہی پر غور کریں یا یوحنا کی، ان دونوں میں سے ہر ایک گواہی کا سیاق و سباق ابلاغ کے اُس عمل سے متعلق ہے جو مکاشفۂ یسوع مسیح کے پیغام کے ساتھ مکاشفہ باب اوّل آیت اوّل میں مذکور سب سے پہلی حقیقت ہے۔ باپ سے، بیٹے تک، فرشتوں تک، ایک نبی تک، کلیسیا تک۔ وہ عمل جس کے ذریعے مسیح بنی نوعِ انسان سے کلام کرتا ہے، ایک نہایت اہم فہم ہے جسے وہ آخری تنبیہی پیغام کے اندر آشکار کرنا چاہتا ہے۔ یہ پہلی اور تیسری فرشتہ کی بشارتوں کی پیشکش میں پائے جانے والے زور کے عین مطابق ہے۔</w:t>
      </w:r>
    </w:p>
    <w:p>
      <w:pPr>
        <w:pStyle w:val="ArticleBody"/>
        <w:jc w:val="left"/>
      </w:pPr>
      <w:r>
        <w:rPr>
          <w:rFonts w:ascii="Times New Roman" w:hAnsi="Times New Roman" w:eastAsia="Times New Roman" w:cs="Times New Roman"/>
        </w:rPr>
        <w:t>Першого ангела вістка представлена Вільямом Міллером. Міллер має кілька пророчих ознак, які необхідно визнати. Він був «Батьком» руху, що, в поняттях Альфи й Омеги, вимагає наявності сина. Він уособлював рух, представлений назвою «Millerite», яка є словом на позначення певного виду каменю. Його було використано для упорядкування сукупності біблійних правил пророчого тлумачення. Ці правила стають головною складовою передання вісток Духа Божого, які або були відкинуті, або прийняті, коли представники покоління Міллера обирали, чи залишатися у своєму нерозумному лаодикійському стані, чи стати мудрими філадельфійцями. Як батько вістки першого ангела, він є прообразом руху, який проголосить вістку третього ангела, а розуміння цієї вістки в тому русі буде спрямовуватися особливим набором біблійних правил пророчого тлумачення, що утверджують вістку третього ангела так само твердо, як Міллер був використаний для утвердження вістки першого ангела. Бог ніколи не змінюється, Ісус Христос учора, і сьогодні, і навіки Той Самий.</w:t>
      </w:r>
    </w:p>
    <w:p>
      <w:pPr>
        <w:pStyle w:val="ArticleScripture"/>
        <w:jc w:val="left"/>
      </w:pPr>
      <w:r>
        <w:rPr>
          <w:rFonts w:ascii="Times New Roman" w:hAnsi="Times New Roman" w:eastAsia="Times New Roman" w:cs="Times New Roman"/>
        </w:rPr>
        <w:t>Na myece, benne wɛ yedɔ wɔn. Akyɛde pa biara ne akyɛde a ɛyɛ pɛ no fi soro, na efi Hann Agya no nkyɛn ba fam, nea nsakrae biara nni ne mu, na nsakrae sunsuma mpo nni ne ho. Ɔno ara ne n’apɛde mu na ɔnam nokware asɛm no so woo yɛn, sɛnea ɛbɛyɛ a yɛbɛyɛ ne abɔde mu aba a edi kan bi. Yakobo 1:16–18.</w:t>
      </w:r>
    </w:p>
    <w:p>
      <w:pPr>
        <w:pStyle w:val="ArticleBody"/>
        <w:jc w:val="left"/>
      </w:pPr>
      <w:r>
        <w:rPr>
          <w:rFonts w:ascii="Times New Roman" w:hAnsi="Times New Roman" w:eastAsia="Times New Roman" w:cs="Times New Roman"/>
        </w:rPr>
        <w:t>Адвентизмниң бешида яки ахирида, май билән ипадиләнгән Худаниң Роһиниң хәвири икки гувачи арқилиқ йәткүзүлиду. Башлиништа Миллерчилар билән бу икки гувачи Кона вә Йеңи Әһдиләр еди; ахирида болса улар Муқәддәс Китаб вә Пәйғәмбәрлик Роһидур. Шуниң үчүн тәһқиқат һөкүминиң ахирқи күнлиридики Худаниң хәлқиниң ахирини әң мукәммәл шәкилдә тәсвирләйдиған Йоһан Патмос арилида еди.</w:t>
      </w:r>
    </w:p>
    <w:p>
      <w:pPr>
        <w:pStyle w:val="ArticleScripture"/>
        <w:jc w:val="left"/>
      </w:pPr>
      <w:r>
        <w:rPr>
          <w:rFonts w:ascii="Times New Roman" w:hAnsi="Times New Roman" w:eastAsia="Times New Roman" w:cs="Times New Roman"/>
        </w:rPr>
        <w:t>Ndzi Yohane, loyi na mina ndzi nga makwenu, ni munghana wa n’wina eku xanisekeni, ni le ku fumeni, ni le ku lehiseleni mbilu ka Yesu Kriste, a ndzi ri exihlaleni lexi vuriwaka Patmo, hikwalaho ka rito ra Xikwembu, ni hikwalaho ka vumbhoni bya Yesu Kriste. Nhlavutelo 1:9.</w:t>
      </w:r>
    </w:p>
    <w:p>
      <w:pPr>
        <w:pStyle w:val="ArticleBody"/>
        <w:jc w:val="left"/>
      </w:pPr>
      <w:r>
        <w:rPr>
          <w:rFonts w:ascii="Times New Roman" w:hAnsi="Times New Roman" w:eastAsia="Times New Roman" w:cs="Times New Roman"/>
        </w:rPr>
        <w:t>پەتمۆس لە چوارچێوەی پێشبینی‌دا ئەوە نیشان دەدات کە یۆحەنا لە ژێر چەوساندنەوەدا بوو. ئەو بۆ وەرگرتنی پەیامەکانی ڕۆحی خودا، کە لە ڕێگەی کتێبی پیرۆز و ڕۆحی پێشبینیەوە ئاشکرابوونی عیسای مەسیح دەناسنێن، چەوسێندرابوو.</w:t>
      </w:r>
    </w:p>
    <w:p>
      <w:pPr>
        <w:pStyle w:val="ArticleBody"/>
        <w:jc w:val="left"/>
      </w:pPr>
      <w:r>
        <w:rPr>
          <w:rFonts w:ascii="Times New Roman" w:hAnsi="Times New Roman" w:eastAsia="Times New Roman" w:cs="Times New Roman"/>
        </w:rPr>
        <w:t>خوداي «دوایي وراز» خەڵکەکان کە دەچنە ژێر چەوساندن، هەروەها لە ئاشکرادانی یازدەدا نیشان دراون کاتێک دوو شایەتەکە لە شەقامەکاندا دەکوژرێن و هەمووان بە مردنیان شاد دەبن. لە بەشی یازدەدا ئەو دوو شایەتە ئەلیاس و موسان. بۆ ماوەی سێ ساڵ و نیوە شایەتییان داوە، پاشان کوژران، بەڵام دوای ئەوە زیندوو کرانەوە.</w:t>
      </w:r>
    </w:p>
    <w:p>
      <w:pPr>
        <w:pStyle w:val="ArticleBody"/>
        <w:jc w:val="left"/>
      </w:pPr>
      <w:r>
        <w:rPr>
          <w:rFonts w:ascii="Leelawadee UI" w:hAnsi="Leelawadee UI" w:eastAsia="Leelawadee UI" w:cs="Leelawadee UI"/>
        </w:rPr>
        <w:t>ນັກພະຍາກອນທັງຫລາຍເວົ້າເຖິງວັນສຸດທ້າຍຫລາຍກວ່າທີ່ເຂົາເວົ້າເຖິງປະຫວັດຂອງຍຸກຂອງຕົນເອງ</w:t>
      </w:r>
      <w:r>
        <w:rPr>
          <w:rFonts w:ascii="Times New Roman" w:hAnsi="Times New Roman" w:eastAsia="Times New Roman" w:cs="Times New Roman"/>
        </w:rPr>
        <w:t xml:space="preserve">, </w:t>
      </w:r>
      <w:r>
        <w:rPr>
          <w:rFonts w:ascii="Leelawadee UI" w:hAnsi="Leelawadee UI" w:eastAsia="Leelawadee UI" w:cs="Leelawadee UI"/>
        </w:rPr>
        <w:t>ດັ່ງນັ້ນ</w:t>
      </w:r>
      <w:r>
        <w:rPr>
          <w:rFonts w:ascii="Times New Roman" w:hAnsi="Times New Roman" w:eastAsia="Times New Roman" w:cs="Times New Roman"/>
        </w:rPr>
        <w:t xml:space="preserve"> </w:t>
      </w:r>
      <w:r>
        <w:rPr>
          <w:rFonts w:ascii="Leelawadee UI" w:hAnsi="Leelawadee UI" w:eastAsia="Leelawadee UI" w:cs="Leelawadee UI"/>
        </w:rPr>
        <w:t>ຖ້າເຄີຍມີປຶ້ມໃດທີ່ກ່າວເຖິງວັນສຸດທ້າຍ</w:t>
      </w:r>
      <w:r>
        <w:rPr>
          <w:rFonts w:ascii="Times New Roman" w:hAnsi="Times New Roman" w:eastAsia="Times New Roman" w:cs="Times New Roman"/>
        </w:rPr>
        <w:t xml:space="preserve"> </w:t>
      </w:r>
      <w:r>
        <w:rPr>
          <w:rFonts w:ascii="Leelawadee UI" w:hAnsi="Leelawadee UI" w:eastAsia="Leelawadee UI" w:cs="Leelawadee UI"/>
        </w:rPr>
        <w:t>ປຶ້ມນັ້ນກໍແມ່ນພຣະນິມິດ</w:t>
      </w:r>
      <w:r>
        <w:rPr>
          <w:rFonts w:ascii="Times New Roman" w:hAnsi="Times New Roman" w:eastAsia="Times New Roman" w:cs="Times New Roman"/>
        </w:rPr>
        <w:t xml:space="preserve"> </w:t>
      </w:r>
      <w:r>
        <w:rPr>
          <w:rFonts w:ascii="Leelawadee UI" w:hAnsi="Leelawadee UI" w:eastAsia="Leelawadee UI" w:cs="Leelawadee UI"/>
        </w:rPr>
        <w:t>ບ່ອນທີ່ປຶ້ມທັງຫມົດຂອງພຣະຄຳພີມາພົບກັນແລະຈົບລົງ</w:t>
      </w:r>
      <w:r>
        <w:rPr>
          <w:rFonts w:ascii="Times New Roman" w:hAnsi="Times New Roman" w:eastAsia="Times New Roman" w:cs="Times New Roman"/>
        </w:rPr>
        <w:t xml:space="preserve">. </w:t>
      </w:r>
      <w:r>
        <w:rPr>
          <w:rFonts w:ascii="Leelawadee UI" w:hAnsi="Leelawadee UI" w:eastAsia="Leelawadee UI" w:cs="Leelawadee UI"/>
        </w:rPr>
        <w:t>ດັ່ງນັ້ນ</w:t>
      </w:r>
      <w:r>
        <w:rPr>
          <w:rFonts w:ascii="Times New Roman" w:hAnsi="Times New Roman" w:eastAsia="Times New Roman" w:cs="Times New Roman"/>
        </w:rPr>
        <w:t xml:space="preserve"> </w:t>
      </w:r>
      <w:r>
        <w:rPr>
          <w:rFonts w:ascii="Leelawadee UI" w:hAnsi="Leelawadee UI" w:eastAsia="Leelawadee UI" w:cs="Leelawadee UI"/>
        </w:rPr>
        <w:t>ໃນວັນສຸດທ້າຍຈະຕ້ອງມີ</w:t>
      </w:r>
      <w:r>
        <w:rPr>
          <w:rFonts w:ascii="Times New Roman" w:hAnsi="Times New Roman" w:eastAsia="Times New Roman" w:cs="Times New Roman"/>
        </w:rPr>
        <w:t xml:space="preserve"> “</w:t>
      </w:r>
      <w:r>
        <w:rPr>
          <w:rFonts w:ascii="Leelawadee UI" w:hAnsi="Leelawadee UI" w:eastAsia="Leelawadee UI" w:cs="Leelawadee UI"/>
        </w:rPr>
        <w:t>ຂ່າວສານ</w:t>
      </w:r>
      <w:r>
        <w:rPr>
          <w:rFonts w:ascii="Times New Roman" w:hAnsi="Times New Roman" w:eastAsia="Times New Roman" w:cs="Times New Roman"/>
        </w:rPr>
        <w:t xml:space="preserve">” </w:t>
      </w:r>
      <w:r>
        <w:rPr>
          <w:rFonts w:ascii="Leelawadee UI" w:hAnsi="Leelawadee UI" w:eastAsia="Leelawadee UI" w:cs="Leelawadee UI"/>
        </w:rPr>
        <w:t>ຫນຶ່ງທີ່ຖືກສັງຫານ</w:t>
      </w:r>
      <w:r>
        <w:rPr>
          <w:rFonts w:ascii="Times New Roman" w:hAnsi="Times New Roman" w:eastAsia="Times New Roman" w:cs="Times New Roman"/>
        </w:rPr>
        <w:t xml:space="preserve"> </w:t>
      </w:r>
      <w:r>
        <w:rPr>
          <w:rFonts w:ascii="Leelawadee UI" w:hAnsi="Leelawadee UI" w:eastAsia="Leelawadee UI" w:cs="Leelawadee UI"/>
        </w:rPr>
        <w:t>ແລະຕໍ່ຈາກນັ້ນກໍຖືກຟື້ນຄືນອີກ</w:t>
      </w:r>
      <w:r>
        <w:rPr>
          <w:rFonts w:ascii="Times New Roman" w:hAnsi="Times New Roman" w:eastAsia="Times New Roman" w:cs="Times New Roman"/>
        </w:rPr>
        <w:t xml:space="preserve">. </w:t>
      </w:r>
      <w:r>
        <w:rPr>
          <w:rFonts w:ascii="Leelawadee UI" w:hAnsi="Leelawadee UI" w:eastAsia="Leelawadee UI" w:cs="Leelawadee UI"/>
        </w:rPr>
        <w:t>ພຣະນິມິດບົດທີ</w:t>
      </w:r>
      <w:r>
        <w:rPr>
          <w:rFonts w:ascii="Times New Roman" w:hAnsi="Times New Roman" w:eastAsia="Times New Roman" w:cs="Times New Roman"/>
        </w:rPr>
        <w:t xml:space="preserve"> 11 </w:t>
      </w:r>
      <w:r>
        <w:rPr>
          <w:rFonts w:ascii="Leelawadee UI" w:hAnsi="Leelawadee UI" w:eastAsia="Leelawadee UI" w:cs="Leelawadee UI"/>
        </w:rPr>
        <w:t>ໄດ້ສະແດງພາບປະຫວັດຂອງການປະຕິວັດຝຣັ່ງ</w:t>
      </w:r>
      <w:r>
        <w:rPr>
          <w:rFonts w:ascii="Times New Roman" w:hAnsi="Times New Roman" w:eastAsia="Times New Roman" w:cs="Times New Roman"/>
        </w:rPr>
        <w:t xml:space="preserve">, </w:t>
      </w:r>
      <w:r>
        <w:rPr>
          <w:rFonts w:ascii="Leelawadee UI" w:hAnsi="Leelawadee UI" w:eastAsia="Leelawadee UI" w:cs="Leelawadee UI"/>
        </w:rPr>
        <w:t>ແຕ່ໃນທາງທີ່ກົງກວ່ານັ້ນ</w:t>
      </w:r>
      <w:r>
        <w:rPr>
          <w:rFonts w:ascii="Times New Roman" w:hAnsi="Times New Roman" w:eastAsia="Times New Roman" w:cs="Times New Roman"/>
        </w:rPr>
        <w:t xml:space="preserve"> </w:t>
      </w:r>
      <w:r>
        <w:rPr>
          <w:rFonts w:ascii="Leelawadee UI" w:hAnsi="Leelawadee UI" w:eastAsia="Leelawadee UI" w:cs="Leelawadee UI"/>
        </w:rPr>
        <w:t>ມັນສະແດງເຖິງການໂຈມຕີຕໍ່ຂ່າວສານຂອງທູດສະຫວັນອົງທີສາມໃນວັນສຸດທ້າຍ</w:t>
      </w:r>
      <w:r>
        <w:rPr>
          <w:rFonts w:ascii="Times New Roman" w:hAnsi="Times New Roman" w:eastAsia="Times New Roman" w:cs="Times New Roman"/>
        </w:rPr>
        <w:t xml:space="preserve">. </w:t>
      </w:r>
      <w:r>
        <w:rPr>
          <w:rFonts w:ascii="Leelawadee UI" w:hAnsi="Leelawadee UI" w:eastAsia="Leelawadee UI" w:cs="Leelawadee UI"/>
        </w:rPr>
        <w:t>ຂ່າວສານ</w:t>
      </w:r>
      <w:r>
        <w:rPr>
          <w:rFonts w:ascii="Times New Roman" w:hAnsi="Times New Roman" w:eastAsia="Times New Roman" w:cs="Times New Roman"/>
        </w:rPr>
        <w:t xml:space="preserve"> </w:t>
      </w:r>
      <w:r>
        <w:rPr>
          <w:rFonts w:ascii="Leelawadee UI" w:hAnsi="Leelawadee UI" w:eastAsia="Leelawadee UI" w:cs="Leelawadee UI"/>
        </w:rPr>
        <w:t>ແລະຂະບວນການທີ່ຖືກເປັນແບບຢ່າງລ່ວງໜ້າໂດຍຂ່າວສານແລະຂະບວນການຂອງ</w:t>
      </w:r>
      <w:r>
        <w:rPr>
          <w:rFonts w:ascii="Times New Roman" w:hAnsi="Times New Roman" w:eastAsia="Times New Roman" w:cs="Times New Roman"/>
        </w:rPr>
        <w:t xml:space="preserve"> Miller </w:t>
      </w:r>
      <w:r>
        <w:rPr>
          <w:rFonts w:ascii="Leelawadee UI" w:hAnsi="Leelawadee UI" w:eastAsia="Leelawadee UI" w:cs="Leelawadee UI"/>
        </w:rPr>
        <w:t>ໄດ້ຮັບການໂຈມຕີນັ້ນ</w:t>
      </w:r>
      <w:r>
        <w:rPr>
          <w:rFonts w:ascii="Times New Roman" w:hAnsi="Times New Roman" w:eastAsia="Times New Roman" w:cs="Times New Roman"/>
        </w:rPr>
        <w:t xml:space="preserve"> </w:t>
      </w:r>
      <w:r>
        <w:rPr>
          <w:rFonts w:ascii="Leelawadee UI" w:hAnsi="Leelawadee UI" w:eastAsia="Leelawadee UI" w:cs="Leelawadee UI"/>
        </w:rPr>
        <w:t>ແລະໄດ້ຕາຍໃນວັນທີ</w:t>
      </w:r>
      <w:r>
        <w:rPr>
          <w:rFonts w:ascii="Times New Roman" w:hAnsi="Times New Roman" w:eastAsia="Times New Roman" w:cs="Times New Roman"/>
        </w:rPr>
        <w:t xml:space="preserve"> 18 </w:t>
      </w:r>
      <w:r>
        <w:rPr>
          <w:rFonts w:ascii="Leelawadee UI" w:hAnsi="Leelawadee UI" w:eastAsia="Leelawadee UI" w:cs="Leelawadee UI"/>
        </w:rPr>
        <w:t>ກໍລະກົດ</w:t>
      </w:r>
      <w:r>
        <w:rPr>
          <w:rFonts w:ascii="Times New Roman" w:hAnsi="Times New Roman" w:eastAsia="Times New Roman" w:cs="Times New Roman"/>
        </w:rPr>
        <w:t xml:space="preserve"> 2020. </w:t>
      </w:r>
      <w:r>
        <w:rPr>
          <w:rFonts w:ascii="Leelawadee UI" w:hAnsi="Leelawadee UI" w:eastAsia="Leelawadee UI" w:cs="Leelawadee UI"/>
        </w:rPr>
        <w:t>ຕາມພຣະນິມິດບົດທີ</w:t>
      </w:r>
      <w:r>
        <w:rPr>
          <w:rFonts w:ascii="Times New Roman" w:hAnsi="Times New Roman" w:eastAsia="Times New Roman" w:cs="Times New Roman"/>
        </w:rPr>
        <w:t xml:space="preserve"> 11 </w:t>
      </w:r>
      <w:r>
        <w:rPr>
          <w:rFonts w:ascii="Leelawadee UI" w:hAnsi="Leelawadee UI" w:eastAsia="Leelawadee UI" w:cs="Leelawadee UI"/>
        </w:rPr>
        <w:t>ການໂຈມຕີນັ້ນຈະຖືກດຳເນີນໂດຍສັດຮ້າຍທີ່ຂຶ້ນມາຈາກຫຸບເຫວເລິກ</w:t>
      </w:r>
      <w:r>
        <w:rPr>
          <w:rFonts w:ascii="Times New Roman" w:hAnsi="Times New Roman" w:eastAsia="Times New Roman" w:cs="Times New Roman"/>
        </w:rPr>
        <w:t>.</w:t>
      </w:r>
    </w:p>
    <w:p>
      <w:pPr>
        <w:pStyle w:val="ArticleScripture"/>
        <w:jc w:val="left"/>
      </w:pPr>
      <w:r>
        <w:rPr>
          <w:rFonts w:ascii="MV Boli" w:hAnsi="MV Boli" w:eastAsia="MV Boli" w:cs="MV Boli"/>
        </w:rPr>
        <w:t>އެއިން</w:t>
      </w:r>
      <w:r>
        <w:rPr>
          <w:rFonts w:ascii="Times New Roman" w:hAnsi="Times New Roman" w:eastAsia="Times New Roman" w:cs="Times New Roman"/>
        </w:rPr>
        <w:t xml:space="preserve"> </w:t>
      </w:r>
      <w:r>
        <w:rPr>
          <w:rFonts w:ascii="MV Boli" w:hAnsi="MV Boli" w:eastAsia="MV Boli" w:cs="MV Boli"/>
        </w:rPr>
        <w:t>އެބައިމީހުން</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ހެކިވުން</w:t>
      </w:r>
      <w:r>
        <w:rPr>
          <w:rFonts w:ascii="Times New Roman" w:hAnsi="Times New Roman" w:eastAsia="Times New Roman" w:cs="Times New Roman"/>
        </w:rPr>
        <w:t xml:space="preserve"> </w:t>
      </w:r>
      <w:r>
        <w:rPr>
          <w:rFonts w:ascii="MV Boli" w:hAnsi="MV Boli" w:eastAsia="MV Boli" w:cs="MV Boli"/>
        </w:rPr>
        <w:t>ނިންމާއިރު</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ގަޑިއަށް</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ސޫސްތެރި</w:t>
      </w:r>
      <w:r>
        <w:rPr>
          <w:rFonts w:ascii="Times New Roman" w:hAnsi="Times New Roman" w:eastAsia="Times New Roman" w:cs="Times New Roman"/>
        </w:rPr>
        <w:t xml:space="preserve"> </w:t>
      </w:r>
      <w:r>
        <w:rPr>
          <w:rFonts w:ascii="MV Boli" w:hAnsi="MV Boli" w:eastAsia="MV Boli" w:cs="MV Boli"/>
        </w:rPr>
        <w:t>ޖަނަވާރު</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ދެކޮޅަށް</w:t>
      </w:r>
      <w:r>
        <w:rPr>
          <w:rFonts w:ascii="Times New Roman" w:hAnsi="Times New Roman" w:eastAsia="Times New Roman" w:cs="Times New Roman"/>
        </w:rPr>
        <w:t xml:space="preserve"> </w:t>
      </w:r>
      <w:r>
        <w:rPr>
          <w:rFonts w:ascii="MV Boli" w:hAnsi="MV Boli" w:eastAsia="MV Boli" w:cs="MV Boli"/>
        </w:rPr>
        <w:t>ހަނގުރާމަ</w:t>
      </w:r>
      <w:r>
        <w:rPr>
          <w:rFonts w:ascii="Times New Roman" w:hAnsi="Times New Roman" w:eastAsia="Times New Roman" w:cs="Times New Roman"/>
        </w:rPr>
        <w:t xml:space="preserve"> </w:t>
      </w:r>
      <w:r>
        <w:rPr>
          <w:rFonts w:ascii="MV Boli" w:hAnsi="MV Boli" w:eastAsia="MV Boli" w:cs="MV Boli"/>
        </w:rPr>
        <w:t>ކުރާނެއެވެ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މޮޅުވާނެއެވެ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މަރާލާނެއެވެ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މަރުވި</w:t>
      </w:r>
      <w:r>
        <w:rPr>
          <w:rFonts w:ascii="Times New Roman" w:hAnsi="Times New Roman" w:eastAsia="Times New Roman" w:cs="Times New Roman"/>
        </w:rPr>
        <w:t xml:space="preserve"> </w:t>
      </w:r>
      <w:r>
        <w:rPr>
          <w:rFonts w:ascii="MV Boli" w:hAnsi="MV Boli" w:eastAsia="MV Boli" w:cs="MV Boli"/>
        </w:rPr>
        <w:t>ޖިސްމުތައް</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ރަށެއްގެ</w:t>
      </w:r>
      <w:r>
        <w:rPr>
          <w:rFonts w:ascii="Times New Roman" w:hAnsi="Times New Roman" w:eastAsia="Times New Roman" w:cs="Times New Roman"/>
        </w:rPr>
        <w:t xml:space="preserve"> </w:t>
      </w:r>
      <w:r>
        <w:rPr>
          <w:rFonts w:ascii="MV Boli" w:hAnsi="MV Boli" w:eastAsia="MV Boli" w:cs="MV Boli"/>
        </w:rPr>
        <w:t>މަގުމަތީގައި</w:t>
      </w:r>
      <w:r>
        <w:rPr>
          <w:rFonts w:ascii="Times New Roman" w:hAnsi="Times New Roman" w:eastAsia="Times New Roman" w:cs="Times New Roman"/>
        </w:rPr>
        <w:t xml:space="preserve"> </w:t>
      </w:r>
      <w:r>
        <w:rPr>
          <w:rFonts w:ascii="MV Boli" w:hAnsi="MV Boli" w:eastAsia="MV Boli" w:cs="MV Boli"/>
        </w:rPr>
        <w:t>އޮންނާނެއެވެ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ރަށް</w:t>
      </w:r>
      <w:r>
        <w:rPr>
          <w:rFonts w:ascii="Times New Roman" w:hAnsi="Times New Roman" w:eastAsia="Times New Roman" w:cs="Times New Roman"/>
        </w:rPr>
        <w:t xml:space="preserve"> </w:t>
      </w:r>
      <w:r>
        <w:rPr>
          <w:rFonts w:ascii="MV Boli" w:hAnsi="MV Boli" w:eastAsia="MV Boli" w:cs="MV Boli"/>
        </w:rPr>
        <w:t>ރޫޙާނީ</w:t>
      </w:r>
      <w:r>
        <w:rPr>
          <w:rFonts w:ascii="Times New Roman" w:hAnsi="Times New Roman" w:eastAsia="Times New Roman" w:cs="Times New Roman"/>
        </w:rPr>
        <w:t xml:space="preserve"> </w:t>
      </w:r>
      <w:r>
        <w:rPr>
          <w:rFonts w:ascii="MV Boli" w:hAnsi="MV Boli" w:eastAsia="MV Boli" w:cs="MV Boli"/>
        </w:rPr>
        <w:t>މާނައިގައި</w:t>
      </w:r>
      <w:r>
        <w:rPr>
          <w:rFonts w:ascii="Times New Roman" w:hAnsi="Times New Roman" w:eastAsia="Times New Roman" w:cs="Times New Roman"/>
        </w:rPr>
        <w:t xml:space="preserve"> </w:t>
      </w:r>
      <w:r>
        <w:rPr>
          <w:rFonts w:ascii="MV Boli" w:hAnsi="MV Boli" w:eastAsia="MV Boli" w:cs="MV Boli"/>
        </w:rPr>
        <w:t>ސަދޫމު</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މިޞްރު</w:t>
      </w:r>
      <w:r>
        <w:rPr>
          <w:rFonts w:ascii="Times New Roman" w:hAnsi="Times New Roman" w:eastAsia="Times New Roman" w:cs="Times New Roman"/>
        </w:rPr>
        <w:t xml:space="preserve"> </w:t>
      </w:r>
      <w:r>
        <w:rPr>
          <w:rFonts w:ascii="MV Boli" w:hAnsi="MV Boli" w:eastAsia="MV Boli" w:cs="MV Boli"/>
        </w:rPr>
        <w:t>ކިޔައެވެ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ތަނުގައިވެސް</w:t>
      </w:r>
      <w:r>
        <w:rPr>
          <w:rFonts w:ascii="Times New Roman" w:hAnsi="Times New Roman" w:eastAsia="Times New Roman" w:cs="Times New Roman"/>
        </w:rPr>
        <w:t xml:space="preserve"> </w:t>
      </w:r>
      <w:r>
        <w:rPr>
          <w:rFonts w:ascii="MV Boli" w:hAnsi="MV Boli" w:eastAsia="MV Boli" w:cs="MV Boli"/>
        </w:rPr>
        <w:t>އަޅުގެ</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ސަލީބުގައި</w:t>
      </w:r>
      <w:r>
        <w:rPr>
          <w:rFonts w:ascii="Times New Roman" w:hAnsi="Times New Roman" w:eastAsia="Times New Roman" w:cs="Times New Roman"/>
        </w:rPr>
        <w:t xml:space="preserve"> </w:t>
      </w:r>
      <w:r>
        <w:rPr>
          <w:rFonts w:ascii="MV Boli" w:hAnsi="MV Boli" w:eastAsia="MV Boli" w:cs="MV Boli"/>
        </w:rPr>
        <w:t>ޖެހިފައިވެއެވެ</w:t>
      </w:r>
      <w:r>
        <w:rPr>
          <w:rFonts w:ascii="Times New Roman" w:hAnsi="Times New Roman" w:eastAsia="Times New Roman" w:cs="Times New Roman"/>
        </w:rPr>
        <w:t xml:space="preserve">. </w:t>
      </w:r>
      <w:r>
        <w:rPr>
          <w:rFonts w:ascii="MV Boli" w:hAnsi="MV Boli" w:eastAsia="MV Boli" w:cs="MV Boli"/>
        </w:rPr>
        <w:t>ރިވެލޭޝަން</w:t>
      </w:r>
      <w:r>
        <w:rPr>
          <w:rFonts w:ascii="Times New Roman" w:hAnsi="Times New Roman" w:eastAsia="Times New Roman" w:cs="Times New Roman"/>
        </w:rPr>
        <w:t xml:space="preserve"> 11:8، 9.</w:t>
      </w:r>
    </w:p>
    <w:p>
      <w:pPr>
        <w:pStyle w:val="ArticleBody"/>
        <w:jc w:val="left"/>
      </w:pPr>
      <w:r>
        <w:rPr>
          <w:rFonts w:ascii="Times New Roman" w:hAnsi="Times New Roman" w:eastAsia="Times New Roman" w:cs="Times New Roman"/>
        </w:rPr>
        <w:t>Hermana White nos informa que el “abismo” representa una nueva manifestación del poder satánico.</w:t>
      </w:r>
    </w:p>
    <w:p>
      <w:pPr>
        <w:pStyle w:val="ArticleScripture"/>
        <w:jc w:val="left"/>
      </w:pPr>
      <w:r>
        <w:rPr>
          <w:rFonts w:ascii="Times New Roman" w:hAnsi="Times New Roman" w:eastAsia="Times New Roman" w:cs="Times New Roman"/>
        </w:rPr>
        <w:t>“‘Аларнинг гувоҳликлари тугаганда [тугатаётганда].’ Икки гувоҳнинг чопон кийган ҳолда башорат қилиши керак бўлган давр 1798 йилда тугади. Улар ўз ишларининг махфийликдаги якунланишига яқинлашиб келаётганларида, уларга қарши «тубсиз чуқурликдан чиқадиган махлуқ» деб тасвирланган куч томонидан уруш очилиши керак эди. Европанинг кўплаб халқларида жамоат ва давлатда ҳукмронлик қилган кучлар асрлар давомида папалик воситасида Шайтон томонидан бошқариб келинган эди. Аммо бу ерда шайтонга хос кучнинг янги бир намоёни кўз олдимизга келтирилмоқда.” The Great Controversy, 268.</w:t>
      </w:r>
    </w:p>
    <w:p>
      <w:pPr>
        <w:pStyle w:val="ArticleBody"/>
        <w:jc w:val="left"/>
      </w:pPr>
      <w:r>
        <w:rPr>
          <w:rFonts w:ascii="Times New Roman" w:hAnsi="Times New Roman" w:eastAsia="Times New Roman" w:cs="Times New Roman"/>
        </w:rPr>
        <w:t>Ачылыш китабында түпсез упкыннан чыккан өч көч ачыклана: иң башта — Ислам, Ачылышның тугызынчы бүлеге, икенче аятта; икенчесе — Француз революциясенең атеизмы, унберенче бүлекнең сигезенче аятында; өченчесе — хәзерге Рим, унҗиденче бүлекнең сигезенче аятында. Ахыргы көннәрдәге “яңа күренеш”, ул Миллер хәрәкәте белән типлаштырылган хәрәкәткә генә түгел, бәлки бөтен дөньяга да һөҗүм итәчәк, — ул “Woke-ism” дип аталган ялган Төн уртасы авазының ялган уянуы. Woke-ism — “шайтан көченең яңа күренеше”н чагылдыра; аны хәзерге иезуит антихрист яклый һәм ул сәүдәгәрләр, Берләшкән Милләтләр Оешмасының сәяси җитәкчеләре, Америка Кушма Штатларындагы протестантизмның төшкән чиркәүләрендәге либераль вәкилләр, шулай ук RINO-Республикачылар белән берлектәге Демократик партия аша алга сөрелә; боларның барысы да, Ачылышның унберенче бүлегендә “Содом” итеп күрсәтелгәнчә, гомосексуаллар җәмгыятенең бозык яшәү рәвешләренең барлык төрләрен я үстерәләр, я аларны алга сөрүгә юл куялар. Бу өч көч — дөньяны Армагеддонга илтүчеләр, һәм алар шулай ук “Мисыр” белән дә күрсәтелә; бу — атеизм һәм дөньявилык символы. Француз революциясе анархиясе кысаларында урнашкан бу күренеш — шул ук өч көчнең тагын бер элементы, һәм алар бергәләп Уайт апа “явыз конфедерация” дип атаган нәрсәне тәшкил итәләр, — йә турыдан-туры Woke-ism-ны алга сөрәләр, йә аңа юл куялар. Woke-ism — ун кызның уянуының шайтанча ялганы. Бу юнәлешләр буенча безгә тагын сөйләшәсе бар, ләкин иң элек 2020 елның 18 июлендә башкарылган урамдагы үтерүнең нәтиҗәләрен карарга кирәк.</w:t>
      </w:r>
    </w:p>
    <w:p>
      <w:pPr>
        <w:pStyle w:val="ArticleBody"/>
        <w:jc w:val="left"/>
      </w:pPr>
      <w:r>
        <w:rPr>
          <w:rFonts w:ascii="Myanmar Text" w:hAnsi="Myanmar Text" w:eastAsia="Myanmar Text" w:cs="Myanmar Text"/>
        </w:rPr>
        <w:t>တစ်ဖန်လည်း၊</w:t>
      </w:r>
      <w:r>
        <w:rPr>
          <w:rFonts w:ascii="Times New Roman" w:hAnsi="Times New Roman" w:eastAsia="Times New Roman" w:cs="Times New Roman"/>
        </w:rPr>
        <w:t xml:space="preserve"> </w:t>
      </w:r>
      <w:r>
        <w:rPr>
          <w:rFonts w:ascii="Myanmar Text" w:hAnsi="Myanmar Text" w:eastAsia="Myanmar Text" w:cs="Myanmar Text"/>
        </w:rPr>
        <w:t>ချစ်မြတ်နိုးရသော</w:t>
      </w:r>
      <w:r>
        <w:rPr>
          <w:rFonts w:ascii="Times New Roman" w:hAnsi="Times New Roman" w:eastAsia="Times New Roman" w:cs="Times New Roman"/>
        </w:rPr>
        <w:t xml:space="preserve"> </w:t>
      </w:r>
      <w:r>
        <w:rPr>
          <w:rFonts w:ascii="Myanmar Text" w:hAnsi="Myanmar Text" w:eastAsia="Myanmar Text" w:cs="Myanmar Text"/>
        </w:rPr>
        <w:t>စာဖတ်သူခင်ဗျာ၊</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ရီပဘလီကန်ပါတီအား</w:t>
      </w:r>
      <w:r>
        <w:rPr>
          <w:rFonts w:ascii="Times New Roman" w:hAnsi="Times New Roman" w:eastAsia="Times New Roman" w:cs="Times New Roman"/>
        </w:rPr>
        <w:t xml:space="preserve"> </w:t>
      </w:r>
      <w:r>
        <w:rPr>
          <w:rFonts w:ascii="Myanmar Text" w:hAnsi="Myanmar Text" w:eastAsia="Myanmar Text" w:cs="Myanmar Text"/>
        </w:rPr>
        <w:t>ထောက်ခံပေးရန်</w:t>
      </w:r>
      <w:r>
        <w:rPr>
          <w:rFonts w:ascii="Times New Roman" w:hAnsi="Times New Roman" w:eastAsia="Times New Roman" w:cs="Times New Roman"/>
        </w:rPr>
        <w:t xml:space="preserve"> </w:t>
      </w:r>
      <w:r>
        <w:rPr>
          <w:rFonts w:ascii="Myanmar Text" w:hAnsi="Myanmar Text" w:eastAsia="Myanmar Text" w:cs="Myanmar Text"/>
        </w:rPr>
        <w:t>အထောက်အပံ့</w:t>
      </w:r>
      <w:r>
        <w:rPr>
          <w:rFonts w:ascii="Times New Roman" w:hAnsi="Times New Roman" w:eastAsia="Times New Roman" w:cs="Times New Roman"/>
        </w:rPr>
        <w:t xml:space="preserve"> </w:t>
      </w:r>
      <w:r>
        <w:rPr>
          <w:rFonts w:ascii="Myanmar Text" w:hAnsi="Myanmar Text" w:eastAsia="Myanmar Text" w:cs="Myanmar Text"/>
        </w:rPr>
        <w:t>တစ်စုံတစ်ရာမျှ</w:t>
      </w:r>
      <w:r>
        <w:rPr>
          <w:rFonts w:ascii="Times New Roman" w:hAnsi="Times New Roman" w:eastAsia="Times New Roman" w:cs="Times New Roman"/>
        </w:rPr>
        <w:t xml:space="preserve"> </w:t>
      </w:r>
      <w:r>
        <w:rPr>
          <w:rFonts w:ascii="Myanmar Text" w:hAnsi="Myanmar Text" w:eastAsia="Myanmar Text" w:cs="Myanmar Text"/>
        </w:rPr>
        <w:t>မရှိကြောင်း</w:t>
      </w:r>
      <w:r>
        <w:rPr>
          <w:rFonts w:ascii="Times New Roman" w:hAnsi="Times New Roman" w:eastAsia="Times New Roman" w:cs="Times New Roman"/>
        </w:rPr>
        <w:t xml:space="preserve"> </w:t>
      </w:r>
      <w:r>
        <w:rPr>
          <w:rFonts w:ascii="Myanmar Text" w:hAnsi="Myanmar Text" w:eastAsia="Myanmar Text" w:cs="Myanmar Text"/>
        </w:rPr>
        <w:t>နားလည်ပေးပါရန်</w:t>
      </w:r>
      <w:r>
        <w:rPr>
          <w:rFonts w:ascii="Times New Roman" w:hAnsi="Times New Roman" w:eastAsia="Times New Roman" w:cs="Times New Roman"/>
        </w:rPr>
        <w:t xml:space="preserve"> </w:t>
      </w:r>
      <w:r>
        <w:rPr>
          <w:rFonts w:ascii="Myanmar Text" w:hAnsi="Myanmar Text" w:eastAsia="Myanmar Text" w:cs="Myanmar Text"/>
        </w:rPr>
        <w:t>တောင်းဆိုအပ်ပါသည်။</w:t>
      </w:r>
      <w:r>
        <w:rPr>
          <w:rFonts w:ascii="Times New Roman" w:hAnsi="Times New Roman" w:eastAsia="Times New Roman" w:cs="Times New Roman"/>
        </w:rPr>
        <w:t xml:space="preserve"> </w:t>
      </w:r>
      <w:r>
        <w:rPr>
          <w:rFonts w:ascii="Myanmar Text" w:hAnsi="Myanmar Text" w:eastAsia="Myanmar Text" w:cs="Myanmar Text"/>
        </w:rPr>
        <w:t>နိုင်ငံရေးအယူအဆ</w:t>
      </w:r>
      <w:r>
        <w:rPr>
          <w:rFonts w:ascii="Times New Roman" w:hAnsi="Times New Roman" w:eastAsia="Times New Roman" w:cs="Times New Roman"/>
        </w:rPr>
        <w:t xml:space="preserve"> </w:t>
      </w:r>
      <w:r>
        <w:rPr>
          <w:rFonts w:ascii="Myanmar Text" w:hAnsi="Myanmar Text" w:eastAsia="Myanmar Text" w:cs="Myanmar Text"/>
        </w:rPr>
        <w:t>မည်သည့်မျိုး၌မဆို</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ယုံကြည်ကိုးစားမှုထားနိုင်သော</w:t>
      </w:r>
      <w:r>
        <w:rPr>
          <w:rFonts w:ascii="Times New Roman" w:hAnsi="Times New Roman" w:eastAsia="Times New Roman" w:cs="Times New Roman"/>
        </w:rPr>
        <w:t xml:space="preserve"> </w:t>
      </w:r>
      <w:r>
        <w:rPr>
          <w:rFonts w:ascii="Myanmar Text" w:hAnsi="Myanmar Text" w:eastAsia="Myanmar Text" w:cs="Myanmar Text"/>
        </w:rPr>
        <w:t>အရာမရှိပါ။</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ညွှန်ပြနေသည်မှာ</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ပုပ်ရဟန်းမင်းရာထူးတို့အတွင်း</w:t>
      </w:r>
      <w:r>
        <w:rPr>
          <w:rFonts w:ascii="Times New Roman" w:hAnsi="Times New Roman" w:eastAsia="Times New Roman" w:cs="Times New Roman"/>
        </w:rPr>
        <w:t xml:space="preserve"> </w:t>
      </w:r>
      <w:r>
        <w:rPr>
          <w:rFonts w:ascii="Myanmar Text" w:hAnsi="Myanmar Text" w:eastAsia="Myanmar Text" w:cs="Myanmar Text"/>
        </w:rPr>
        <w:t>တည်ရှိလျက်ရှိသော</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လှုပ်ရှားသဘောတရားများကိုသာ</w:t>
      </w:r>
      <w:r>
        <w:rPr>
          <w:rFonts w:ascii="Times New Roman" w:hAnsi="Times New Roman" w:eastAsia="Times New Roman" w:cs="Times New Roman"/>
        </w:rPr>
        <w:t xml:space="preserve"> </w:t>
      </w:r>
      <w:r>
        <w:rPr>
          <w:rFonts w:ascii="Myanmar Text" w:hAnsi="Myanmar Text" w:eastAsia="Myanmar Text" w:cs="Myanmar Text"/>
        </w:rPr>
        <w:t>ဖြစ်ပါသည်။</w:t>
      </w:r>
      <w:r>
        <w:rPr>
          <w:rFonts w:ascii="Times New Roman" w:hAnsi="Times New Roman" w:eastAsia="Times New Roman" w:cs="Times New Roman"/>
        </w:rPr>
        <w:t xml:space="preserve"> </w:t>
      </w:r>
      <w:r>
        <w:rPr>
          <w:rFonts w:ascii="Myanmar Text" w:hAnsi="Myanmar Text" w:eastAsia="Myanmar Text" w:cs="Myanmar Text"/>
        </w:rPr>
        <w:t>ထိုလှုပ်ရှားသဘောတရားများကို</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တနင်္ဂနွေနေ့ဥပဒေတိုင်အောင်</w:t>
      </w:r>
      <w:r>
        <w:rPr>
          <w:rFonts w:ascii="Times New Roman" w:hAnsi="Times New Roman" w:eastAsia="Times New Roman" w:cs="Times New Roman"/>
        </w:rPr>
        <w:t xml:space="preserve"> </w:t>
      </w:r>
      <w:r>
        <w:rPr>
          <w:rFonts w:ascii="Myanmar Text" w:hAnsi="Myanmar Text" w:eastAsia="Myanmar Text" w:cs="Myanmar Text"/>
        </w:rPr>
        <w:t>အပြိုင်သဘောဖြင့်</w:t>
      </w:r>
      <w:r>
        <w:rPr>
          <w:rFonts w:ascii="Times New Roman" w:hAnsi="Times New Roman" w:eastAsia="Times New Roman" w:cs="Times New Roman"/>
        </w:rPr>
        <w:t xml:space="preserve"> </w:t>
      </w:r>
      <w:r>
        <w:rPr>
          <w:rFonts w:ascii="Myanmar Text" w:hAnsi="Myanmar Text" w:eastAsia="Myanmar Text" w:cs="Myanmar Text"/>
        </w:rPr>
        <w:t>တစ်ခုနှင့်တစ်ခု</w:t>
      </w:r>
      <w:r>
        <w:rPr>
          <w:rFonts w:ascii="Times New Roman" w:hAnsi="Times New Roman" w:eastAsia="Times New Roman" w:cs="Times New Roman"/>
        </w:rPr>
        <w:t xml:space="preserve"> </w:t>
      </w:r>
      <w:r>
        <w:rPr>
          <w:rFonts w:ascii="Myanmar Text" w:hAnsi="Myanmar Text" w:eastAsia="Myanmar Text" w:cs="Myanmar Text"/>
        </w:rPr>
        <w:t>ကိုက်ညီနေသော</w:t>
      </w:r>
      <w:r>
        <w:rPr>
          <w:rFonts w:ascii="Times New Roman" w:hAnsi="Times New Roman" w:eastAsia="Times New Roman" w:cs="Times New Roman"/>
        </w:rPr>
        <w:t xml:space="preserve"> </w:t>
      </w:r>
      <w:r>
        <w:rPr>
          <w:rFonts w:ascii="Myanmar Text" w:hAnsi="Myanmar Text" w:eastAsia="Myanmar Text" w:cs="Myanmar Text"/>
        </w:rPr>
        <w:t>ဦးချိုနှစ်ခုကို</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ဆွေးနွေးစတင်သောအခါ</w:t>
      </w:r>
      <w:r>
        <w:rPr>
          <w:rFonts w:ascii="Times New Roman" w:hAnsi="Times New Roman" w:eastAsia="Times New Roman" w:cs="Times New Roman"/>
        </w:rPr>
        <w:t xml:space="preserve"> </w:t>
      </w:r>
      <w:r>
        <w:rPr>
          <w:rFonts w:ascii="Myanmar Text" w:hAnsi="Myanmar Text" w:eastAsia="Myanmar Text" w:cs="Myanmar Text"/>
        </w:rPr>
        <w:t>ပိုမိုတိကျစွာ</w:t>
      </w:r>
      <w:r>
        <w:rPr>
          <w:rFonts w:ascii="Times New Roman" w:hAnsi="Times New Roman" w:eastAsia="Times New Roman" w:cs="Times New Roman"/>
        </w:rPr>
        <w:t xml:space="preserve"> </w:t>
      </w:r>
      <w:r>
        <w:rPr>
          <w:rFonts w:ascii="Myanmar Text" w:hAnsi="Myanmar Text" w:eastAsia="Myanmar Text" w:cs="Myanmar Text"/>
        </w:rPr>
        <w:t>ကိုင်တွယ်ဖော်ပြသွားမည်</w:t>
      </w:r>
      <w:r>
        <w:rPr>
          <w:rFonts w:ascii="Times New Roman" w:hAnsi="Times New Roman" w:eastAsia="Times New Roman" w:cs="Times New Roman"/>
        </w:rPr>
        <w:t xml:space="preserve"> </w:t>
      </w:r>
      <w:r>
        <w:rPr>
          <w:rFonts w:ascii="Myanmar Text" w:hAnsi="Myanmar Text" w:eastAsia="Myanmar Text" w:cs="Myanmar Text"/>
        </w:rPr>
        <w:t>ဖြစ်ပါသည်။</w:t>
      </w:r>
    </w:p>
    <w:p>
      <w:pPr>
        <w:pStyle w:val="ArticleBody"/>
        <w:jc w:val="left"/>
      </w:pPr>
      <w:r>
        <w:rPr>
          <w:rFonts w:ascii="Times New Roman" w:hAnsi="Times New Roman" w:eastAsia="Times New Roman" w:cs="Times New Roman"/>
        </w:rPr>
        <w:t>Ang satanikong Woke-ism na kumakatawan sa huwad na Sigaw sa Hatinggabi ay nauuna sa tunay na Sigaw sa Hatinggabi, at bago dumating ang panahon ng tunay na Sigaw sa Hatinggabi, yaong mga napatay sa mga lansangan ay sa kahuli-hulihan ay mahuhubog bilang alinman sa isang mangmang o matalinong dalaga. Ang yugto ng panahon kung kailan nagaganap ang pagtatali ng ating mga karakter, alinman sa bigkis na nakatalaga sa apoy ng pagkapuksa o sa bigkis para sa makalangit na kamalig, ay naririto na ngayon.</w:t>
      </w:r>
    </w:p>
    <w:p>
      <w:pPr>
        <w:pStyle w:val="ArticleBody"/>
        <w:jc w:val="left"/>
      </w:pPr>
      <w:r>
        <w:rPr>
          <w:rFonts w:ascii="Times New Roman" w:hAnsi="Times New Roman" w:eastAsia="Times New Roman" w:cs="Times New Roman"/>
        </w:rPr>
        <w:t>Hna iicha Sister White aly h n wakud n uqim, tgin tiḥdayin tuderin n umazray n Miller ttarrunt i useggas n ujerreb s wayya i yemgaraden ɣef tiḥdayin tiḥekkin, ayen i d-yeskanen belli ar wakud n uqim yiwen yiwen n lxaṣṣa nnsent yebded yakan. Maca ccada n Irmiya tessefham-aɣ belli nezmer ad nuɣal ɣer Rebbi, u netta ur d-yettwaliḍ ara kan ɣur-neɣ, maca ad aɣ-yerr d agadir n nḥas yettwaseḥnen mgal imecumen d imeqqranen n lxuf, mi ara yettwaseqdec yis-neɣ am imi-s deg teqsiṭ i d-iteddun. D deg wenna uẓayer n tnuccfit i Yesu yeglem ad aɣ-issefru. D wagi i d-anamek n ukuz n yiḥricen n Yuḥenna i yettusebdaden deg umezruy-nneɣ amiran.</w:t>
      </w:r>
    </w:p>
    <w:p>
      <w:pPr>
        <w:pStyle w:val="ArticleBody"/>
        <w:jc w:val="left"/>
      </w:pPr>
      <w:r>
        <w:rPr>
          <w:rFonts w:ascii="Times New Roman" w:hAnsi="Times New Roman" w:eastAsia="Times New Roman" w:cs="Times New Roman"/>
        </w:rPr>
        <w:t>Naphtha səddar Ruh’ul-Quddus’ud, xasiyyətud, hem də Allahın Ruhunun ismarıclarıdır. Allahın Ruhu “Təsəlliverici”dir. Necə ki, Allah aləmi elə sevdi ki, Öz yeganə doğulmuş Oğlunu verdi və necə ki, İsa Öz ilahi varlığını qurban verib, yaratmış olduğu bəşəriyyəti əbədiyyət boyu Özündən bir parça kimi könüllü surətdə qəbul etdi, eləcə də bu zaman dövründə verilən Ruh’ul-Quddus bizimlə əbədi qalacaqdır.</w:t>
      </w:r>
    </w:p>
    <w:p>
      <w:pPr>
        <w:pStyle w:val="ArticleScripture"/>
        <w:jc w:val="left"/>
      </w:pPr>
      <w:r>
        <w:rPr>
          <w:rFonts w:ascii="Times New Roman" w:hAnsi="Times New Roman" w:eastAsia="Times New Roman" w:cs="Times New Roman"/>
        </w:rPr>
        <w:t>Loovi eba, yina seeri yivon ganvonsi. Bo ma deŋ Nɔfo la, eye wòatsɔ Mɔkaka Dɔmenyo na mi, be wòanɔ kpli mi tegbee; esia nye Nyateƒe Gbɔgbɔ la; ame si xexeame mate ŋu axɔ o, elabena mekpɔe o, eye menyae o. Ke miawoe mienyae, elabena enɔ kpli mi, eye wòanɔ mia me. Malesi mi abe atsyɔwo ene o: Mava gbɔ mia. Yohanes 14:15–18.</w:t>
      </w:r>
    </w:p>
    <w:p>
      <w:pPr>
        <w:pStyle w:val="ArticleBody"/>
        <w:jc w:val="left"/>
      </w:pPr>
      <w:r>
        <w:rPr>
          <w:rFonts w:ascii="Times New Roman" w:hAnsi="Times New Roman" w:eastAsia="Times New Roman" w:cs="Times New Roman"/>
        </w:rPr>
        <w:t>Ruha müqəddəsin bəşər övladları ilə əbədi olaraq qalmağı seçməkdəki bu qurbanı, səmavi üçlüyün digər iki Şəxsinin qurbanına paraleldir. Bəlkə də Ruha Müqəddəsin əbədiyyət boyu xilas olunmuşların hər birinin daxilində yaşamağa razı olmasındakı qurbanı qədər mühüm olan budur ki, bu müəyyən tarixdə “Təsəlliverən”in gəlişi Allahın xalqının əbədiyyət üçün möhürləndiyi zamanı müəyyən edir.</w:t>
      </w:r>
    </w:p>
    <w:p>
      <w:pPr>
        <w:pStyle w:val="ArticleScripture"/>
        <w:jc w:val="left"/>
      </w:pPr>
      <w:r>
        <w:rPr>
          <w:rFonts w:ascii="Times New Roman" w:hAnsi="Times New Roman" w:eastAsia="Times New Roman" w:cs="Times New Roman"/>
        </w:rPr>
        <w:t>Өйөбүтү таһаарбатын Аллахы Тәңрийн муқаддәс Роһи, шунуң билән силәр азатлиқ күнигичә мөрлинип қоюлғансиләр. Ефесялиқларға 4:30.</w:t>
      </w:r>
    </w:p>
    <w:p>
      <w:pPr>
        <w:pStyle w:val="ArticleBody"/>
        <w:jc w:val="left"/>
      </w:pPr>
      <w:r>
        <w:rPr>
          <w:rFonts w:ascii="Gadugi" w:hAnsi="Gadugi" w:eastAsia="Gadugi" w:cs="Gadugi"/>
        </w:rPr>
        <w:t>ᎤᏓᎷᎸᎯ</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ᎠᏓᏁᎲ</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ᎦᎵᏆ</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ᎢᏗᏯ</w:t>
      </w:r>
      <w:r>
        <w:rPr>
          <w:rFonts w:ascii="Times New Roman" w:hAnsi="Times New Roman" w:eastAsia="Times New Roman" w:cs="Times New Roman"/>
        </w:rPr>
        <w:t xml:space="preserve"> “</w:t>
      </w:r>
      <w:r>
        <w:rPr>
          <w:rFonts w:ascii="Gadugi" w:hAnsi="Gadugi" w:eastAsia="Gadugi" w:cs="Gadugi"/>
        </w:rPr>
        <w:t>ᎤᎵᏍᏗᏱ</w:t>
      </w:r>
      <w:r>
        <w:rPr>
          <w:rFonts w:ascii="Times New Roman" w:hAnsi="Times New Roman" w:eastAsia="Times New Roman" w:cs="Times New Roman"/>
        </w:rPr>
        <w:t xml:space="preserve">” </w:t>
      </w:r>
      <w:r>
        <w:rPr>
          <w:rFonts w:ascii="Gadugi" w:hAnsi="Gadugi" w:eastAsia="Gadugi" w:cs="Gadugi"/>
        </w:rPr>
        <w:t>ᎢᎩᏯᎡᏍᏗ</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ᎠᏓᏁᎶᏗ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ᎤᏍᏛᏗ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ᎤᏂᏍᏆᏂᎪᏔᏅ</w:t>
      </w:r>
      <w:r>
        <w:rPr>
          <w:rFonts w:ascii="Times New Roman" w:hAnsi="Times New Roman" w:eastAsia="Times New Roman" w:cs="Times New Roman"/>
        </w:rPr>
        <w:t xml:space="preserve"> </w:t>
      </w:r>
      <w:r>
        <w:rPr>
          <w:rFonts w:ascii="Gadugi" w:hAnsi="Gadugi" w:eastAsia="Gadugi" w:cs="Gadugi"/>
        </w:rPr>
        <w:t>ᎤᏂᏪᎸ</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ᎤᏂᏳᎶᏗᏍᎨ</w:t>
      </w:r>
      <w:r>
        <w:rPr>
          <w:rFonts w:ascii="Times New Roman" w:hAnsi="Times New Roman" w:eastAsia="Times New Roman" w:cs="Times New Roman"/>
        </w:rPr>
        <w:t xml:space="preserve">” </w:t>
      </w:r>
      <w:r>
        <w:rPr>
          <w:rFonts w:ascii="Gadugi" w:hAnsi="Gadugi" w:eastAsia="Gadugi" w:cs="Gadugi"/>
        </w:rPr>
        <w:t>ᎤᎾᎵᎫᏒᏂᎢ</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ᎤᏳᎶᏗᏍᎬ</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ᎠᏍᏆᏂᎪᏗᏳ</w:t>
      </w:r>
      <w:r>
        <w:rPr>
          <w:rFonts w:ascii="Times New Roman" w:hAnsi="Times New Roman" w:eastAsia="Times New Roman" w:cs="Times New Roman"/>
        </w:rPr>
        <w:t xml:space="preserve"> </w:t>
      </w:r>
      <w:r>
        <w:rPr>
          <w:rFonts w:ascii="Gadugi" w:hAnsi="Gadugi" w:eastAsia="Gadugi" w:cs="Gadugi"/>
        </w:rPr>
        <w:t>ᎢᎬᏱᏗᏢ</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ᎦᎵᏆ</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ᎠᏂᏳᎶᏗᏍᎨ</w:t>
      </w:r>
      <w:r>
        <w:rPr>
          <w:rFonts w:ascii="Times New Roman" w:hAnsi="Times New Roman" w:eastAsia="Times New Roman" w:cs="Times New Roman"/>
        </w:rPr>
        <w:t xml:space="preserve"> </w:t>
      </w:r>
      <w:r>
        <w:rPr>
          <w:rFonts w:ascii="Gadugi" w:hAnsi="Gadugi" w:eastAsia="Gadugi" w:cs="Gadugi"/>
        </w:rPr>
        <w:t>ᎤᏂᎪᏗᏳ</w:t>
      </w:r>
      <w:r>
        <w:rPr>
          <w:rFonts w:ascii="Times New Roman" w:hAnsi="Times New Roman" w:eastAsia="Times New Roman" w:cs="Times New Roman"/>
        </w:rPr>
        <w:t xml:space="preserve"> </w:t>
      </w:r>
      <w:r>
        <w:rPr>
          <w:rFonts w:ascii="Gadugi" w:hAnsi="Gadugi" w:eastAsia="Gadugi" w:cs="Gadugi"/>
        </w:rPr>
        <w:t>Ꭿ</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ᎠᎩᎾᏍᎩ</w:t>
      </w:r>
      <w:r>
        <w:rPr>
          <w:rFonts w:ascii="Times New Roman" w:hAnsi="Times New Roman" w:eastAsia="Times New Roman" w:cs="Times New Roman"/>
        </w:rPr>
        <w:t xml:space="preserve">. </w:t>
      </w:r>
      <w:r>
        <w:rPr>
          <w:rFonts w:ascii="Gadugi" w:hAnsi="Gadugi" w:eastAsia="Gadugi" w:cs="Gadugi"/>
        </w:rPr>
        <w:t>ᎡᏈᏌᏏ</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ᎤᏂᏳᎶᏗᏍᎨ</w:t>
      </w:r>
      <w:r>
        <w:rPr>
          <w:rFonts w:ascii="Times New Roman" w:hAnsi="Times New Roman" w:eastAsia="Times New Roman" w:cs="Times New Roman"/>
        </w:rPr>
        <w:t xml:space="preserve"> </w:t>
      </w:r>
      <w:r>
        <w:rPr>
          <w:rFonts w:ascii="Gadugi" w:hAnsi="Gadugi" w:eastAsia="Gadugi" w:cs="Gadugi"/>
        </w:rPr>
        <w:t>ᎤᎾᎵᎫᏒᏂᎢ</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ᎤᏂᏟᎶᏍᏔᏅ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ᎠᏂᏍᎩᏂᏍᎪ</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ᎤᏅᏓᏓᏴᏁᎵ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ᎠᏂᏲ</w:t>
      </w:r>
      <w:r>
        <w:rPr>
          <w:rFonts w:ascii="Times New Roman" w:hAnsi="Times New Roman" w:eastAsia="Times New Roman" w:cs="Times New Roman"/>
        </w:rPr>
        <w:t xml:space="preserve"> </w:t>
      </w:r>
      <w:r>
        <w:rPr>
          <w:rFonts w:ascii="Gadugi" w:hAnsi="Gadugi" w:eastAsia="Gadugi" w:cs="Gadugi"/>
        </w:rPr>
        <w:t>ᎤᏅᏓᏓᏴᏁᎰ</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ᎤᏂᏲᎵ</w:t>
      </w:r>
      <w:r>
        <w:rPr>
          <w:rFonts w:ascii="Times New Roman" w:hAnsi="Times New Roman" w:eastAsia="Times New Roman" w:cs="Times New Roman"/>
        </w:rPr>
        <w:t xml:space="preserve"> </w:t>
      </w:r>
      <w:r>
        <w:rPr>
          <w:rFonts w:ascii="Gadugi" w:hAnsi="Gadugi" w:eastAsia="Gadugi" w:cs="Gadugi"/>
        </w:rPr>
        <w:t>ᎠᎾᏓᏂᎸᏨ</w:t>
      </w:r>
      <w:r>
        <w:rPr>
          <w:rFonts w:ascii="Times New Roman" w:hAnsi="Times New Roman" w:eastAsia="Times New Roman" w:cs="Times New Roman"/>
        </w:rPr>
        <w:t xml:space="preserve"> </w:t>
      </w:r>
      <w:r>
        <w:rPr>
          <w:rFonts w:ascii="Gadugi" w:hAnsi="Gadugi" w:eastAsia="Gadugi" w:cs="Gadugi"/>
        </w:rPr>
        <w:t>ᎤᏂᏓᏠᏍᏗᏍᎬ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ᎤᏂᏲᎵ</w:t>
      </w:r>
      <w:r>
        <w:rPr>
          <w:rFonts w:ascii="Times New Roman" w:hAnsi="Times New Roman" w:eastAsia="Times New Roman" w:cs="Times New Roman"/>
        </w:rPr>
        <w:t xml:space="preserve"> </w:t>
      </w:r>
      <w:r>
        <w:rPr>
          <w:rFonts w:ascii="Gadugi" w:hAnsi="Gadugi" w:eastAsia="Gadugi" w:cs="Gadugi"/>
        </w:rPr>
        <w:t>ᎠᏂᏓᏂᎸᏨ</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ᎦᏅᎬ</w:t>
      </w:r>
      <w:r>
        <w:rPr>
          <w:rFonts w:ascii="Times New Roman" w:hAnsi="Times New Roman" w:eastAsia="Times New Roman" w:cs="Times New Roman"/>
        </w:rPr>
        <w:t xml:space="preserve"> </w:t>
      </w:r>
      <w:r>
        <w:rPr>
          <w:rFonts w:ascii="Gadugi" w:hAnsi="Gadugi" w:eastAsia="Gadugi" w:cs="Gadugi"/>
        </w:rPr>
        <w:t>ᏧᏬᏚᎯ</w:t>
      </w:r>
      <w:r>
        <w:rPr>
          <w:rFonts w:ascii="Times New Roman" w:hAnsi="Times New Roman" w:eastAsia="Times New Roman" w:cs="Times New Roman"/>
        </w:rPr>
        <w:t xml:space="preserve"> </w:t>
      </w:r>
      <w:r>
        <w:rPr>
          <w:rFonts w:ascii="Gadugi" w:hAnsi="Gadugi" w:eastAsia="Gadugi" w:cs="Gadugi"/>
        </w:rPr>
        <w:t>ᎠᏔᎵᏍᎬ</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ᎢᎩᏚᎢᏍᏔᏂᎸ</w:t>
      </w:r>
      <w:r>
        <w:rPr>
          <w:rFonts w:ascii="Times New Roman" w:hAnsi="Times New Roman" w:eastAsia="Times New Roman" w:cs="Times New Roman"/>
        </w:rPr>
        <w:t xml:space="preserve"> “</w:t>
      </w:r>
      <w:r>
        <w:rPr>
          <w:rFonts w:ascii="Gadugi" w:hAnsi="Gadugi" w:eastAsia="Gadugi" w:cs="Gadugi"/>
        </w:rPr>
        <w:t>ᎠᏓᏍᎦᎵᏍᏙᏗ</w:t>
      </w:r>
      <w:r>
        <w:rPr>
          <w:rFonts w:ascii="Times New Roman" w:hAnsi="Times New Roman" w:eastAsia="Times New Roman" w:cs="Times New Roman"/>
        </w:rPr>
        <w:t>”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Ꭿ</w:t>
      </w:r>
      <w:r>
        <w:rPr>
          <w:rFonts w:ascii="Times New Roman" w:hAnsi="Times New Roman" w:eastAsia="Times New Roman" w:cs="Times New Roman"/>
        </w:rPr>
        <w:t xml:space="preserve"> </w:t>
      </w:r>
      <w:r>
        <w:rPr>
          <w:rFonts w:ascii="Gadugi" w:hAnsi="Gadugi" w:eastAsia="Gadugi" w:cs="Gadugi"/>
        </w:rPr>
        <w:t>ᎠᏕᏯ</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ᏗᎵᏍᎦᎸᎢ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ᎢᎩᏚᎢᏍᏔᏂᎸ</w:t>
      </w:r>
      <w:r>
        <w:rPr>
          <w:rFonts w:ascii="Times New Roman" w:hAnsi="Times New Roman" w:eastAsia="Times New Roman" w:cs="Times New Roman"/>
        </w:rPr>
        <w:t xml:space="preserve"> </w:t>
      </w:r>
      <w:r>
        <w:rPr>
          <w:rFonts w:ascii="Gadugi" w:hAnsi="Gadugi" w:eastAsia="Gadugi" w:cs="Gadugi"/>
        </w:rPr>
        <w:t>ᏧᎵᏍᏇᎵᏓ</w:t>
      </w:r>
      <w:r>
        <w:rPr>
          <w:rFonts w:ascii="Times New Roman" w:hAnsi="Times New Roman" w:eastAsia="Times New Roman" w:cs="Times New Roman"/>
        </w:rPr>
        <w:t xml:space="preserve"> </w:t>
      </w:r>
      <w:r>
        <w:rPr>
          <w:rFonts w:ascii="Gadugi" w:hAnsi="Gadugi" w:eastAsia="Gadugi" w:cs="Gadugi"/>
        </w:rPr>
        <w:t>ᎤᏙᏗᏱ</w:t>
      </w:r>
      <w:r>
        <w:rPr>
          <w:rFonts w:ascii="Times New Roman" w:hAnsi="Times New Roman" w:eastAsia="Times New Roman" w:cs="Times New Roman"/>
        </w:rPr>
        <w:t xml:space="preserve"> </w:t>
      </w:r>
      <w:r>
        <w:rPr>
          <w:rFonts w:ascii="Gadugi" w:hAnsi="Gadugi" w:eastAsia="Gadugi" w:cs="Gadugi"/>
        </w:rPr>
        <w:t>ᎢᎦᎵᏍᏙᏗ</w:t>
      </w:r>
      <w:r>
        <w:rPr>
          <w:rFonts w:ascii="Times New Roman" w:hAnsi="Times New Roman" w:eastAsia="Times New Roman" w:cs="Times New Roman"/>
        </w:rPr>
        <w:t xml:space="preserve"> </w:t>
      </w:r>
      <w:r>
        <w:rPr>
          <w:rFonts w:ascii="Gadugi" w:hAnsi="Gadugi" w:eastAsia="Gadugi" w:cs="Gadugi"/>
        </w:rPr>
        <w:t>ᎢᎩᎦᏛᏁᎸᎢ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ᎤᏙᏗᏍᎬ</w:t>
      </w:r>
      <w:r>
        <w:rPr>
          <w:rFonts w:ascii="Times New Roman" w:hAnsi="Times New Roman" w:eastAsia="Times New Roman" w:cs="Times New Roman"/>
        </w:rPr>
        <w:t xml:space="preserve"> </w:t>
      </w:r>
      <w:r>
        <w:rPr>
          <w:rFonts w:ascii="Gadugi" w:hAnsi="Gadugi" w:eastAsia="Gadugi" w:cs="Gadugi"/>
        </w:rPr>
        <w:t>ᎤᏪᎧᏛᎢ</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ᎡᏙᎯᏳᎲ</w:t>
      </w:r>
      <w:r>
        <w:rPr>
          <w:rFonts w:ascii="Times New Roman" w:hAnsi="Times New Roman" w:eastAsia="Times New Roman" w:cs="Times New Roman"/>
        </w:rPr>
        <w:t xml:space="preserve"> </w:t>
      </w:r>
      <w:r>
        <w:rPr>
          <w:rFonts w:ascii="Gadugi" w:hAnsi="Gadugi" w:eastAsia="Gadugi" w:cs="Gadugi"/>
        </w:rPr>
        <w:t>ᏧᏓᏁᎶᏙᏗ</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ᏒᏌᏙ</w:t>
      </w:r>
      <w:r>
        <w:rPr>
          <w:rFonts w:ascii="Times New Roman" w:hAnsi="Times New Roman" w:eastAsia="Times New Roman" w:cs="Times New Roman"/>
        </w:rPr>
        <w:t xml:space="preserve"> </w:t>
      </w:r>
      <w:r>
        <w:rPr>
          <w:rFonts w:ascii="Gadugi" w:hAnsi="Gadugi" w:eastAsia="Gadugi" w:cs="Gadugi"/>
        </w:rPr>
        <w:t>ᎤᏁᏨᎢ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ᎤᏓᏃᏴᎵᏍᎬ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ᎤᏕᏯ</w:t>
      </w:r>
      <w:r>
        <w:rPr>
          <w:rFonts w:ascii="Times New Roman" w:hAnsi="Times New Roman" w:eastAsia="Times New Roman" w:cs="Times New Roman"/>
        </w:rPr>
        <w:t xml:space="preserve"> </w:t>
      </w:r>
      <w:r>
        <w:rPr>
          <w:rFonts w:ascii="Gadugi" w:hAnsi="Gadugi" w:eastAsia="Gadugi" w:cs="Gadugi"/>
        </w:rPr>
        <w:t>ᎤᏁᎷᎩ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ᎠᏥᏍᏆᎸᏔᏂᏙᎵᎩ</w:t>
      </w:r>
      <w:r>
        <w:rPr>
          <w:rFonts w:ascii="Times New Roman" w:hAnsi="Times New Roman" w:eastAsia="Times New Roman" w:cs="Times New Roman"/>
        </w:rPr>
        <w:t>.</w:t>
      </w:r>
    </w:p>
    <w:p>
      <w:pPr>
        <w:pStyle w:val="ArticleBody"/>
        <w:jc w:val="left"/>
      </w:pPr>
      <w:r>
        <w:rPr>
          <w:rFonts w:ascii="Nirmala UI" w:hAnsi="Nirmala UI" w:eastAsia="Nirmala UI" w:cs="Nirmala UI"/>
        </w:rPr>
        <w:t>अक्कलमान</w:t>
      </w:r>
      <w:r>
        <w:rPr>
          <w:rFonts w:ascii="Times New Roman" w:hAnsi="Times New Roman" w:eastAsia="Times New Roman" w:cs="Times New Roman"/>
        </w:rPr>
        <w:t xml:space="preserve"> </w:t>
      </w:r>
      <w:r>
        <w:rPr>
          <w:rFonts w:ascii="Nirmala UI" w:hAnsi="Nirmala UI" w:eastAsia="Nirmala UI" w:cs="Nirmala UI"/>
        </w:rPr>
        <w:t>कुँवारीमनक</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रविबारक</w:t>
      </w:r>
      <w:r>
        <w:rPr>
          <w:rFonts w:ascii="Times New Roman" w:hAnsi="Times New Roman" w:eastAsia="Times New Roman" w:cs="Times New Roman"/>
        </w:rPr>
        <w:t xml:space="preserve"> </w:t>
      </w:r>
      <w:r>
        <w:rPr>
          <w:rFonts w:ascii="Nirmala UI" w:hAnsi="Nirmala UI" w:eastAsia="Nirmala UI" w:cs="Nirmala UI"/>
        </w:rPr>
        <w:t>कानूनक</w:t>
      </w:r>
      <w:r>
        <w:rPr>
          <w:rFonts w:ascii="Times New Roman" w:hAnsi="Times New Roman" w:eastAsia="Times New Roman" w:cs="Times New Roman"/>
        </w:rPr>
        <w:t xml:space="preserve"> </w:t>
      </w:r>
      <w:r>
        <w:rPr>
          <w:rFonts w:ascii="Nirmala UI" w:hAnsi="Nirmala UI" w:eastAsia="Nirmala UI" w:cs="Nirmala UI"/>
        </w:rPr>
        <w:t>परीक्षासँ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ओतहि</w:t>
      </w:r>
      <w:r>
        <w:rPr>
          <w:rFonts w:ascii="Times New Roman" w:hAnsi="Times New Roman" w:eastAsia="Times New Roman" w:cs="Times New Roman"/>
        </w:rPr>
        <w:t xml:space="preserve"> </w:t>
      </w:r>
      <w:r>
        <w:rPr>
          <w:rFonts w:ascii="Nirmala UI" w:hAnsi="Nirmala UI" w:eastAsia="Nirmala UI" w:cs="Nirmala UI"/>
        </w:rPr>
        <w:t>अक्कलमान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संकटमे</w:t>
      </w:r>
      <w:r>
        <w:rPr>
          <w:rFonts w:ascii="Times New Roman" w:hAnsi="Times New Roman" w:eastAsia="Times New Roman" w:cs="Times New Roman"/>
        </w:rPr>
        <w:t xml:space="preserve"> </w:t>
      </w:r>
      <w:r>
        <w:rPr>
          <w:rFonts w:ascii="Nirmala UI" w:hAnsi="Nirmala UI" w:eastAsia="Nirmala UI" w:cs="Nirmala UI"/>
        </w:rPr>
        <w:t>कखनो</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बातसभक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फिलाडेल्फियाक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परिवर्तनक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एखन</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रहलहुँ</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मनोवृत्ति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जखनकि</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मनोवृत्तिकेँ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जाइक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वस्तुसभमे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जाहिकेँ</w:t>
      </w:r>
      <w:r>
        <w:rPr>
          <w:rFonts w:ascii="Times New Roman" w:hAnsi="Times New Roman" w:eastAsia="Times New Roman" w:cs="Times New Roman"/>
        </w:rPr>
        <w:t xml:space="preserve"> </w:t>
      </w:r>
      <w:r>
        <w:rPr>
          <w:rFonts w:ascii="Nirmala UI" w:hAnsi="Nirmala UI" w:eastAsia="Nirmala UI" w:cs="Nirmala UI"/>
        </w:rPr>
        <w:t>बहुमूल्यसँ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जाएबाक</w:t>
      </w:r>
      <w:r>
        <w:rPr>
          <w:rFonts w:ascii="Times New Roman" w:hAnsi="Times New Roman" w:eastAsia="Times New Roman" w:cs="Times New Roman"/>
        </w:rPr>
        <w:t xml:space="preserve"> </w:t>
      </w:r>
      <w:r>
        <w:rPr>
          <w:rFonts w:ascii="Nirmala UI" w:hAnsi="Nirmala UI" w:eastAsia="Nirmala UI" w:cs="Nirmala UI"/>
        </w:rPr>
        <w:t>अछि।</w:t>
      </w:r>
    </w:p>
    <w:p>
      <w:pPr>
        <w:pStyle w:val="ArticleScripture"/>
        <w:jc w:val="left"/>
      </w:pPr>
      <w:r>
        <w:rPr>
          <w:rFonts w:ascii="Times New Roman" w:hAnsi="Times New Roman" w:eastAsia="Times New Roman" w:cs="Times New Roman"/>
        </w:rPr>
        <w:t>“Tanrı’nın halkı alınlarında mühürlenir mühürlenmez — bu, görülebilen herhangi bir mühür ya da işaret değil, fakat hem zihinsel hem de ruhsal bakımdan gerçeğe öyle bir yerleşmedir ki artık sarsılamazlar — Tanrı’nın halkı mühürlenip sarsıntıya hazır olur olmaz, o gelecektir. Gerçekten de, o çoktan başlamıştır; Tanrı’nın yargıları şimdi ülkenin üzerindedir; bize uyarı vermek için, yaklaşmakta olanı bilelim diye.” Seventh-day Adventist Bible Commentary, cilt 4, 1161.</w:t>
      </w:r>
    </w:p>
    <w:p>
      <w:pPr>
        <w:pStyle w:val="ArticleBody"/>
        <w:jc w:val="left"/>
      </w:pPr>
      <w:r>
        <w:rPr>
          <w:rFonts w:ascii="Times New Roman" w:hAnsi="Times New Roman" w:eastAsia="Times New Roman" w:cs="Times New Roman"/>
        </w:rPr>
        <w:t>“Амаршуулагч” хэмээн Есүс Өөрийн шавь нартаа амладаг Нэгэн нь, урам хугарах цагт тэднийг тайвшруулж, Өөрийн ард түмнийг бүх үнэнд удирддаг бөгөөд бид “үнэнд баттай суурьших”-аар лацлагддаг. Бурханы ард түмэн энэ мөчид баттай суурьших ёстой “үнэн” нь сорилтын хугацаа хаагдахын яг өмнө лацнаасаа тайлагдах “үнэн” мөн, учир нь “цаг ойрхон” байна. Тэр үнэн нь долоон аянгын нууцлагдсан түүхийн бүтэц бөгөөд тэрхүү нууцлагдсан түүх нь Есүс Христийн Илчлэл нээгдэн тайлагдах түүхийг тодорхойлдог. Долоон аянгын нууцлагдсан түүх нь, нууцлагдсан түүхээр төлөөлөгдсөн тэрхүү “үнэн” лацнаасаа тайлагдах яг тэр цагт биелэх болно. “Үнэн” лацнаасаа тайлагдах нь урьд нь лацлагдсан байсан мэдээг хүлээн авдаг хүмүүсийг лацалдаг зүйл мөн.</w:t>
      </w:r>
    </w:p>
    <w:p>
      <w:pPr>
        <w:pStyle w:val="ArticleBody"/>
        <w:jc w:val="left"/>
      </w:pPr>
      <w:r>
        <w:rPr>
          <w:rFonts w:ascii="Times New Roman" w:hAnsi="Times New Roman" w:eastAsia="Times New Roman" w:cs="Times New Roman"/>
        </w:rPr>
        <w:t>Varxwedag Iri qiptas naxcaqqena me qun nupaqman, inti chay phiñasqa nacionkunapa kuyuyñin Domingo kamachiypi hamuptin, chaymi nacional tuniyta qallarin. Jesucristopa Revelacionnenqa “kay libro de Revelacionpa profeciapa nisqankuna”mi, manaña sellasqa kananpaqchu, pacha qayllaña kaptin. Chayqa kunan pacha cheqaq yachachiymi ñawirina, uyarisqa kanan, aswanmi waqaychasqa kanan, suqkuna bendecisqa kananchikpaq.</w:t>
      </w:r>
    </w:p>
    <w:p>
      <w:pPr>
        <w:pStyle w:val="ArticleScripture"/>
        <w:jc w:val="left"/>
      </w:pPr>
      <w:r>
        <w:rPr>
          <w:rFonts w:ascii="Times New Roman" w:hAnsi="Times New Roman" w:eastAsia="Times New Roman" w:cs="Times New Roman"/>
        </w:rPr>
        <w:t>Yahuda, Iskariyot bolman, Oňa diýdi: «Ýa Reb, nädip bolýar, Sen Özüňi dünýä däl-de bize aýan etjeksiň?» Isa oňa jogap berip diýdi: «Kim Meni söýse, ol Meniň sözlerimi berjaý eder; Atam hem ony söýer, Biz onuň ýanyna geleris we onuň bilen mesgen tutarys. Meni söýmeýän Meniň sözlerimi berjaý etmez; siziň eşidýän sözüňiz hem Meniňki däl, eýsem Meni iberen Atanyňkydyr. Bu zatlary Men size heniz siziň araňyzda bolýarkam aýtdym. Emma Teselli beriji, ýagny Mukaddes Ruh, Ony Ata Meniň adym bilen iberer, Ol size ähli zatlary öwreder we Meniň size aýdan zatlarymyň hemmesini ýadyňyza salar.» Ýahýa 14:22–26.</w:t>
      </w:r>
    </w:p>
    <w:p>
      <w:pPr>
        <w:pStyle w:val="ArticleBody"/>
        <w:jc w:val="left"/>
      </w:pPr>
      <w:r>
        <w:rPr>
          <w:rFonts w:ascii="Times New Roman" w:hAnsi="Times New Roman" w:eastAsia="Times New Roman" w:cs="Times New Roman"/>
        </w:rPr>
        <w:t>Para aquellos que guardan el mensaje que está siendo desellado, la promesa es que el Consolador nos “enseñará” “todas las cosas”, “todo lo que” Jesús ha dicho “a vosotros”. Esta es la promesa que fue cumplida a los discípulos de Emaús y, después, a los once discípulos. Cuando Cristo quitó su mano de los ojos de los discípulos de Emaús, que estaban “velados”, y después “abrió” el “entendimiento” de los once discípulos para que pudieran “entender las Escrituras” plenamente, estaba dejando constancia de una promesa para los que viven en los “postreros días”, quienes volverán de su desilusión, se arrepentirán de su condición laodicense y aceptarán la “verdad”. El “Consolador” en los “postreros días” “traerá todas las cosas a” nuestra “memoria” mientras nos enseña “todas las cosas”. Tan significativo como traer a nuestra memoria las verdades pasadas mientras nos enseña todas las cosas, Él también nos “mostrará las cosas que han de venir”.</w:t>
      </w:r>
    </w:p>
    <w:p>
      <w:pPr>
        <w:pStyle w:val="ArticleScripture"/>
        <w:jc w:val="left"/>
      </w:pPr>
      <w:r>
        <w:rPr>
          <w:rFonts w:ascii="Times New Roman" w:hAnsi="Times New Roman" w:eastAsia="Times New Roman" w:cs="Times New Roman"/>
        </w:rPr>
        <w:t>خداوەند دەڵێم بۆتان بەڕاستی؛ باشترە بۆتان من بڕۆم: چونکە ئەگەر من نەڕۆم، تەسەلی‌دەدەر نەهاتووە بۆ لاتان؛ بەڵام ئەگەر بڕۆم، ئەوم دەنێرم بۆ لاتان. کاتێک ئەو هات، جیهان سەرزەنشت دەکات لەسەر گوناه، و لەسەر ڕاستودروستی، و لەسەر حوکم: لەسەر گوناه، چونکە باوەڕم پێ ناکەن؛ لەسەر ڕاستودروستی، چونکە من دەچم بۆ لای باوکم، و ئێوە دیکە من نابینن؛ لەسەر حوکم، چونکە سەرۆکی ئەم جیهانە حوکمی لێدراوە. هێشتا زۆر شتم هەیە پێتان بڵێم، بەڵام ئێستا ناتوانن باریان بکەن. بەڵام کاتێک ئەو، ڕۆحی ڕاستی، هات، ڕێنماییتان دەکات بۆ هەموو ڕاستییەک؛ چونکە لە خۆیەوە نادوێت، بەڵکوو هەرچی بیستبێت، ئەوە دەڵێت: و شتەکانی داهاتوو پیشانتان دەدات. ئەو شکۆدارم دەکات: چونکە لە هی من وەردەگرێت، و پیشانتان دەدات. یۆحەنا 16:7–14.</w:t>
      </w:r>
    </w:p>
    <w:p>
      <w:pPr>
        <w:pStyle w:val="ArticleBody"/>
        <w:jc w:val="left"/>
      </w:pPr>
      <w:r>
        <w:rPr>
          <w:rFonts w:ascii="Times New Roman" w:hAnsi="Times New Roman" w:eastAsia="Times New Roman" w:cs="Times New Roman"/>
        </w:rPr>
        <w:t>در این زمان، تسلّی‌دهنده ما را به «راستی» «هدایت» خواهد کرد، «همه‌چیز» را به ما «تعلیم» خواهد داد، از جمله «امور آینده» را؛ زیرا در این زمان، عیسی هنوز «بسیار چیزها» دارد که به ما «بگوید». آن چیزها، خواه از «یادآوری» ما باشند، خواه «امور آینده»، یا آن «چیزهای» بسیار که او «هنوز» دارد به ما بگوید، همان است که ما را برای بحرانِ پیشِ رو مُهر می‌زند. و چنین می‌کند، زیرا راستیِ او نمایانگر قدرت خلّاقهٔ اوست. او ما را پیش از بحرانِ آینده مُهر می‌زند، زیرا قصد او این است که ما از بزرگ‌ترین دورهٔ جفا بر ضدّ قوم او که در سراسر تاریخ مقدّس رخ داده است، از پیش آگاه باشیم. آن جفا به‌طور خاص آشکار می‌سازد که سخنان و اعمالی که ما در گذشته انجام داده‌ایم به یاد آورده خواهد شد و بر ضدّ ما به کار گرفته خواهد شد، چنان‌که سخنان مسیح را بر ضدّ او تحریف کردند. با این همه، ما باید پیام را به‌عنوان شهادتی بر ضدّ عصیان ایشان، آن‌گونه که در حزقیال و مسیح نمایان شده است، عرضه کنیم.</w:t>
      </w:r>
    </w:p>
    <w:p>
      <w:pPr>
        <w:pStyle w:val="ArticleScripture"/>
        <w:jc w:val="left"/>
      </w:pPr>
      <w:r>
        <w:rPr>
          <w:rFonts w:ascii="Times New Roman" w:hAnsi="Times New Roman" w:eastAsia="Times New Roman" w:cs="Times New Roman"/>
        </w:rPr>
        <w:t>Esba'ti u szó'b ka a'shi mii bi'naa, Ti serbidór no ta más grandi ku su señor. Si nan a persigí mi, nan lo persigí bos tambe; si nan a warda mi palabra, nan lo warda di bos tambe. Pero tur e kosnan aki nan lo hasi kontra bos pa motibu di mi nòmber, pasobra nan no konos'é esun ku a manda mi. Si mi no a bin i papia ku nan, nan no lo tabatin pika; pero awor nan no tin ningún eskusa pa nan pika. Esun ku odia mi, odia mi Tata tambe. Si mi no a hasi entre nan e obranan ku niun otro hende no a hasi, nan no lo tabatin pika; pero awor nan a mira i a odia tanto mi komo mi Tata. Pero esaki ta sosodé pa e palabra kumpli ku ta skirbí den nan lei: Nan a odia mi sin motibu. Pero ora e Konsoladó bin, esun ku mi lo manda serka bos for di Tata, esta di berdat ku ta sali for di Tata, e lo testifiká di mi. Juan 15:20–26.</w:t>
      </w:r>
    </w:p>
    <w:p>
      <w:pPr>
        <w:pStyle w:val="ArticleBody"/>
        <w:jc w:val="left"/>
      </w:pPr>
      <w:r>
        <w:rPr>
          <w:rFonts w:ascii="Times New Roman" w:hAnsi="Times New Roman" w:eastAsia="Times New Roman" w:cs="Times New Roman"/>
        </w:rPr>
        <w:t>“</w:t>
      </w:r>
      <w:r>
        <w:rPr>
          <w:rFonts w:ascii="Ebrima" w:hAnsi="Ebrima" w:eastAsia="Ebrima" w:cs="Ebrima"/>
        </w:rPr>
        <w:t>የእውነት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አጽናኝ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ስለሆነው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ይመሰክራል።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አልፋና</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ፊተኛውና</w:t>
      </w:r>
      <w:r>
        <w:rPr>
          <w:rFonts w:ascii="Times New Roman" w:hAnsi="Times New Roman" w:eastAsia="Times New Roman" w:cs="Times New Roman"/>
        </w:rPr>
        <w:t xml:space="preserve"> </w:t>
      </w:r>
      <w:r>
        <w:rPr>
          <w:rFonts w:ascii="Ebrima" w:hAnsi="Ebrima" w:eastAsia="Ebrima" w:cs="Ebrima"/>
        </w:rPr>
        <w:t>ኋለኛው፣</w:t>
      </w:r>
      <w:r>
        <w:rPr>
          <w:rFonts w:ascii="Times New Roman" w:hAnsi="Times New Roman" w:eastAsia="Times New Roman" w:cs="Times New Roman"/>
        </w:rPr>
        <w:t xml:space="preserve"> </w:t>
      </w:r>
      <w:r>
        <w:rPr>
          <w:rFonts w:ascii="Ebrima" w:hAnsi="Ebrima" w:eastAsia="Ebrima" w:cs="Ebrima"/>
        </w:rPr>
        <w:t>መጀመሪያውና</w:t>
      </w:r>
      <w:r>
        <w:rPr>
          <w:rFonts w:ascii="Times New Roman" w:hAnsi="Times New Roman" w:eastAsia="Times New Roman" w:cs="Times New Roman"/>
        </w:rPr>
        <w:t xml:space="preserve"> </w:t>
      </w:r>
      <w:r>
        <w:rPr>
          <w:rFonts w:ascii="Ebrima" w:hAnsi="Ebrima" w:eastAsia="Ebrima" w:cs="Ebrima"/>
        </w:rPr>
        <w:t>መጨረሻው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ማህተሙ</w:t>
      </w:r>
      <w:r>
        <w:rPr>
          <w:rFonts w:ascii="Times New Roman" w:hAnsi="Times New Roman" w:eastAsia="Times New Roman" w:cs="Times New Roman"/>
        </w:rPr>
        <w:t xml:space="preserve"> </w:t>
      </w:r>
      <w:r>
        <w:rPr>
          <w:rFonts w:ascii="Ebrima" w:hAnsi="Ebrima" w:eastAsia="Ebrima" w:cs="Ebrima"/>
        </w:rPr>
        <w:t>እየተፈታ</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የሰባቱ</w:t>
      </w:r>
      <w:r>
        <w:rPr>
          <w:rFonts w:ascii="Times New Roman" w:hAnsi="Times New Roman" w:eastAsia="Times New Roman" w:cs="Times New Roman"/>
        </w:rPr>
        <w:t xml:space="preserve"> </w:t>
      </w:r>
      <w:r>
        <w:rPr>
          <w:rFonts w:ascii="Ebrima" w:hAnsi="Ebrima" w:eastAsia="Ebrima" w:cs="Ebrima"/>
        </w:rPr>
        <w:t>ነጐድጓዶች</w:t>
      </w:r>
      <w:r>
        <w:rPr>
          <w:rFonts w:ascii="Times New Roman" w:hAnsi="Times New Roman" w:eastAsia="Times New Roman" w:cs="Times New Roman"/>
        </w:rPr>
        <w:t xml:space="preserve"> </w:t>
      </w:r>
      <w:r>
        <w:rPr>
          <w:rFonts w:ascii="Ebrima" w:hAnsi="Ebrima" w:eastAsia="Ebrima" w:cs="Ebrima"/>
        </w:rPr>
        <w:t>የተሰወረ</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የማኅተም</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July 18, 2020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በተከተለው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የወደደን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ለመመለስ</w:t>
      </w:r>
      <w:r>
        <w:rPr>
          <w:rFonts w:ascii="Times New Roman" w:hAnsi="Times New Roman" w:eastAsia="Times New Roman" w:cs="Times New Roman"/>
        </w:rPr>
        <w:t xml:space="preserve"> </w:t>
      </w:r>
      <w:r>
        <w:rPr>
          <w:rFonts w:ascii="Ebrima" w:hAnsi="Ebrima" w:eastAsia="Ebrima" w:cs="Ebrima"/>
        </w:rPr>
        <w:t>እንድንመርጥ</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የመመለስ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በመፈጸም</w:t>
      </w:r>
      <w:r>
        <w:rPr>
          <w:rFonts w:ascii="Times New Roman" w:hAnsi="Times New Roman" w:eastAsia="Times New Roman" w:cs="Times New Roman"/>
        </w:rPr>
        <w:t xml:space="preserve"> </w:t>
      </w:r>
      <w:r>
        <w:rPr>
          <w:rFonts w:ascii="Ebrima" w:hAnsi="Ebrima" w:eastAsia="Ebrima" w:cs="Ebrima"/>
        </w:rPr>
        <w:t>ውድ</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 xml:space="preserve"> </w:t>
      </w:r>
      <w:r>
        <w:rPr>
          <w:rFonts w:ascii="Ebrima" w:hAnsi="Ebrima" w:eastAsia="Ebrima" w:cs="Ebrima"/>
        </w:rPr>
        <w:t>ከከንቱው</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ኃላፊነት</w:t>
      </w:r>
      <w:r>
        <w:rPr>
          <w:rFonts w:ascii="Times New Roman" w:hAnsi="Times New Roman" w:eastAsia="Times New Roman" w:cs="Times New Roman"/>
        </w:rPr>
        <w:t xml:space="preserve"> </w:t>
      </w:r>
      <w:r>
        <w:rPr>
          <w:rFonts w:ascii="Ebrima" w:hAnsi="Ebrima" w:eastAsia="Ebrima" w:cs="Ebrima"/>
        </w:rPr>
        <w:t>አለብን።</w:t>
      </w:r>
      <w:r>
        <w:rPr>
          <w:rFonts w:ascii="Times New Roman" w:hAnsi="Times New Roman" w:eastAsia="Times New Roman" w:cs="Times New Roman"/>
        </w:rPr>
        <w:t xml:space="preserve"> </w:t>
      </w:r>
      <w:r>
        <w:rPr>
          <w:rFonts w:ascii="Ebrima" w:hAnsi="Ebrima" w:eastAsia="Ebrima" w:cs="Ebrima"/>
        </w:rPr>
        <w:t>መዳናችንን</w:t>
      </w:r>
      <w:r>
        <w:rPr>
          <w:rFonts w:ascii="Times New Roman" w:hAnsi="Times New Roman" w:eastAsia="Times New Roman" w:cs="Times New Roman"/>
        </w:rPr>
        <w:t xml:space="preserve"> </w:t>
      </w:r>
      <w:r>
        <w:rPr>
          <w:rFonts w:ascii="Ebrima" w:hAnsi="Ebrima" w:eastAsia="Ebrima" w:cs="Ebrima"/>
        </w:rPr>
        <w:t>በፍርሃትና</w:t>
      </w:r>
      <w:r>
        <w:rPr>
          <w:rFonts w:ascii="Times New Roman" w:hAnsi="Times New Roman" w:eastAsia="Times New Roman" w:cs="Times New Roman"/>
        </w:rPr>
        <w:t xml:space="preserve"> </w:t>
      </w:r>
      <w:r>
        <w:rPr>
          <w:rFonts w:ascii="Ebrima" w:hAnsi="Ebrima" w:eastAsia="Ebrima" w:cs="Ebrima"/>
        </w:rPr>
        <w:t>በመንቀጥቀጥ</w:t>
      </w:r>
      <w:r>
        <w:rPr>
          <w:rFonts w:ascii="Times New Roman" w:hAnsi="Times New Roman" w:eastAsia="Times New Roman" w:cs="Times New Roman"/>
        </w:rPr>
        <w:t xml:space="preserve"> </w:t>
      </w:r>
      <w:r>
        <w:rPr>
          <w:rFonts w:ascii="Ebrima" w:hAnsi="Ebrima" w:eastAsia="Ebrima" w:cs="Ebrima"/>
        </w:rPr>
        <w:t>ብንፈጽም</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ብናከናውን፣</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እንቀበላለን</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ወዲያውኑ</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ቀውስ</w:t>
      </w:r>
      <w:r>
        <w:rPr>
          <w:rFonts w:ascii="Times New Roman" w:hAnsi="Times New Roman" w:eastAsia="Times New Roman" w:cs="Times New Roman"/>
        </w:rPr>
        <w:t xml:space="preserve"> </w:t>
      </w:r>
      <w:r>
        <w:rPr>
          <w:rFonts w:ascii="Ebrima" w:hAnsi="Ebrima" w:eastAsia="Ebrima" w:cs="Ebrima"/>
        </w:rPr>
        <w:t>እንገባለን።</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ነገሥታትና</w:t>
      </w:r>
      <w:r>
        <w:rPr>
          <w:rFonts w:ascii="Times New Roman" w:hAnsi="Times New Roman" w:eastAsia="Times New Roman" w:cs="Times New Roman"/>
        </w:rPr>
        <w:t xml:space="preserve"> </w:t>
      </w:r>
      <w:r>
        <w:rPr>
          <w:rFonts w:ascii="Ebrima" w:hAnsi="Ebrima" w:eastAsia="Ebrima" w:cs="Ebrima"/>
        </w:rPr>
        <w:t>ጻድቃን</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ለማየት</w:t>
      </w:r>
      <w:r>
        <w:rPr>
          <w:rFonts w:ascii="Times New Roman" w:hAnsi="Times New Roman" w:eastAsia="Times New Roman" w:cs="Times New Roman"/>
        </w:rPr>
        <w:t xml:space="preserve"> </w:t>
      </w:r>
      <w:r>
        <w:rPr>
          <w:rFonts w:ascii="Ebrima" w:hAnsi="Ebrima" w:eastAsia="Ebrima" w:cs="Ebrima"/>
        </w:rPr>
        <w:t>የናፈቁትን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የመለማመድ</w:t>
      </w:r>
      <w:r>
        <w:rPr>
          <w:rFonts w:ascii="Times New Roman" w:hAnsi="Times New Roman" w:eastAsia="Times New Roman" w:cs="Times New Roman"/>
        </w:rPr>
        <w:t xml:space="preserve"> </w:t>
      </w:r>
      <w:r>
        <w:rPr>
          <w:rFonts w:ascii="Ebrima" w:hAnsi="Ebrima" w:eastAsia="Ebrima" w:cs="Ebrima"/>
        </w:rPr>
        <w:t>መብት</w:t>
      </w:r>
      <w:r>
        <w:rPr>
          <w:rFonts w:ascii="Times New Roman" w:hAnsi="Times New Roman" w:eastAsia="Times New Roman" w:cs="Times New Roman"/>
        </w:rPr>
        <w:t xml:space="preserve"> </w:t>
      </w:r>
      <w:r>
        <w:rPr>
          <w:rFonts w:ascii="Ebrima" w:hAnsi="Ebrima" w:eastAsia="Ebrima" w:cs="Ebrima"/>
        </w:rPr>
        <w:t>ይኖረናል።</w:t>
      </w:r>
    </w:p>
    <w:p>
      <w:pPr>
        <w:pStyle w:val="ArticleBody"/>
        <w:jc w:val="left"/>
      </w:pPr>
      <w:r>
        <w:rPr>
          <w:rFonts w:ascii="Times New Roman" w:hAnsi="Times New Roman" w:eastAsia="Times New Roman" w:cs="Times New Roman"/>
        </w:rPr>
        <w:t>Mısırdan çıxanlar və o işə qoşulub geri dönənlər “Allahın taxtından çıxan nurda yeriyəcəklər” və “mələklər vasitəsilə göylə yer arasında daimi əlaqə olacaqdır”; bu isə Vəhy kitabının açılış ayəsində göstərilən əlaqə prosesidir.</w:t>
      </w:r>
    </w:p>
    <w:p>
      <w:pPr>
        <w:pStyle w:val="ArticleScripture"/>
        <w:jc w:val="left"/>
      </w:pPr>
      <w:r>
        <w:rPr>
          <w:rFonts w:ascii="Times New Roman" w:hAnsi="Times New Roman" w:eastAsia="Times New Roman" w:cs="Times New Roman"/>
        </w:rPr>
        <w:t>“Adduŋŋaʼ gučči mulu aŋaʼ adawaa e bɔlɔ Ewan e ṯaa maa eŋŋaʼ ma maasika. Mulu aŋaʼ adawaa e ṯaabii ma. Aŋŋaʼ ŋaarʼ aŋaʼ eyaŋ kaŋaŋ e Ewan baɗɗa; kaŋgi Yohanna e liiya: ‘I yaaŋŋaʼ kaŋaŋ e Ewan koññiti ma, kaŋga Yesu ṯuŋŋana ma.’ Revelation 14:12. Biiŋgi kɔrra e pɔrɔr baɗɗa kaŋaŋ e Ewan tubbii ma kaŋga kaŋaŋ e tubbii maa ma ṯeŋe. Biiŋgi mulu aŋaʼ dɔlɔl kaŋga dɔlɔl ma, kaŋga kaŋaŋ aŋaʼ dɔlɔl maa ma eyaŋ kaŋaŋ.”</w:t>
      </w:r>
    </w:p>
    <w:p>
      <w:pPr>
        <w:pStyle w:val="ArticleScripture"/>
        <w:jc w:val="left"/>
      </w:pPr>
      <w:r>
        <w:rPr>
          <w:rFonts w:ascii="Times New Roman" w:hAnsi="Times New Roman" w:eastAsia="Times New Roman" w:cs="Times New Roman"/>
        </w:rPr>
        <w:t>«Шайтан — Ыйык Жазманы ынта коюп изилдеген окуучу. Ал өз убактысынын аз калганын билет, ошондуктан бул жер бетинде Теңирдин ишине ар тараптан каршы аракет кылууга умтулат. Асмандагы даңк менен өткөндөгү куугунтуктардын кайталанышы аралашып турган учурда, жер үстүндө тирүү боло турган Кудай элинин тажрыйбасын кандайдыр бир деңгээлде сүрөттөп берүү да мүмкүн эмес. Алар Кудайдын тактысынан тараган жарыкта жүрүшөт. Периштелер аркылуу асман менен жердин ортосунда үзгүлтүксүз байланыш болуп турат. Ал эми Шайтан, жаман периштелер менен курчалган абалда жана өзүн Кудаймын деп жарыялап, мүмкүн болсо, эң тандалгандарды да алдоо үчүн, ар кандай кереметтерди көрсөтөт. Кудай эли өз коопсуздугун керемет көрсөтүүдө таппайт, анткени Шайтан жасала турган кереметтерди жасалмалап туурайт. Кудайдын сыналып, текшерилген эли өз күчүн Чыгуу 31:12–18де айтылган белги аркылуу табат. Алар өз турумун тирүү Сөздүн үстүнө орнотууга тийиш: “Жазылган”. Алар бекем тура ала турган жападан жалгыз негиз — ушул. Кудай менен түзгөн келишимин бузгандар ошол күнү Кудайсыз жана үмүтсүз калышат.»</w:t>
      </w:r>
    </w:p>
    <w:p>
      <w:pPr>
        <w:pStyle w:val="ArticleScripture"/>
        <w:jc w:val="left"/>
      </w:pPr>
      <w:r>
        <w:rPr>
          <w:rFonts w:ascii="Times New Roman" w:hAnsi="Times New Roman" w:eastAsia="Times New Roman" w:cs="Times New Roman"/>
        </w:rPr>
        <w:t>عبادت گزارانِ خدا اپنی چوتھی فرمان کے احترام کے باعث خاص طور پر ممتاز ہوں گے، کیونکہ یہی خدا کی تخلیقی قدرت کی علامت اور انسان پر اُس کے استحقاقِ تعظیم و تکریم کی گواہی ہے۔ شریر لوگ خالق کی یادگار کو ڈھا دینے اور روم کے قائم کردہ ادارے کو سرفراز کرنے کی اپنی کوششوں کے سبب ممتاز ہوں گے۔ اس کشمکش کے فیصلہ کن مرحلے میں تمام عالمِ مسیحیت دو بڑے طبقوں میں تقسیم ہو جائے گا: ایک وہ جو خدا کے احکام اور یسوع کے ایمان کو قائم رکھتے ہیں، اور دوسرے وہ جو درندے اور اُس کے پُتلے کی پرستش کرتے ہیں اور اُس کا نشان قبول کرتے ہیں۔ اگرچہ کلیسیا اور ریاست اپنی طاقت کو یکجا کر کے سب لوگوں کو، “چھوٹے اور بڑے، دولتمند اور غریب، آزاد اور غلام،” درندے کا نشان لینے پر مجبور کریں گے، تو بھی خدا کے لوگ اسے قبول نہیں کریں گے۔ مکاشفہ 13:16۔ پتمس کا نبی اُنہیں دیکھتا ہے “جو درندے پر، اور اُس کے پُتلے پر، اور اُس کے نشان پر، اور اُس کے نام کے عدد پر غالب آئے تھے، شیشے کے سمندر کے کنارے کھڑے ہیں، اور خدا کی بربطیں اُن کے ہاتھوں میں ہیں،” اور وہ موسیٰ اور برّہ کا گیت گا رہے ہیں۔ مکاشفہ 15:2۔</w:t>
      </w:r>
    </w:p>
    <w:p>
      <w:pPr>
        <w:pStyle w:val="ArticleScripture"/>
        <w:jc w:val="left"/>
      </w:pPr>
      <w:r>
        <w:rPr>
          <w:rFonts w:ascii="Times New Roman" w:hAnsi="Times New Roman" w:eastAsia="Times New Roman" w:cs="Times New Roman"/>
        </w:rPr>
        <w:t>«Құдай халқын үрейлі сынақтар мен ауыртпалықтар күтіп тұр. Соғыс рухы жердің бір шетінен екінші шетіне дейінгі халықтарды қозғап жатыр. Бірақ келіп тұрған қиын-қыстау заманның ортасында,—ұлт пайда болғаннан бері болмаған сондай бір қиыншылық заманында,—Құдайдың таңдаулы халқы шайқалмай тұрады. Шайтан мен оның әскері оларды құрта алмайды, өйткені күш-қуаты асқан періштелер оларды қорғайтын болады». Testimonies, volume 9, 15–17.</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ꯁ꯭ꯅꯥꯄꯥ</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ꯂꯣꯜꯁꯤꯡ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ꯈꯟꯗꯣꯛꯅꯕꯥ</w:t>
      </w:r>
      <w:r>
        <w:rPr>
          <w:rFonts w:ascii="Times New Roman" w:hAnsi="Times New Roman" w:eastAsia="Times New Roman" w:cs="Times New Roman"/>
        </w:rPr>
        <w:t xml:space="preserve"> </w:t>
      </w:r>
      <w:r>
        <w:rPr>
          <w:rFonts w:ascii="Nirmala UI" w:hAnsi="Nirmala UI" w:eastAsia="Nirmala UI" w:cs="Nirmala UI"/>
        </w:rPr>
        <w:t>ꯊꯥꯡꯗꯣꯛꯂꯤ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Testimonies volume nine </w:t>
      </w:r>
      <w:r>
        <w:rPr>
          <w:rFonts w:ascii="Nirmala UI" w:hAnsi="Nirmala UI" w:eastAsia="Nirmala UI" w:cs="Nirmala UI"/>
        </w:rPr>
        <w:t>ꯒꯤ</w:t>
      </w:r>
      <w:r>
        <w:rPr>
          <w:rFonts w:ascii="Times New Roman" w:hAnsi="Times New Roman" w:eastAsia="Times New Roman" w:cs="Times New Roman"/>
        </w:rPr>
        <w:t xml:space="preserve"> page eleven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ꯁ꯭ꯅꯥꯄꯥ</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ꯅꯥꯏꯟ</w:t>
      </w:r>
      <w:r>
        <w:rPr>
          <w:rFonts w:ascii="Times New Roman" w:hAnsi="Times New Roman" w:eastAsia="Times New Roman" w:cs="Times New Roman"/>
        </w:rPr>
        <w:t>-</w:t>
      </w:r>
      <w:r>
        <w:rPr>
          <w:rFonts w:ascii="Nirmala UI" w:hAnsi="Nirmala UI" w:eastAsia="Nirmala UI" w:cs="Nirmala UI"/>
        </w:rPr>
        <w:t>ꯏꯂꯦꯚꯦꯟ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ꯍꯥꯟꯖꯤꯜꯂꯕ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ꯃꯤꯡꯊꯣꯜ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ꯂꯨꯍꯣꯡꯕꯥ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Habakkuk </w:t>
      </w:r>
      <w:r>
        <w:rPr>
          <w:rFonts w:ascii="Nirmala UI" w:hAnsi="Nirmala UI" w:eastAsia="Nirmala UI" w:cs="Nirmala UI"/>
        </w:rPr>
        <w:t>ꯒꯤ</w:t>
      </w:r>
      <w:r>
        <w:rPr>
          <w:rFonts w:ascii="Times New Roman" w:hAnsi="Times New Roman" w:eastAsia="Times New Roman" w:cs="Times New Roman"/>
        </w:rPr>
        <w:t xml:space="preserve"> charts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ꯃꯔꯝꯁꯨ</w:t>
      </w:r>
      <w:r>
        <w:rPr>
          <w:rFonts w:ascii="Times New Roman" w:hAnsi="Times New Roman" w:eastAsia="Times New Roman" w:cs="Times New Roman"/>
        </w:rPr>
        <w:t xml:space="preserve"> </w:t>
      </w:r>
      <w:r>
        <w:rPr>
          <w:rFonts w:ascii="Nirmala UI" w:hAnsi="Nirmala UI" w:eastAsia="Nirmala UI" w:cs="Nirmala UI"/>
        </w:rPr>
        <w:t>ꯈꯟꯗꯣꯛꯀꯗꯕꯅꯤ</w:t>
      </w:r>
      <w:r>
        <w:rPr>
          <w:rFonts w:ascii="Times New Roman" w:hAnsi="Times New Roman" w:eastAsia="Times New Roman" w:cs="Times New Roman"/>
        </w:rPr>
        <w:t xml:space="preserve">, </w:t>
      </w:r>
      <w:r>
        <w:rPr>
          <w:rFonts w:ascii="Nirmala UI" w:hAnsi="Nirmala UI" w:eastAsia="Nirmala UI" w:cs="Nirmala UI"/>
        </w:rPr>
        <w:t>ꯃꯗꯨꯗꯒꯤ</w:t>
      </w:r>
      <w:r>
        <w:rPr>
          <w:rFonts w:ascii="Times New Roman" w:hAnsi="Times New Roman" w:eastAsia="Times New Roman" w:cs="Times New Roman"/>
        </w:rPr>
        <w:t xml:space="preserve"> Paul </w:t>
      </w:r>
      <w:r>
        <w:rPr>
          <w:rFonts w:ascii="Nirmala UI" w:hAnsi="Nirmala UI" w:eastAsia="Nirmala UI" w:cs="Nirmala UI"/>
        </w:rPr>
        <w:t>ꯅꯥ</w:t>
      </w:r>
      <w:r>
        <w:rPr>
          <w:rFonts w:ascii="Times New Roman" w:hAnsi="Times New Roman" w:eastAsia="Times New Roman" w:cs="Times New Roman"/>
        </w:rPr>
        <w:t xml:space="preserve"> Hebrews </w:t>
      </w:r>
      <w:r>
        <w:rPr>
          <w:rFonts w:ascii="Nirmala UI" w:hAnsi="Nirmala UI" w:eastAsia="Nirmala UI" w:cs="Nirmala UI"/>
        </w:rPr>
        <w:t>ꯒꯤ</w:t>
      </w:r>
      <w:r>
        <w:rPr>
          <w:rFonts w:ascii="Times New Roman" w:hAnsi="Times New Roman" w:eastAsia="Times New Roman" w:cs="Times New Roman"/>
        </w:rPr>
        <w:t xml:space="preserve"> book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ꯏꯁꯤꯕ</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ꯂꯧꯊꯣꯛꯈꯤ꯫</w:t>
      </w:r>
      <w:r>
        <w:rPr>
          <w:rFonts w:ascii="Times New Roman" w:hAnsi="Times New Roman" w:eastAsia="Times New Roman" w:cs="Times New Roman"/>
        </w:rPr>
        <w:t xml:space="preserve"> </w:t>
      </w:r>
      <w:r>
        <w:rPr>
          <w:rFonts w:ascii="Nirmala UI" w:hAnsi="Nirmala UI" w:eastAsia="Nirmala UI" w:cs="Nirmala UI"/>
        </w:rPr>
        <w:t>ꯁ꯭ꯅꯥꯄꯥ</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September 11, 2001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Adventism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ꯍꯧꯖꯤꯛꯄꯗ</w:t>
      </w:r>
      <w:r>
        <w:rPr>
          <w:rFonts w:ascii="Times New Roman" w:hAnsi="Times New Roman" w:eastAsia="Times New Roman" w:cs="Times New Roman"/>
        </w:rPr>
        <w:t xml:space="preserve"> </w:t>
      </w:r>
      <w:r>
        <w:rPr>
          <w:rFonts w:ascii="Nirmala UI" w:hAnsi="Nirmala UI" w:eastAsia="Nirmala UI" w:cs="Nirmala UI"/>
        </w:rPr>
        <w:t>ꯆꯪꯂꯛꯄ</w:t>
      </w:r>
      <w:r>
        <w:rPr>
          <w:rFonts w:ascii="Times New Roman" w:hAnsi="Times New Roman" w:eastAsia="Times New Roman" w:cs="Times New Roman"/>
        </w:rPr>
        <w:t xml:space="preserve"> prophecy </w:t>
      </w:r>
      <w:r>
        <w:rPr>
          <w:rFonts w:ascii="Nirmala UI" w:hAnsi="Nirmala UI" w:eastAsia="Nirmala UI" w:cs="Nirmala UI"/>
        </w:rPr>
        <w:t>ꯒꯤ</w:t>
      </w:r>
      <w:r>
        <w:rPr>
          <w:rFonts w:ascii="Times New Roman" w:hAnsi="Times New Roman" w:eastAsia="Times New Roman" w:cs="Times New Roman"/>
        </w:rPr>
        <w:t xml:space="preserve"> covenant </w:t>
      </w:r>
      <w:r>
        <w:rPr>
          <w:rFonts w:ascii="Nirmala UI" w:hAnsi="Nirmala UI" w:eastAsia="Nirmala UI" w:cs="Nirmala UI"/>
        </w:rPr>
        <w:t>ꯑꯗꯨꯒꯤ</w:t>
      </w:r>
      <w:r>
        <w:rPr>
          <w:rFonts w:ascii="Times New Roman" w:hAnsi="Times New Roman" w:eastAsia="Times New Roman" w:cs="Times New Roman"/>
        </w:rPr>
        <w:t xml:space="preserve"> two tables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ꯃꯤꯡꯊꯣꯜ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the last crisis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the last Midnight Cry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ꯑꯩꯗꯦꯟꯇꯤꯐꯥꯏ</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ꯁ꯭ꯅꯥꯄꯥ</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ꯂꯣꯜꯁꯤꯡ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ꯑꯌꯥꯕ</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ꯂꯣꯜꯁꯤꯡ</w:t>
      </w:r>
      <w:r>
        <w:rPr>
          <w:rFonts w:ascii="Times New Roman" w:hAnsi="Times New Roman" w:eastAsia="Times New Roman" w:cs="Times New Roman"/>
        </w:rPr>
        <w:t xml:space="preserve"> </w:t>
      </w:r>
      <w:r>
        <w:rPr>
          <w:rFonts w:ascii="Nirmala UI" w:hAnsi="Nirmala UI" w:eastAsia="Nirmala UI" w:cs="Nirmala UI"/>
        </w:rPr>
        <w:t>ꯑꯅꯤꯃꯛꯇ</w:t>
      </w:r>
      <w:r>
        <w:rPr>
          <w:rFonts w:ascii="Times New Roman" w:hAnsi="Times New Roman" w:eastAsia="Times New Roman" w:cs="Times New Roman"/>
        </w:rPr>
        <w:t xml:space="preserve"> </w:t>
      </w:r>
      <w:r>
        <w:rPr>
          <w:rFonts w:ascii="Nirmala UI" w:hAnsi="Nirmala UI" w:eastAsia="Nirmala UI" w:cs="Nirmala UI"/>
        </w:rPr>
        <w:t>ꯑꯈꯪꯕ</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ꯂꯥꯏꯔꯤꯁꯤꯁ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w:t>
      </w:r>
    </w:p>
    <w:p>
      <w:pPr>
        <w:pStyle w:val="ArticleScripture"/>
        <w:jc w:val="left"/>
      </w:pPr>
      <w:r>
        <w:rPr>
          <w:rFonts w:ascii="Times New Roman" w:hAnsi="Times New Roman" w:eastAsia="Times New Roman" w:cs="Times New Roman"/>
        </w:rPr>
        <w:t>“</w:t>
      </w:r>
      <w:r>
        <w:rPr>
          <w:rFonts w:ascii="Ebrima" w:hAnsi="Ebrima" w:eastAsia="Ebrima" w:cs="Ebrima"/>
        </w:rPr>
        <w:t>ምዕራፍ</w:t>
      </w:r>
      <w:r>
        <w:rPr>
          <w:rFonts w:ascii="Times New Roman" w:hAnsi="Times New Roman" w:eastAsia="Times New Roman" w:cs="Times New Roman"/>
        </w:rPr>
        <w:t xml:space="preserve"> 1—</w:t>
      </w:r>
      <w:r>
        <w:rPr>
          <w:rFonts w:ascii="Ebrima" w:hAnsi="Ebrima" w:eastAsia="Ebrima" w:cs="Ebrima"/>
        </w:rPr>
        <w:t>ለንጉሡ</w:t>
      </w:r>
      <w:r>
        <w:rPr>
          <w:rFonts w:ascii="Times New Roman" w:hAnsi="Times New Roman" w:eastAsia="Times New Roman" w:cs="Times New Roman"/>
        </w:rPr>
        <w:t xml:space="preserve"> </w:t>
      </w:r>
      <w:r>
        <w:rPr>
          <w:rFonts w:ascii="Ebrima" w:hAnsi="Ebrima" w:eastAsia="Ebrima" w:cs="Ebrima"/>
        </w:rPr>
        <w:t>መምጣት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«اَمّا بَعد از اَندک زمانی، آن که باید بیاید، خواهد آمد و درنگ نخواهد کرد.» عبرانیان ۱۰:۳۷.</w:t>
      </w:r>
    </w:p>
    <w:p>
      <w:pPr>
        <w:pStyle w:val="ArticleScripture"/>
        <w:jc w:val="left"/>
      </w:pPr>
      <w:r>
        <w:rPr>
          <w:rFonts w:ascii="Times New Roman" w:hAnsi="Times New Roman" w:eastAsia="Times New Roman" w:cs="Times New Roman"/>
        </w:rPr>
        <w:t>“Ən Son Böhran”</w:t>
      </w:r>
    </w:p>
    <w:p>
      <w:pPr>
        <w:pStyle w:val="ArticleScripture"/>
        <w:jc w:val="left"/>
      </w:pPr>
      <w:r>
        <w:rPr>
          <w:rFonts w:ascii="Times New Roman" w:hAnsi="Times New Roman" w:eastAsia="Times New Roman" w:cs="Times New Roman"/>
        </w:rPr>
        <w:t>“Ñande jaiko pahápe guare ára-pe. Umi ára rehegua techaukaha pya’e oñekumplíva omombe’u porã Cristo oumbotaitémaha. Umi ára jaikohápe ningo ha’e pohýi ha tuichamba’e. Tupã Espíritu mbeguekatúpe ha katu añetépe oñemboguejy ojeheja hag̃ua ko yvygui. Mbyaipa ha juicio-kuéra oñepyrũma oguejy Tupã grásia omboykóva ári. Umi ñehundi yvýre ha yguasu ári, tekove atyguasu reko ndaipytáiva hendápe, ñorairõ kyhyje marandu, opa umíva techaukaha pohýi hína. Umíva ohechauka umi mba’e oúvape, tuichaitereíva.” Testimonies, volúmen 9, 11.</w:t>
      </w:r>
    </w:p>
    <w:p>
      <w:pPr>
        <w:pStyle w:val="ArticleBody"/>
        <w:jc w:val="left"/>
      </w:pPr>
      <w:r>
        <w:rPr>
          <w:rFonts w:ascii="Times New Roman" w:hAnsi="Times New Roman" w:eastAsia="Times New Roman" w:cs="Times New Roman"/>
        </w:rPr>
        <w:t>Akan wirsnoɓe kadi, tee en jaɓii noddaare toownde nde ngoni golle “hunnduko” Alla, no Yeremiya woniɗi ɗum, en nattan ko neeɓi e fedde rewɓe mawnde nde taarikhi ceedeeru yelaaɗe.</w:t>
      </w:r>
    </w:p>
    <w:p>
      <w:pPr>
        <w:pStyle w:val="ArticleScripture"/>
        <w:jc w:val="left"/>
      </w:pPr>
      <w:r>
        <w:rPr>
          <w:rFonts w:ascii="Times New Roman" w:hAnsi="Times New Roman" w:eastAsia="Times New Roman" w:cs="Times New Roman"/>
        </w:rPr>
        <w:t>Осылармен бірге Ол оларға үміт пен жігер сөздерін де айтты. «Жүректерің мазаланбасын, — деді Ол, — Құдайға сенесіңдер, Маған да сеніңдер. Әкемнің үйінде тұратын орын көп; егер олай болмағанда, сендерге айтар едім. Мен сендерге орын дайындауға барамын. Егер барып, сендерге орын дайындасам, қайтадан келіп, сендерді Өзіме қабылдап аламын; сонда Мен қайда болсам, сендер де сонда боласыңдар. Қайда баратынымды білесіңдер, жолды да білесіңдер». Жохан 14:1–4. Сендер үшін Мен осы дүниеге келдім; сендер үшін еңбек етіп келемін. Мен кеткеннен кейін де сендер үшін ынтамен әрекет ете беремін. Мен Өзімді сендерге ашу үшін, сендер сенсін деп, дүниеге келдім. Мен Әкеме, әрі сендердің Әкелеріңе, сендердің игіліктерің үшін Онымен бірлесе әрекет етуге барамын.</w:t>
      </w:r>
    </w:p>
    <w:p>
      <w:pPr>
        <w:pStyle w:val="ArticleScripture"/>
        <w:jc w:val="left"/>
      </w:pPr>
      <w:r>
        <w:rPr>
          <w:rFonts w:ascii="Times New Roman" w:hAnsi="Times New Roman" w:eastAsia="Times New Roman" w:cs="Times New Roman"/>
        </w:rPr>
        <w:t>“«Ассалам, ассалам, слерге айтаман: Маған иман келтирген киши, Мен қылған ислерди ол һәм қылар; бұлардан да улуқ ислерни қылар; нәгә дегенде, Мен Өз Әтеме кетемен». Юханна 14:12. Мұнымен, Мәсих шәкіртлер Өзи қылғанынан да үстүнәрәк аракетлер қылады дегенни назарда тутмиған, бәлки уларниң хизмити көләми жағидин чоңрақ болидиғанлиғини меңзигән еди. У пәқәт мөҗүзә көрситишнила әмәс, бәлки Муқәддәс Роһниң әмәл-һәрикити астида йүз беридиған һәммә ишни назарда тутқан еди. «Тәсәлли Бергүчи кәлгәндә,— деди У,— Мән Уни Атидин слерге әвәтимән, йәни Атидин чиқидиған һәқиқәт Роһи, У Мениң тоғрамда гуваһлиқ бериду; силәрму гуваһлиқ берисиләр, чүнки бешидин тартип Мән билән биргә болдыңлар». Юханна 15:26, 27.”</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ယင်းစကားများသည်</w:t>
      </w:r>
      <w:r>
        <w:rPr>
          <w:rFonts w:ascii="Times New Roman" w:hAnsi="Times New Roman" w:eastAsia="Times New Roman" w:cs="Times New Roman"/>
        </w:rPr>
        <w:t xml:space="preserve"> </w:t>
      </w:r>
      <w:r>
        <w:rPr>
          <w:rFonts w:ascii="Myanmar Text" w:hAnsi="Myanmar Text" w:eastAsia="Myanmar Text" w:cs="Myanmar Text"/>
        </w:rPr>
        <w:t>အလွန်အံ့ဖွယ်ကောင်းစွာ</w:t>
      </w:r>
      <w:r>
        <w:rPr>
          <w:rFonts w:ascii="Times New Roman" w:hAnsi="Times New Roman" w:eastAsia="Times New Roman" w:cs="Times New Roman"/>
        </w:rPr>
        <w:t xml:space="preserve"> </w:t>
      </w:r>
      <w:r>
        <w:rPr>
          <w:rFonts w:ascii="Myanmar Text" w:hAnsi="Myanmar Text" w:eastAsia="Myanmar Text" w:cs="Myanmar Text"/>
        </w:rPr>
        <w:t>ပြည့်စုံလာခဲ့သည်။</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ဆင်းသက်တော်မူပြီးနောက်၊</w:t>
      </w:r>
      <w:r>
        <w:rPr>
          <w:rFonts w:ascii="Times New Roman" w:hAnsi="Times New Roman" w:eastAsia="Times New Roman" w:cs="Times New Roman"/>
        </w:rPr>
        <w:t xml:space="preserve"> </w:t>
      </w:r>
      <w:r>
        <w:rPr>
          <w:rFonts w:ascii="Myanmar Text" w:hAnsi="Myanmar Text" w:eastAsia="Myanmar Text" w:cs="Myanmar Text"/>
        </w:rPr>
        <w:t>တပည့်တော်တို့သည်</w:t>
      </w:r>
      <w:r>
        <w:rPr>
          <w:rFonts w:ascii="Times New Roman" w:hAnsi="Times New Roman" w:eastAsia="Times New Roman" w:cs="Times New Roman"/>
        </w:rPr>
        <w:t xml:space="preserve"> </w:t>
      </w:r>
      <w:r>
        <w:rPr>
          <w:rFonts w:ascii="Myanmar Text" w:hAnsi="Myanmar Text" w:eastAsia="Myanmar Text" w:cs="Myanmar Text"/>
        </w:rPr>
        <w:t>ကိုယ်တော်နှင့်</w:t>
      </w:r>
      <w:r>
        <w:rPr>
          <w:rFonts w:ascii="Times New Roman" w:hAnsi="Times New Roman" w:eastAsia="Times New Roman" w:cs="Times New Roman"/>
        </w:rPr>
        <w:t xml:space="preserve"> </w:t>
      </w:r>
      <w:r>
        <w:rPr>
          <w:rFonts w:ascii="Myanmar Text" w:hAnsi="Myanmar Text" w:eastAsia="Myanmar Text" w:cs="Myanmar Text"/>
        </w:rPr>
        <w:t>ကိုယ်တော်၏သေခြင်းအားဖြင့်</w:t>
      </w:r>
      <w:r>
        <w:rPr>
          <w:rFonts w:ascii="Times New Roman" w:hAnsi="Times New Roman" w:eastAsia="Times New Roman" w:cs="Times New Roman"/>
        </w:rPr>
        <w:t xml:space="preserve"> </w:t>
      </w:r>
      <w:r>
        <w:rPr>
          <w:rFonts w:ascii="Myanmar Text" w:hAnsi="Myanmar Text" w:eastAsia="Myanmar Text" w:cs="Myanmar Text"/>
        </w:rPr>
        <w:t>ရွေးနုတ်ခြင်းခံရသူတို့အတွက်</w:t>
      </w:r>
      <w:r>
        <w:rPr>
          <w:rFonts w:ascii="Times New Roman" w:hAnsi="Times New Roman" w:eastAsia="Times New Roman" w:cs="Times New Roman"/>
        </w:rPr>
        <w:t xml:space="preserve"> </w:t>
      </w:r>
      <w:r>
        <w:rPr>
          <w:rFonts w:ascii="Myanmar Text" w:hAnsi="Myanmar Text" w:eastAsia="Myanmar Text" w:cs="Myanmar Text"/>
        </w:rPr>
        <w:t>ချစ်ခြင်းမေတ္တာဖြင့်</w:t>
      </w:r>
      <w:r>
        <w:rPr>
          <w:rFonts w:ascii="Times New Roman" w:hAnsi="Times New Roman" w:eastAsia="Times New Roman" w:cs="Times New Roman"/>
        </w:rPr>
        <w:t xml:space="preserve"> </w:t>
      </w:r>
      <w:r>
        <w:rPr>
          <w:rFonts w:ascii="Myanmar Text" w:hAnsi="Myanmar Text" w:eastAsia="Myanmar Text" w:cs="Myanmar Text"/>
        </w:rPr>
        <w:t>အလွန်ပြည့်ဝနေကြသဖြင့်၊</w:t>
      </w:r>
      <w:r>
        <w:rPr>
          <w:rFonts w:ascii="Times New Roman" w:hAnsi="Times New Roman" w:eastAsia="Times New Roman" w:cs="Times New Roman"/>
        </w:rPr>
        <w:t xml:space="preserve"> </w:t>
      </w:r>
      <w:r>
        <w:rPr>
          <w:rFonts w:ascii="Myanmar Text" w:hAnsi="Myanmar Text" w:eastAsia="Myanmar Text" w:cs="Myanmar Text"/>
        </w:rPr>
        <w:t>သူတို့ပြောဆိုသောစကားများနှင့်</w:t>
      </w:r>
      <w:r>
        <w:rPr>
          <w:rFonts w:ascii="Times New Roman" w:hAnsi="Times New Roman" w:eastAsia="Times New Roman" w:cs="Times New Roman"/>
        </w:rPr>
        <w:t xml:space="preserve"> </w:t>
      </w:r>
      <w:r>
        <w:rPr>
          <w:rFonts w:ascii="Myanmar Text" w:hAnsi="Myanmar Text" w:eastAsia="Myanmar Text" w:cs="Myanmar Text"/>
        </w:rPr>
        <w:t>ပဌနာပြုသောဆုတောင်းချက်များကြောင့်</w:t>
      </w:r>
      <w:r>
        <w:rPr>
          <w:rFonts w:ascii="Times New Roman" w:hAnsi="Times New Roman" w:eastAsia="Times New Roman" w:cs="Times New Roman"/>
        </w:rPr>
        <w:t xml:space="preserve"> </w:t>
      </w:r>
      <w:r>
        <w:rPr>
          <w:rFonts w:ascii="Myanmar Text" w:hAnsi="Myanmar Text" w:eastAsia="Myanmar Text" w:cs="Myanmar Text"/>
        </w:rPr>
        <w:t>လူတို့၏နှလုံးသားများသည်</w:t>
      </w:r>
      <w:r>
        <w:rPr>
          <w:rFonts w:ascii="Times New Roman" w:hAnsi="Times New Roman" w:eastAsia="Times New Roman" w:cs="Times New Roman"/>
        </w:rPr>
        <w:t xml:space="preserve"> </w:t>
      </w:r>
      <w:r>
        <w:rPr>
          <w:rFonts w:ascii="Myanmar Text" w:hAnsi="Myanmar Text" w:eastAsia="Myanmar Text" w:cs="Myanmar Text"/>
        </w:rPr>
        <w:t>ပျော့ပျောင်းသွားကြသည်။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ဝိညာဉ်တော်၏တန်ခိုးအားဖြင့်</w:t>
      </w:r>
      <w:r>
        <w:rPr>
          <w:rFonts w:ascii="Times New Roman" w:hAnsi="Times New Roman" w:eastAsia="Times New Roman" w:cs="Times New Roman"/>
        </w:rPr>
        <w:t xml:space="preserve"> </w:t>
      </w:r>
      <w:r>
        <w:rPr>
          <w:rFonts w:ascii="Myanmar Text" w:hAnsi="Myanmar Text" w:eastAsia="Myanmar Text" w:cs="Myanmar Text"/>
        </w:rPr>
        <w:t>ဟောပြောကြ၏။</w:t>
      </w:r>
      <w:r>
        <w:rPr>
          <w:rFonts w:ascii="Times New Roman" w:hAnsi="Times New Roman" w:eastAsia="Times New Roman" w:cs="Times New Roman"/>
        </w:rPr>
        <w:t xml:space="preserve"> </w:t>
      </w:r>
      <w:r>
        <w:rPr>
          <w:rFonts w:ascii="Myanmar Text" w:hAnsi="Myanmar Text" w:eastAsia="Myanmar Text" w:cs="Myanmar Text"/>
        </w:rPr>
        <w:t>ထိုတန်ခိုး၏</w:t>
      </w:r>
      <w:r>
        <w:rPr>
          <w:rFonts w:ascii="Times New Roman" w:hAnsi="Times New Roman" w:eastAsia="Times New Roman" w:cs="Times New Roman"/>
        </w:rPr>
        <w:t xml:space="preserve"> </w:t>
      </w:r>
      <w:r>
        <w:rPr>
          <w:rFonts w:ascii="Myanmar Text" w:hAnsi="Myanmar Text" w:eastAsia="Myanmar Text" w:cs="Myanmar Text"/>
        </w:rPr>
        <w:t>သက်ရောက်မှုအောက်တွင်</w:t>
      </w:r>
      <w:r>
        <w:rPr>
          <w:rFonts w:ascii="Times New Roman" w:hAnsi="Times New Roman" w:eastAsia="Times New Roman" w:cs="Times New Roman"/>
        </w:rPr>
        <w:t xml:space="preserve"> </w:t>
      </w:r>
      <w:r>
        <w:rPr>
          <w:rFonts w:ascii="Myanmar Text" w:hAnsi="Myanmar Text" w:eastAsia="Myanmar Text" w:cs="Myanmar Text"/>
        </w:rPr>
        <w:t>လူထောင်ပေါင်းများစွာသည်</w:t>
      </w:r>
      <w:r>
        <w:rPr>
          <w:rFonts w:ascii="Times New Roman" w:hAnsi="Times New Roman" w:eastAsia="Times New Roman" w:cs="Times New Roman"/>
        </w:rPr>
        <w:t xml:space="preserve"> </w:t>
      </w:r>
      <w:r>
        <w:rPr>
          <w:rFonts w:ascii="Myanmar Text" w:hAnsi="Myanmar Text" w:eastAsia="Myanmar Text" w:cs="Myanmar Text"/>
        </w:rPr>
        <w:t>ပြောင်းလဲလာကြသည်။</w:t>
      </w:r>
      <w:r>
        <w:rPr>
          <w:rFonts w:ascii="Times New Roman" w:hAnsi="Times New Roman" w:eastAsia="Times New Roman" w:cs="Times New Roman"/>
        </w:rPr>
        <w:t>”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Хакъикъат юу? — Бешинчи сан</dc:title>
  <dc:subject>आरामदायक</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