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nummer to</w:t>
      </w:r>
    </w:p>
    <w:p>
      <w:pPr>
        <w:pStyle w:val="ArticleSubtitle"/>
        <w:jc w:val="left"/>
      </w:pPr>
      <w:r>
        <w:rPr>
          <w:rFonts w:ascii="Arial" w:hAnsi="Arial" w:eastAsia="Arial" w:cs="Arial"/>
        </w:rPr>
        <w:t>De Forenede Stater, Patriot Act og vejen til den profetiske opfyldelse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Vi afsluttede den sidste artikel med sætningen, der lød: »I 2001 gjorde De Forenede Staters regering Patriot Act til lov.«</w:t>
      </w:r>
    </w:p>
    <w:p>
      <w:pPr>
        <w:pStyle w:val="ArticleScripture"/>
        <w:jc w:val="left"/>
      </w:pPr>
      <w:r>
        <w:rPr>
          <w:rFonts w:ascii="Times New Roman" w:hAnsi="Times New Roman" w:eastAsia="Times New Roman" w:cs="Times New Roman"/>
        </w:rPr>
        <w:t>„Der er mange, selv blandt dem, der er engageret i denne bevægelse for håndhævelse af søndagen, som er blændet for de følger, der vil efterfølge denne handling. De ser ikke, at de retter et direkte angreb mod religionsfriheden. Der er mange, som aldrig har forstået den bibelske sabbats krav og det falske grundlag, hvorpå søndagsinstitutionen hviler. Enhver bevægelse til fordel for religiøs lovgivning er i virkeligheden en indrømmelseshandling over for pavedømmet, som gennem så mange tidsaldre uafbrudt har ført krig mod samvittighedsfriheden. Søndagshelligholdelsen skylder sin eksistens som en såkaldt kristen institution ‘lovløshedens hemmelighed’; og dens håndhævelse vil være en faktisk anerkendelse af de principper, som udgør selve hjørnestenen i romerkirken. Når vor nation således forkaster sit styres princippers ånd ved at vedtage en søndagslov, vil protestantismen ved denne handling række hånden til pavedømmet; det vil ikke være andet end at give liv til det tyranni, som længe ivrigt har spejdet efter sin anledning til igen at springe frem i aktiv despoti.“ Testimonies, bind 5, 711.</w:t>
      </w:r>
    </w:p>
    <w:p>
      <w:pPr>
        <w:pStyle w:val="ArticleBody"/>
        <w:jc w:val="left"/>
      </w:pPr>
      <w:r>
        <w:rPr>
          <w:rFonts w:ascii="Times New Roman" w:hAnsi="Times New Roman" w:eastAsia="Times New Roman" w:cs="Times New Roman"/>
        </w:rPr>
        <w:t>1888 var et forbillede på 2001, og det var da, at Blair-lovforslaget blev fremsat; men dets manglende vedtagelse forhindrede det i profetisk henseende i at tale. Det blev tegnet på år 66 e.Kr., en belejring, som blev indledt og derpå på mystisk vis trukket tilbage. Når det forstås, at der er to prøvetidsperioder for dyrets billede, og at den anden periode begynder med søndagsloven i De Forenede Stater, forudskygget ved året 321, og at perioden ender, når verdens søndagslov, forudskygget ved 538, håndhæves fuldt ud, da kræver det profetisk, at begyndelsen på den første prøvetidsperiode for dyrets billede også begynder med en eller anden form for typologisk udtryk for en søndagslov. I 1888 var Blair-lovforslaget et forsøg på at håndhæve en national søndagslov, og 1888 angiver, hvornår engelen i Åbenbaringen atten stiger ned og oplyser jorden med sin herlighed.</w:t>
      </w:r>
    </w:p>
    <w:p>
      <w:pPr>
        <w:pStyle w:val="ArticleBody"/>
        <w:jc w:val="left"/>
      </w:pPr>
      <w:r>
        <w:rPr>
          <w:rFonts w:ascii="Times New Roman" w:hAnsi="Times New Roman" w:eastAsia="Times New Roman" w:cs="Times New Roman"/>
        </w:rPr>
        <w:t>Patriot Act er en typificering af en søndagslov, der indleder billedet af dyret og prøvetiden i De Forenede Stater. De Forenede Stater taler som en drage til opfyldelse af Åbenbaringen kapitel tretten, vers elleve, når det håndhæver søndagsloven. Når det håndhæver denne lov, vil det tale som en drage, og den søndagslov identificerer, at dyrets billede er fuldt dannet i De Forenede Stater. På dette tidspunkt har De Forenede Stater fyldt sit prøvetidsbæger, og nationalt frafald efterfølges af national undergang. På dette tidspunkt ophører De Forenede Stater med at være det sjette rige i Bibelens profeti, idet den trefoldige union etableres.</w:t>
      </w:r>
    </w:p>
    <w:p>
      <w:pPr>
        <w:pStyle w:val="ArticleBody"/>
        <w:jc w:val="left"/>
      </w:pPr>
      <w:r>
        <w:rPr>
          <w:rFonts w:ascii="Times New Roman" w:hAnsi="Times New Roman" w:eastAsia="Times New Roman" w:cs="Times New Roman"/>
        </w:rPr>
        <w:t>Alfa og Omega fremstiller altid enden sammen med begyndelsen, og ved De Forenede Staters begyndelse var der tre gange, hvor De Forenede Stater profetisk talte, hvilket markerede begyndelsen på De Forenede Stater som det sjette rige i Bibelens profeti. Uafhængighedserklæringen i 1776, efterfulgt af Forfatningen af 1789 og dernæst Alien and Sedition Acts af 1798, identificerer de første tre gange, hvor De Forenede Stater profetisk talte. Hver af disse tre publikationer repræsenterede De Forenede Staters tale. Disse tre trin førte til 1798, begyndelsen på De Forenede Staters regering som det sjette rige i Bibelens profeti. De samme tre vejmærker ved De Forenede Staters begyndelse repræsenterer tre vejmærker, som fører til afslutningen på De Forenede Staters regering som det sjette rige i Bibelens profeti.</w:t>
      </w:r>
    </w:p>
    <w:p>
      <w:pPr>
        <w:pStyle w:val="ArticleBody"/>
        <w:jc w:val="left"/>
      </w:pPr>
      <w:r>
        <w:rPr>
          <w:rFonts w:ascii="Times New Roman" w:hAnsi="Times New Roman" w:eastAsia="Times New Roman" w:cs="Times New Roman"/>
        </w:rPr>
        <w:t>Patriot Act er den første af tre gange, hvor De Forenede Stater taler, idet det bevæger sig mod sin afslutning som det sjette kongerige. Den tredje tale, som identificerer afslutningen på det sjette kongerige, er søndagsloven. Midt i denne historie blev Pelosi-retssagerne den 6. januar, som begyndte i 2022, indledt. Retssagerne var en direkte forkastelse af de rettigheder, der er nedfældet i Forfatningen, fordi retssagerne var af politisk karakter, og den juridiske krigsførelse ikke blot var en opdigtning af kendsgerninger, men faktisk et direkte angreb på „processuel“ og „materiel“ lov, således som disse er identificeret i Forfatningen.</w:t>
      </w:r>
    </w:p>
    <w:p>
      <w:pPr>
        <w:pStyle w:val="ArticleBody"/>
        <w:jc w:val="left"/>
      </w:pPr>
      <w:r>
        <w:rPr>
          <w:rFonts w:ascii="Times New Roman" w:hAnsi="Times New Roman" w:eastAsia="Times New Roman" w:cs="Times New Roman"/>
        </w:rPr>
        <w:t>Patriot Act i 2001 var et direkte angreb på “Due Process Clause”, som findes både i det femte forfatningstillæg og i det fjortende forfatningstillæg til USA’s forfatning. Disse fastslår, at ingen må berøves liv, frihed eller ejendom uden behørig rettergang. Det var i 2001, og i 2022 var angrebet på forfatningen rettet mod både “procedural due process” og “substantive due process”. Ordet “repudiate” betyder at fornægte, og Søster White påpeger, at ved søndagsloven i USA vil ethvert princip i forfatningen blive fornægtet.</w:t>
      </w:r>
    </w:p>
    <w:p>
      <w:pPr>
        <w:pStyle w:val="ArticleScripture"/>
        <w:jc w:val="left"/>
      </w:pPr>
      <w:r>
        <w:rPr>
          <w:rFonts w:ascii="Times New Roman" w:hAnsi="Times New Roman" w:eastAsia="Times New Roman" w:cs="Times New Roman"/>
        </w:rPr>
        <w:t>„Ved det dekret, som gennemtvinger pavedømmets institution i overtrædelse af Guds lov, vil vor nation fuldstændigt afskære sig fra retfærdigheden. Når protestantismen skal række sin hånd over kløften for at gribe den romerske magts hånd, når den skal række hen over afgrunden for at slutte hånd med spiritismen, når vort land under indflydelse af denne trefoldige forening skal forkaste ethvert princip i sin forfatning som en protestantisk og republikansk regering og træffe foranstaltning til udbredelsen af pavelige falskheder og vildfarelser, da kan vi vide, at tiden er kommet for Satans vidunderlige virke, og at enden er nær.“</w:t>
      </w:r>
    </w:p>
    <w:p>
      <w:pPr>
        <w:pStyle w:val="ArticleScripture"/>
        <w:jc w:val="left"/>
      </w:pPr>
      <w:r>
        <w:rPr>
          <w:rFonts w:ascii="Times New Roman" w:hAnsi="Times New Roman" w:eastAsia="Times New Roman" w:cs="Times New Roman"/>
        </w:rPr>
        <w:t>„Ligesom de romerske hæres fremrykning var et tegn for disciplene på Jerusalems forestående ødelæggelse, således kan dette frafald være et tegn for os på, at grænsen for Guds langmodighed er nået, at vort folks misgerningsmål er fuldt, og at barmhjertighedens engel er ved at tage sin flugt for aldrig mere at vende tilbage. Guds folk vil da blive kastet ud i de scener af lidelse og nød, som profeterne har beskrevet som Jakobs trængselstid. De trofaste, forfulgtes råb stiger op til himlen. Og ligesom Abels blod råbte fra jorden, således er der også røster, der råber til Gud fra martyrernes grave, fra havets gravkamre, fra bjergenes huler, fra klostrenes hvælvinger: ‘Hvor længe, Herre, du hellige og sanddru, vil du ikke dømme og hævne vort blod på dem, som bor på jorden?’”</w:t>
      </w:r>
    </w:p>
    <w:p>
      <w:pPr>
        <w:pStyle w:val="ArticleScripture"/>
        <w:jc w:val="left"/>
      </w:pPr>
      <w:r>
        <w:rPr>
          <w:rFonts w:ascii="Times New Roman" w:hAnsi="Times New Roman" w:eastAsia="Times New Roman" w:cs="Times New Roman"/>
        </w:rPr>
        <w:t>“Herren udfører sit værk. Hele himlen er i bevægelse. Hele jordens Dommer vil snart rejse sig og hævde sin krænkede myndighed. Udfrielsens mærke skal sættes på de mænd, som holder Guds bud, som ærer hans lov, og som nægter at modtage dyrets mærke eller dets billedes mærke.</w:t>
      </w:r>
    </w:p>
    <w:p>
      <w:pPr>
        <w:pStyle w:val="ArticleScripture"/>
        <w:jc w:val="left"/>
      </w:pPr>
      <w:r>
        <w:rPr>
          <w:rFonts w:ascii="Times New Roman" w:hAnsi="Times New Roman" w:eastAsia="Times New Roman" w:cs="Times New Roman"/>
        </w:rPr>
        <w:t>"Gud har åbenbaret, hvad der skal ske i de sidste dage, for at Hans folk må være beredt til at stå imod modstandens og vredens storm. De, som er blevet advaret om de begivenheder, der ligger foran dem, skal ikke sidde i rolig forventning om den kommende storm og trøste sig med, at Herren vil beskytte sine trofaste på trængslens dag. Vi skal være som mænd, der venter på deres Herre, ikke i ledig forventning, men i alvorligt arbejde, med urokkelig tro. Det er ikke nu tid til at lade vore sind optages af ting af mindre betydning. Mens mennesker sover, er Satan aktivt i færd med at ordne forholdene således, at Herrens folk ikke må få barmhjertighed eller retfærdighed. Søndagsbevægelsen baner sig nu vej i mørket. Lederne skjuler det virkelige stridsspørgsmål, og mange af dem, som slutter sig til bevægelsen, ser ikke selv, hvorhen understrømmen driver. Dens bekendelser er milde og tilsyneladende kristelige, men når den taler, vil den åbenbare dragens ånd. Det er vor pligt at gøre alt, hvad der står i vor magt, for at afværge den truende fare. Vi bør søge at afvæbne fordomme ved at stille os selv i det rette lys for folket. Vi bør fremholde det virkelige spørgsmål, der er på spil, og således fremsætte den mest virkningsfulde protest mod foranstaltninger til indskrænkning af samvittighedsfriheden. Vi bør ransage Skrifterne og være i stand til at give grunden til vor tro. Profeten siger: 'De ugudelige skal handle ugudeligt, og ingen af de ugudelige skal forstå; men de vise skal forstå.' Testimonies, bind 5, 451, 452."</w:t>
      </w:r>
    </w:p>
    <w:p>
      <w:pPr>
        <w:pStyle w:val="ArticleBody"/>
        <w:jc w:val="left"/>
      </w:pPr>
      <w:r>
        <w:rPr>
          <w:rFonts w:ascii="Times New Roman" w:hAnsi="Times New Roman" w:eastAsia="Times New Roman" w:cs="Times New Roman"/>
        </w:rPr>
        <w:t>Søster White sætter søndagsloven i forbindelse med flere vejskilte for de sidste dage, og ved at gøre dette åbenbarer hendes ord „hvad der skal finde sted i de sidste dage, for at Hans folk må være beredt til at stå imod modstandens og vredens storm.“ Derfor bør de vejskilte, som hun sammenstiller i dette afsnit, undersøges nøje. Jeg antyder, at referencepunktet er den profetiske linje, som fokuserer på De Forenede Staters forfatning, sammen med nationens „talen“ som et indbyrdes forbundet symbol.</w:t>
      </w:r>
    </w:p>
    <w:p>
      <w:pPr>
        <w:pStyle w:val="ArticleBody"/>
        <w:jc w:val="left"/>
      </w:pPr>
      <w:r>
        <w:rPr>
          <w:rFonts w:ascii="Times New Roman" w:hAnsi="Times New Roman" w:eastAsia="Times New Roman" w:cs="Times New Roman"/>
        </w:rPr>
        <w:t>Med dette mener jeg, at Blair-loven i 1888, Patriot Act i 2001 og de politiske retsforfølgelser, som blev gennemført af demokraterne og globalistiske republikanere med begyndelse i 2022, hver især udgjorde en direkte fornægtelse af to væsentlige elementer i forfatningen. 1888 repræsenterer håndhævelsen af søndagsgudsdyrkelse, og derpå, i 2001, overgangen fra engelsk ret til romersk ret. I 2022 blev den „materielle“ og den „processuelle“ ret angrebet.</w:t>
      </w:r>
    </w:p>
    <w:p>
      <w:pPr>
        <w:pStyle w:val="ArticleBody"/>
        <w:jc w:val="left"/>
      </w:pPr>
      <w:r>
        <w:rPr>
          <w:rFonts w:ascii="Times New Roman" w:hAnsi="Times New Roman" w:eastAsia="Times New Roman" w:cs="Times New Roman"/>
        </w:rPr>
        <w:t>Materiel ret fastlægger enkeltpersoners og organisationers rettigheder og forpligtelser, mens processuel ret skitserer den fremgangsmåde, hvorefter tvister afgøres, og enkeltpersoners og organisationers rettigheder og forpligtelser håndhæves. Loven definerer lovlig og ulovlig adfærd og fastsætter straffen herfor. Materiel ret omfatter mange retsområder, herunder strafferet, civilret og kontraktret.</w:t>
      </w:r>
    </w:p>
    <w:p>
      <w:pPr>
        <w:pStyle w:val="ArticleBody"/>
        <w:jc w:val="left"/>
      </w:pPr>
      <w:r>
        <w:rPr>
          <w:rFonts w:ascii="Times New Roman" w:hAnsi="Times New Roman" w:eastAsia="Times New Roman" w:cs="Times New Roman"/>
        </w:rPr>
        <w:t>Strafferetten er et fremragende eksempel på materiel ret. Strafferetten fastlægger, hvilke handlinger der anses for strafbare, og hvilke straffe der gælder for disse forbrydelser. Civilretten derimod regulerer tvister mellem enkeltpersoner og organisationer, såsom kontraktbrud, personskade eller ejendomstvister.</w:t>
      </w:r>
    </w:p>
    <w:p>
      <w:pPr>
        <w:pStyle w:val="ArticleBody"/>
        <w:jc w:val="left"/>
      </w:pPr>
      <w:r>
        <w:rPr>
          <w:rFonts w:ascii="Times New Roman" w:hAnsi="Times New Roman" w:eastAsia="Times New Roman" w:cs="Times New Roman"/>
        </w:rPr>
        <w:t>Materiel ret er typisk nedfældet i love, administrative forskrifter og retspraksis. Love er retsregler vedtaget af lovgivende organer, såsom nationale parlamenter eller delstatslovgivende forsamlinger, og administrative forskrifter er regler og procedurer udstedt af forvaltningsmyndigheder. Retspraksis er den ret, som dommere skaber gennem deres fortolkning af love, administrative forskrifter og forfatningen.</w:t>
      </w:r>
    </w:p>
    <w:p>
      <w:pPr>
        <w:pStyle w:val="ArticleBody"/>
        <w:jc w:val="left"/>
      </w:pPr>
      <w:r>
        <w:rPr>
          <w:rFonts w:ascii="Times New Roman" w:hAnsi="Times New Roman" w:eastAsia="Times New Roman" w:cs="Times New Roman"/>
        </w:rPr>
        <w:t>Procesret henviser til de regler, der regulerer den juridiske proces. Den fastlægger, hvordan sager bevæger sig gennem retssystemet, fra den indledende indgivelse af en klage til den endelige afgørelse. Procesret omfatter forskellige juridiske områder, herunder civilretlige, strafferetlige og administrative procedurer. Formålet med procesretten er at sikre, at den juridiske proces er retfærdig og effektiv. Den tilvejebringer en ramme for løsning af tvister og sikrer, at alle, der er involveret i den juridiske proces, herunder dommere, advokater og parter i sagen, ved, hvad der forventes af dem.</w:t>
      </w:r>
    </w:p>
    <w:p>
      <w:pPr>
        <w:pStyle w:val="ArticleBody"/>
        <w:jc w:val="left"/>
      </w:pPr>
      <w:r>
        <w:rPr>
          <w:rFonts w:ascii="Times New Roman" w:hAnsi="Times New Roman" w:eastAsia="Times New Roman" w:cs="Times New Roman"/>
        </w:rPr>
        <w:t>Materiel ret og procesret er bestemt til at virke sammen for at sikre, at retfærdigheden sker fyldest. Materiel ret fastlægger individers og organisationers rettigheder og forpligtelser, mens procesret angiver fremgangsmåden for løsning af tvister og håndhævelse af disse rettigheder og forpligtelser. Med andre ord fastlægger materiel ret, hvad der er lovlig eller ulovlig adfærd, og følgerne af ulovlig adfærd, mens procesret angiver, hvorledes disse retlige spørgsmål afgøres.</w:t>
      </w:r>
    </w:p>
    <w:p>
      <w:pPr>
        <w:pStyle w:val="ArticleBody"/>
        <w:jc w:val="left"/>
      </w:pPr>
      <w:r>
        <w:rPr>
          <w:rFonts w:ascii="Times New Roman" w:hAnsi="Times New Roman" w:eastAsia="Times New Roman" w:cs="Times New Roman"/>
        </w:rPr>
        <w:t>I 2001 ophævede Patriot Act retten til habeas corpus. »Habeas corpus« er et latinsk udtryk, der oversættes til »du skal have kroppen«. Det henviser til et juridisk princip, der beskytter enkeltpersoner mod ulovlig tilbageholdelse ved at kræve, at en domstol undersøger lovligheden af en persons frihedsberøvelse. Habeas corpus er en grundlæggende rettighed i mange retssystemer, især dem, der er påvirket af engelsk common law. Den sikrer, at en person ikke kan holdes i forvaring uden retmæssig grund, og giver vedkommende mulighed for at anfægte lovligheden af sin frihedsberøvelse for en dommer.</w:t>
      </w:r>
    </w:p>
    <w:p>
      <w:pPr>
        <w:pStyle w:val="ArticleBody"/>
        <w:jc w:val="left"/>
      </w:pPr>
      <w:r>
        <w:rPr>
          <w:rFonts w:ascii="Times New Roman" w:hAnsi="Times New Roman" w:eastAsia="Times New Roman" w:cs="Times New Roman"/>
        </w:rPr>
        <w:t>En “Due Process Clause” forekommer både i det Femte Forfatningstillæg og i det Fjortende Forfatningstillæg til USA’s forfatning. Disse fastslår, at ingen må berøves liv, frihed eller ejendom uden behørig rettergang. Domstolene har udviklet to grene af læren om due process: processuel due process og materiel due process. I 2001 blev habeas corpus med Patriot Act fjernet som en rettighed, og engelsk ret blev erstattet af romersk ret. Engelsk ret fastslår, at en person anses for uskyldig, indtil vedkommendes skyld er bevist, og romersk ret fastslår, at en person anses for skyldig, indtil vedkommendes uskyld er bevist. I Pelosi-retssagerne i 2022 blev både processuel og materiel due process trampet under fode. Både materiel ret og procesret blev anvendt i Pelosi-retssagerne på den nøjagtigt modsatte måde af deres tilsigtede forfatningsmæssige formål.</w:t>
      </w:r>
    </w:p>
    <w:p>
      <w:pPr>
        <w:pStyle w:val="ArticleBody"/>
        <w:jc w:val="left"/>
      </w:pPr>
      <w:r>
        <w:rPr>
          <w:rFonts w:ascii="Times New Roman" w:hAnsi="Times New Roman" w:eastAsia="Times New Roman" w:cs="Times New Roman"/>
        </w:rPr>
        <w:t>Skellet mellem materiel retssikkerhed og processuel retssikkerhed ligger i de forskellige aspekter af lov og rettigheder, som hvert begreb beskytter inden for rammerne af USA’s forfatning, navnlig i retssikkerhedsklausulerne i det femte og det fjortende forfatningstillæg.</w:t>
      </w:r>
    </w:p>
    <w:p>
      <w:pPr>
        <w:pStyle w:val="ArticleBody"/>
        <w:jc w:val="left"/>
      </w:pPr>
      <w:r>
        <w:rPr>
          <w:rFonts w:ascii="Times New Roman" w:hAnsi="Times New Roman" w:eastAsia="Times New Roman" w:cs="Times New Roman"/>
        </w:rPr>
        <w:t>Materiel retssikkerhed vedrører de grundlæggende rettigheder og friheder, som staten ikke kan krænke, uanset hvilken procedure der anvendes. Den beskytter visse rettigheder mod statslig indgriben, selv hvis de korrekte procedurer følges. Materiel retssikkerhed omfatter rettigheder, der anses for grundlæggende, såsom retten til privatliv, retten til at indgå ægteskab og retten til at opdrage sine børn. Disse rettigheder er beskyttet mod statslig indtrængen, medmindre der foreligger en tvingende statslig interesse. Den fungerer som en begrænsning af statens magt og sikrer, at love og forskrifter ikke krænker grundlæggende frihedsrettigheder.</w:t>
      </w:r>
    </w:p>
    <w:p>
      <w:pPr>
        <w:pStyle w:val="ArticleBody"/>
        <w:jc w:val="left"/>
      </w:pPr>
      <w:r>
        <w:rPr>
          <w:rFonts w:ascii="Times New Roman" w:hAnsi="Times New Roman" w:eastAsia="Times New Roman" w:cs="Times New Roman"/>
        </w:rPr>
        <w:t>Processuel retssikkerhed vedrører de procedurer, som myndighederne skal følge, før de berøver en person liv, frihed eller ejendom. Den sikrer, at enkeltpersoner modtager retfærdig og upartisk behandling gennem behørige retlige processer. Processuel retssikkerhed kræver, at myndighederne følger bestemte trin eller procedurer, såsom at give varsel, en retfærdig høring og mulighed for at blive hørt, før de berøver nogen deres rettigheder. Den fremhæver de metoder, hvorved love håndhæves, og sikrer, at myndighederne handler på en retfærdig og rimelig måde.</w:t>
      </w:r>
    </w:p>
    <w:p>
      <w:pPr>
        <w:pStyle w:val="ArticleBody"/>
        <w:jc w:val="left"/>
      </w:pPr>
      <w:r>
        <w:rPr>
          <w:rFonts w:ascii="Times New Roman" w:hAnsi="Times New Roman" w:eastAsia="Times New Roman" w:cs="Times New Roman"/>
        </w:rPr>
        <w:t>Den retskrigsførelse, som er blevet manifesteret, siden Pelosi-retssagerne begyndte, repræsenterer en fornægtelse af både materiel og processuel retssikkerhed. Amerikanske borgeres grundlæggende rettigheder blev åbent og med held nægtet. De falsk flag-operationer og den åbne korruption i USA’s alfabetagenturer er blevet regelmæssigt blotlagt, allerede fra før Pelosi-retssagerne begyndte, men de juridiske procedurer, som globalisterne i begge partier har taget i anvendelse, siden Pelosi-retssagerne begyndte, udgør en klar illustration af ødelæggelsen af den processuelle retssikkerhed.</w:t>
      </w:r>
    </w:p>
    <w:p>
      <w:pPr>
        <w:pStyle w:val="ArticleBody"/>
        <w:jc w:val="left"/>
      </w:pPr>
      <w:r>
        <w:rPr>
          <w:rFonts w:ascii="Times New Roman" w:hAnsi="Times New Roman" w:eastAsia="Times New Roman" w:cs="Times New Roman"/>
        </w:rPr>
        <w:t>Tidligere i artiklen læste vi: „Enhver bevægelse til fordel for religiøs lovgivning er i virkeligheden en indrømmelse over for pavedømmet, som gennem så mange tidsaldre uafladeligt har ført krig mod samvittighedsfriheden. Søndagshelligholdelsen skylder sin eksistens som en såkaldt kristen institution til ’lovløshedens hemmelighed’; og håndhævelsen af den vil være en faktisk anerkendelse af de principper, som udgør selve hjørnestenen i romerkirken. Når vor nation således fornægter sit styres grundprincipper ved at vedtage en søndagslov, vil protestantismen ved denne handling række hånden til pavedømmet; det vil ikke være andet end at give liv til det tyranni, som længe ivrigt har spejdet efter sin mulighed for på ny at springe frem i aktiv despotisme.”</w:t>
      </w:r>
    </w:p>
    <w:p>
      <w:pPr>
        <w:pStyle w:val="ArticleBody"/>
        <w:jc w:val="left"/>
      </w:pPr>
      <w:r>
        <w:rPr>
          <w:rFonts w:ascii="Times New Roman" w:hAnsi="Times New Roman" w:eastAsia="Times New Roman" w:cs="Times New Roman"/>
        </w:rPr>
        <w:t>I den historiske linje, som kan fremstilles ved De Forenede Staters forfatning, findes der tre særlige vejmærker, som repræsenterer et eller andet element af forfatningen både ved De Forenede Staters begyndelse og ved deres afslutning. Hvert af disse tre vejmærker er politiske handlinger og symboliserer derfor De Forenede Staters tale. Det tredje af disse tre vejmærker i begyndelsen, som markerede 1798, var Alien and Sedition Acts, og det tredje af disse vejmærker ved afslutningen er, når De Forenede Stater håndhæver en søndagslov og taler som en drage til opfyldelse af Åbenbaringen kapitel tretten, vers elleve.</w:t>
      </w:r>
    </w:p>
    <w:p>
      <w:pPr>
        <w:pStyle w:val="ArticleBody"/>
        <w:jc w:val="left"/>
      </w:pPr>
      <w:r>
        <w:rPr>
          <w:rFonts w:ascii="Times New Roman" w:hAnsi="Times New Roman" w:eastAsia="Times New Roman" w:cs="Times New Roman"/>
        </w:rPr>
        <w:t>De Forenede Staters profetiske historie begynder, da det, således som det er fremstillet ved jorden, åbnede sin mund og opslugte dragenes forfølgelsernes flod.</w:t>
      </w:r>
    </w:p>
    <w:p>
      <w:pPr>
        <w:pStyle w:val="ArticleScripture"/>
        <w:jc w:val="left"/>
      </w:pPr>
      <w:r>
        <w:rPr>
          <w:rFonts w:ascii="Times New Roman" w:hAnsi="Times New Roman" w:eastAsia="Times New Roman" w:cs="Times New Roman"/>
        </w:rPr>
        <w:t>Og slangen udslyngede af sin mund vand som en flod efter kvinden, for at få hende revet med af floden. Men jorden hjalp kvinden, og jorden åbnede sin mund og opslugte floden, som dragen havde udslynget af sin mund. Åbenbaringen 12:15, 16.</w:t>
      </w:r>
    </w:p>
    <w:p>
      <w:pPr>
        <w:pStyle w:val="ArticleBody"/>
        <w:jc w:val="left"/>
      </w:pPr>
      <w:r>
        <w:rPr>
          <w:rFonts w:ascii="Times New Roman" w:hAnsi="Times New Roman" w:eastAsia="Times New Roman" w:cs="Times New Roman"/>
        </w:rPr>
        <w:t>I 1776 opslugte det dyr, som skulle stige op af jorden og omsider blive det sjette rige i Bibelens profeti i 1798, forfølgelsens flod mod Guds folk ved at grundlægge en nation med en forfatning, der protesterede imod tyrannerne i Europas kongelige dynastier og tyrannerne i den pavelige kirke.</w:t>
      </w:r>
    </w:p>
    <w:p>
      <w:pPr>
        <w:pStyle w:val="ArticleBody"/>
        <w:jc w:val="left"/>
      </w:pPr>
      <w:r>
        <w:rPr>
          <w:rFonts w:ascii="Times New Roman" w:hAnsi="Times New Roman" w:eastAsia="Times New Roman" w:cs="Times New Roman"/>
        </w:rPr>
        <w:t>Uafhængighedserklæringen i 1776 var et forbillede på Patriot Act af 2001. Forfatningen af 1789 var et forbillede på Pelosi-processerne, som begyndte i 2022. Alien and Sedition Acts af 1798 var et forbillede på søndagsloven i De Forenede Stater.</w:t>
      </w:r>
    </w:p>
    <w:p>
      <w:pPr>
        <w:pStyle w:val="ArticleBody"/>
        <w:jc w:val="left"/>
      </w:pPr>
      <w:r>
        <w:rPr>
          <w:rFonts w:ascii="Times New Roman" w:hAnsi="Times New Roman" w:eastAsia="Times New Roman" w:cs="Times New Roman"/>
        </w:rPr>
        <w:t>Uafhængighedserklæringen fra de amerikanske patrioter i 1776 repræsenterede kundgørelsen af tabet af uafhængighed med Patriot Act i 2001. Forfatningen af 1789 repræsenterede Pelosi-retssagerne, der begyndte i 2022. Alien and Sedition Acts repræsenterer søndagsloven. Historien om forkastelsen af ethvert princip i Forfatningen repræsenterer en gradvis omstyrtelse af Forfatningen, som ender ved søndagsloven.</w:t>
      </w:r>
    </w:p>
    <w:p>
      <w:pPr>
        <w:pStyle w:val="ArticleBody"/>
        <w:jc w:val="left"/>
      </w:pPr>
      <w:r>
        <w:rPr>
          <w:rFonts w:ascii="Times New Roman" w:hAnsi="Times New Roman" w:eastAsia="Times New Roman" w:cs="Times New Roman"/>
        </w:rPr>
        <w:t>Alle disse linjer stemmer overens i den skjulte historie i vers fyrre i Daniel, kapitel elleve. I denne artikel citerede vi fire afsnit fra Testimonies, bind 5, s. 451, 452.</w:t>
      </w:r>
    </w:p>
    <w:p>
      <w:pPr>
        <w:pStyle w:val="ArticleBody"/>
        <w:jc w:val="left"/>
      </w:pPr>
      <w:r>
        <w:rPr>
          <w:rFonts w:ascii="Times New Roman" w:hAnsi="Times New Roman" w:eastAsia="Times New Roman" w:cs="Times New Roman"/>
        </w:rPr>
        <w:t>Vi vil se nærmere på disse afsnit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nummer to</dc:title>
  <dc:subject>De Forenede Stater, Patriot Act og vejen til den profetiske opfyldelse</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