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fireogtyve</w:t>
      </w:r>
    </w:p>
    <w:p>
      <w:pPr>
        <w:pStyle w:val="ArticleSubtitle"/>
        <w:jc w:val="left"/>
      </w:pPr>
      <w:r>
        <w:rPr>
          <w:rFonts w:ascii="Arial" w:hAnsi="Arial" w:eastAsia="Arial" w:cs="Arial"/>
        </w:rPr>
        <w:t>Ezekiel nummer 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I afsnittet fra Testimonies, bind fem, som vi nu i nogle artikler har beskæftiget os med, bliver vi gjort bekendt med synet af templet, sådan som det blev givet til Ezekiel, Esajas og Johannes:</w:t>
      </w:r>
    </w:p>
    <w:p>
      <w:pPr>
        <w:pStyle w:val="ArticleScripture"/>
        <w:jc w:val="left"/>
      </w:pPr>
      <w:r>
        <w:rPr>
          <w:rFonts w:ascii="Times New Roman" w:hAnsi="Times New Roman" w:eastAsia="Times New Roman" w:cs="Times New Roman"/>
        </w:rPr>
        <w:t>„Disse lærdomme er til gavn for os. Vi må støtte vor tro på Gud, for lige foran os ligger en tid, som vil prøve menneskenes sjæle. Kristus gennemgik på Oliebjerget de frygtelige domme, som skulle gå forud for hans andet komme: ’I skal høre om krige og rygter om krige.’ ’Folk skal rejse sig mod folk, og rige mod rige; og der skal være hungersnød og pest og jordskælv mange steder. Alt dette er veernes begyndelse.’ Selv om disse profetier fik en delvis opfyldelse ved Jerusalems ødelæggelse, har de en mere direkte anvendelse på de sidste dage.”</w:t>
      </w:r>
    </w:p>
    <w:p>
      <w:pPr>
        <w:pStyle w:val="ArticleHeading"/>
        <w:jc w:val="left"/>
      </w:pPr>
      <w:r>
        <w:rPr>
          <w:rFonts w:ascii="Arial" w:hAnsi="Arial" w:eastAsia="Arial" w:cs="Arial"/>
        </w:rPr>
        <w:t>Den niende Av</w:t>
      </w:r>
    </w:p>
    <w:p>
      <w:pPr>
        <w:pStyle w:val="ArticleBody"/>
        <w:jc w:val="left"/>
      </w:pPr>
      <w:r>
        <w:rPr>
          <w:rFonts w:ascii="Times New Roman" w:hAnsi="Times New Roman" w:eastAsia="Times New Roman" w:cs="Times New Roman"/>
        </w:rPr>
        <w:t>Tisha B’Av, som på hebraisk betyder „den niende Av“, er den jødiske dag, der mindes ødelæggelsen af både det første tempel ved babylonierne i 586 f.Kr. og det andet tempel ved Titus i år 70. Begge ødelæggelser fandt sted på samme kalenderdato — den 9. dag i den hebraiske måned Av (som sædvanligvis falder i juli eller august i den gregorianske kalender). Når Søster White sammenkæder Jerusalems ødelæggelse med „den tid, der skal prøve menneskers sjæle“ i de sidste dage, identificerer hun to ødelæggelser, som begge illustrerer den snart kommende søndagslov.</w:t>
      </w:r>
    </w:p>
    <w:p>
      <w:pPr>
        <w:pStyle w:val="ArticleBody"/>
        <w:jc w:val="left"/>
      </w:pPr>
      <w:r>
        <w:rPr>
          <w:rFonts w:ascii="Times New Roman" w:hAnsi="Times New Roman" w:eastAsia="Times New Roman" w:cs="Times New Roman"/>
        </w:rPr>
        <w:t>Vers seksten i Daniel elleve repræsenterer den søndagslov og stemmer overens med vers enogfyrre. I Ezekiel bruges Jerusalems ødelæggelse til at illustrere adskillelsen mellem de kloge og de dårlige jomfruer ved søndagsloven. Ezekiel var en fange i Babylon, da han mirakuløst blev ført til Jerusalem for at se netop denne adskillelse i kapitel otte til elleve.</w:t>
      </w:r>
    </w:p>
    <w:p>
      <w:pPr>
        <w:pStyle w:val="ArticleScripture"/>
        <w:jc w:val="left"/>
      </w:pPr>
      <w:r>
        <w:rPr>
          <w:rFonts w:ascii="Times New Roman" w:hAnsi="Times New Roman" w:eastAsia="Times New Roman" w:cs="Times New Roman"/>
        </w:rPr>
        <w:t>Og det skete i det sjette år, i den sjette måned, på den femte dag i måneden, mens jeg sad i mit hus, og Judas ældste sad foran mig, at den Herre Guds hånd faldt på mig dér. Da så jeg, og se, en skikkelse med udseende som ild: fra hans lænders udseende og nedad var der ild, og fra hans lænder og opad var der et skær som glans, som ravets farve. Og han rakte noget frem, der lignede en hånd, og tog mig ved en hårlok på mit hoved; og Ånden løftede mig op mellem jorden og himmelen og bragte mig i Guds syner til Jerusalem, til døren ved den indre port, som vender mod nord, hvor nidkærhedsbilledets sæde var, det som vakte hans nidkærhed. Ezekiel 8:1–3.</w:t>
      </w:r>
    </w:p>
    <w:p>
      <w:pPr>
        <w:pStyle w:val="ArticleBody"/>
        <w:jc w:val="left"/>
      </w:pPr>
      <w:r>
        <w:rPr>
          <w:rFonts w:ascii="Times New Roman" w:hAnsi="Times New Roman" w:eastAsia="Times New Roman" w:cs="Times New Roman"/>
        </w:rPr>
        <w:t>De fire kapitler otte til elleve er en beskrivelse af adskillelsen, og når Søster White kommenterer Ezekiel ni, fastslår hun ikke blot, at det var den samme besegling som i Åbenbaringen kapitel syv, men også, at Jerusalem repræsenterer den laodikeiske syvendedags adventistkirke i de sidste dage.</w:t>
      </w:r>
    </w:p>
    <w:p>
      <w:pPr>
        <w:pStyle w:val="ArticleScripture"/>
        <w:jc w:val="left"/>
      </w:pPr>
      <w:r>
        <w:rPr>
          <w:rFonts w:ascii="Times New Roman" w:hAnsi="Times New Roman" w:eastAsia="Times New Roman" w:cs="Times New Roman"/>
        </w:rPr>
        <w:t>Den klasse, som ikke føler sorg over deres egen åndelige tilbagegang og heller ikke sørger over andres synder, vil blive efterladt uden Guds segl. Herren giver sine sendebud, mændene med slagtevåbnene i deres hænder, denne befaling: »Gå efter ham gennem byen og slå ned; jeres øje skal ikke skåne, og I skal ikke vise medlidenhed; dræb til fulde gamle og unge, både jomfruer og små børn og kvinder; men kom ikke nær nogen mand, på hvem mærket er; og begynd ved min helligdom. Da begyndte de med de gamle mænd, som stod foran huset.«</w:t>
      </w:r>
    </w:p>
    <w:p>
      <w:pPr>
        <w:pStyle w:val="ArticleScripture"/>
        <w:jc w:val="left"/>
      </w:pPr>
      <w:r>
        <w:rPr>
          <w:rFonts w:ascii="Times New Roman" w:hAnsi="Times New Roman" w:eastAsia="Times New Roman" w:cs="Times New Roman"/>
        </w:rPr>
        <w:t>”Her ser vi, at menigheden — Herrens helligdom — var den første, der følte slaget fra Guds vrede. De gamle mænd, dem, til hvem Gud havde givet stort lys, og som havde stået som vogtere over folkets åndelige interesser, havde svigtet deres betroede ansvar. De havde indtaget det standpunkt, at vi ikke behøver at vente mirakler og den tydelige åbenbarelse af Guds magt som i tidligere dage. Tiderne har forandret sig. Disse ord styrker deres vantro, og de siger: Herren vil ikke gøre godt, og han vil heller ikke gøre ondt. Han er alt for barmhjertig til at hjemsøge sit folk med dom. Således er ”fred og tryghed” råbet fra mænd, som aldrig mere vil opløfte deres røst som en basun for at vise Guds folk deres overtrædelser og Jakobs hus deres synder. Disse stumme hunde, som ikke ville gø, er dem, der føler den retfærdige hævn fra en fortørnet Gud. Mænd, unge kvinder og små børn omkommer alle sammen.</w:t>
      </w:r>
    </w:p>
    <w:p>
      <w:pPr>
        <w:pStyle w:val="ArticleScripture"/>
        <w:jc w:val="left"/>
      </w:pPr>
      <w:r>
        <w:rPr>
          <w:rFonts w:ascii="Times New Roman" w:hAnsi="Times New Roman" w:eastAsia="Times New Roman" w:cs="Times New Roman"/>
        </w:rPr>
        <w:t>"De vederstyggeligheder, over hvilke de trofaste sukkede og råbte, var alt det, som kunne skelnes af begrænsede øjne; men langt de værste synder, dem som vakte den rene og hellige Guds nidkærhed, var ikke åbenbarede. Den store Hjertegransker kender enhver synd, som i hemmelighed begås af dem, der øver uret. Disse personer kommer til at føle sig trygge i deres bedrag og siger på grund af Hans langmodighed, at Herren ikke ser det, og handler derefter, som om Han havde forladt jorden. Men Han vil afsløre deres hykleri og vil åbenbare for andre de synder, som de var så omhyggelige med at skjule."</w:t>
      </w:r>
    </w:p>
    <w:p>
      <w:pPr>
        <w:pStyle w:val="ArticleScripture"/>
        <w:jc w:val="left"/>
      </w:pPr>
      <w:r>
        <w:rPr>
          <w:rFonts w:ascii="Times New Roman" w:hAnsi="Times New Roman" w:eastAsia="Times New Roman" w:cs="Times New Roman"/>
        </w:rPr>
        <w:t>„Ingen overlegenhed i rang, værdighed eller verdslig visdom, ingen stilling i helligt embede, vil bevare mennesker fra at ofre principper, når de overlades til deres egne svigefulde hjerter. De, som er blevet anset for værdige og retfærdige, viser sig at være hovedmænd i frafaldet og eksempler på ligegyldighed og misbrug af Guds barmhjertighed. Deres ugudelige færd vil Han ikke længere tåle, og i sin vrede handler Han med dem uden barmhjertighed.״</w:t>
      </w:r>
    </w:p>
    <w:p>
      <w:pPr>
        <w:pStyle w:val="ArticleScripture"/>
        <w:jc w:val="left"/>
      </w:pPr>
      <w:r>
        <w:rPr>
          <w:rFonts w:ascii="Times New Roman" w:hAnsi="Times New Roman" w:eastAsia="Times New Roman" w:cs="Times New Roman"/>
        </w:rPr>
        <w:t>„Det er med modvilje, at Herren trækker sit nærvær tilbage fra dem, som er blevet velsignet med stort lys, og som har følt ordets kraft i tjenesten for andre. De var engang Hans trofaste tjenere, begunstiget med Hans nærvær og ledelse; men de veg bort fra Ham og førte andre ind i vildfarelse, og derfor bringes de ind under den guddommelige mishag.“ Testimonies, bind 5, 211, 212.</w:t>
      </w:r>
    </w:p>
    <w:p>
      <w:pPr>
        <w:pStyle w:val="ArticleBody"/>
        <w:jc w:val="left"/>
      </w:pPr>
      <w:r>
        <w:rPr>
          <w:rFonts w:ascii="Times New Roman" w:hAnsi="Times New Roman" w:eastAsia="Times New Roman" w:cs="Times New Roman"/>
        </w:rPr>
        <w:t>Hele Ezekiels bog er sat ind i konteksten af Jerusalems ødelæggelse. I Ezekiels vidnesbyrd er Nebukadnezars belejring, som varede halvandet år, særligt markeret, men den „mere direkte anvendelse“ af Jesu advarsel i Matthæus fireogtyve er i de sidste dage. I Ezekiel findes denne sandhedslinje i kapitel fireogtyve.</w:t>
      </w:r>
    </w:p>
    <w:p>
      <w:pPr>
        <w:pStyle w:val="ArticleHeading"/>
        <w:jc w:val="left"/>
      </w:pPr>
      <w:r>
        <w:rPr>
          <w:rFonts w:ascii="Arial" w:hAnsi="Arial" w:eastAsia="Arial" w:cs="Arial"/>
        </w:rPr>
        <w:t>15. januar 588 f.Kr.</w:t>
      </w:r>
    </w:p>
    <w:p>
      <w:pPr>
        <w:pStyle w:val="ArticleScripture"/>
        <w:jc w:val="left"/>
      </w:pPr>
      <w:r>
        <w:rPr>
          <w:rFonts w:ascii="Times New Roman" w:hAnsi="Times New Roman" w:eastAsia="Times New Roman" w:cs="Times New Roman"/>
        </w:rPr>
        <w:t>Atter i det niende år, i den tiende måned, på den tiende dag i måneden, kom Herrens ord til mig, således: Menneskesøn, skriv dig dagens navn op, netop denne dag; Babylons konge har på selvsamme dag sat sig op imod Jerusalem. Ezekiel 24:1, 2.</w:t>
      </w:r>
    </w:p>
    <w:p>
      <w:pPr>
        <w:pStyle w:val="ArticleBody"/>
        <w:jc w:val="left"/>
      </w:pPr>
      <w:r>
        <w:rPr>
          <w:rFonts w:ascii="Times New Roman" w:hAnsi="Times New Roman" w:eastAsia="Times New Roman" w:cs="Times New Roman"/>
        </w:rPr>
        <w:t>På denne dato, som også er stadfæstet ved andre bibelske vidner, begyndte en belejring på atten måneder. Det ord fra Herren, som kom til Ezekiel på denne dato, bestod af lignelsen om den blodskyldige by, som anskueliggøres ved en kogende gryde efterfulgt af en stor ild. Lignelsen fremstiller tydeligt dommen over Jerusalem, og den efterfølges i samme kapitel af, at Ezekiels hustru bliver borttaget ved et slagtilfælde som et tegn på, at den belejring, der til sidst skulle ødelægge helligdommen, var begyndt.</w:t>
      </w:r>
    </w:p>
    <w:p>
      <w:pPr>
        <w:pStyle w:val="ArticleScripture"/>
        <w:jc w:val="left"/>
      </w:pPr>
      <w:r>
        <w:rPr>
          <w:rFonts w:ascii="Times New Roman" w:hAnsi="Times New Roman" w:eastAsia="Times New Roman" w:cs="Times New Roman"/>
        </w:rPr>
        <w:t>Og Herrens ord kom til mig og lød således: Menneskesøn, se, jeg tager dine øjnes lyst fra dig med ét slag; men du skal hverken sørge eller græde, og dine tårer skal ikke flyde. Suk sagte, hold ikke dødeklage; bind din hovedprydelse om dig, og tag dine sko på dine fødder, og tildæk ikke dit skæg, og spis ikke menneskers brød. Så talte jeg til folket om morgenen; og om aftenen døde min hustru; og om morgenen gjorde jeg, som det var mig befalet. Ezekiel 24:15–18.</w:t>
      </w:r>
    </w:p>
    <w:p>
      <w:pPr>
        <w:pStyle w:val="ArticleBody"/>
        <w:jc w:val="left"/>
      </w:pPr>
      <w:r>
        <w:rPr>
          <w:rFonts w:ascii="Times New Roman" w:hAnsi="Times New Roman" w:eastAsia="Times New Roman" w:cs="Times New Roman"/>
        </w:rPr>
        <w:t>Derefter spurgte folket omkring Ezekiel om betydningen af lignelsen og hans hustrus død.</w:t>
      </w:r>
    </w:p>
    <w:p>
      <w:pPr>
        <w:pStyle w:val="ArticleScripture"/>
        <w:jc w:val="left"/>
      </w:pPr>
      <w:r>
        <w:rPr>
          <w:rFonts w:ascii="Times New Roman" w:hAnsi="Times New Roman" w:eastAsia="Times New Roman" w:cs="Times New Roman"/>
        </w:rPr>
        <w:t>Og folket sagde til mig: Vil du ikke fortælle os, hvad dette betyder for os, at du gør således? Da svarede jeg dem: Herrens ord kom til mig og lød således: Tal til Israels hus: Så siger den Herre Gud: Se, jeg vil vanhellige min helligdom, jeres styrkes pryd, jeres øjnes lyst og det, som jeres sjæl ynkes over; og jeres sønner og jeres døtre, som I har efterladt, skal falde for sværdet. Ezekiel 24:19–21.</w:t>
      </w:r>
    </w:p>
    <w:p>
      <w:pPr>
        <w:pStyle w:val="ArticleBody"/>
        <w:jc w:val="left"/>
      </w:pPr>
      <w:r>
        <w:rPr>
          <w:rFonts w:ascii="Times New Roman" w:hAnsi="Times New Roman" w:eastAsia="Times New Roman" w:cs="Times New Roman"/>
        </w:rPr>
        <w:t>Både Ezekiels hustru og helligdommen identificeres i afsnittet som „dine øjnes lyst“. Bibelske historikere fastslår, at belejringen varede atten måneder, hvorimod Cestius’ og Titus’ belejringer varede fire år fra år 66 til år 70. En nøjagtig optælling af tiden fra Cestius’ første belejring til ødelæggelsen er tre og et halvt år, men ved anvendelse af „inklusiv tidsregning“, som er den hyppigst benyttede beregningsmåde i Bibelen, bliver det fire år. Når man ved, at begge beregningsmåder er gyldige, kan man se både tre og et halvt år fra Cestius til Titus og også fire år.</w:t>
      </w:r>
    </w:p>
    <w:p>
      <w:pPr>
        <w:pStyle w:val="ArticleBody"/>
        <w:jc w:val="left"/>
      </w:pPr>
      <w:r>
        <w:rPr>
          <w:rFonts w:ascii="Times New Roman" w:hAnsi="Times New Roman" w:eastAsia="Times New Roman" w:cs="Times New Roman"/>
        </w:rPr>
        <w:t>Vi har to vidner om søndagsloven i Jerusalems to ødelæggelser, og detaljerne i begge beretninger skal anvendes på den snart kommende søndagslov—hvor Laodikea udspyes af Herrens mund. Begyndelsen på Nebukadnezars belejring markeres ved Ezekiels hustrus død. Ved hendes død fik Ezekiel befaling om ikke åbent at sørge, for han var tegnet på, at jøderne blev ført bort i fangenskab.</w:t>
      </w:r>
    </w:p>
    <w:p>
      <w:pPr>
        <w:pStyle w:val="ArticleBody"/>
        <w:jc w:val="left"/>
      </w:pPr>
      <w:r>
        <w:rPr>
          <w:rFonts w:ascii="Times New Roman" w:hAnsi="Times New Roman" w:eastAsia="Times New Roman" w:cs="Times New Roman"/>
        </w:rPr>
        <w:t>Begyndelsen på den fireårige periode fra 66 til 70 markeres ved tegnet om ødelæggelsens vederstyggelighed, som var tegnet for de kristne i Jerusalem til at flygte.</w:t>
      </w:r>
    </w:p>
    <w:p>
      <w:pPr>
        <w:pStyle w:val="ArticleScripture"/>
        <w:jc w:val="left"/>
      </w:pPr>
      <w:r>
        <w:rPr>
          <w:rFonts w:ascii="Times New Roman" w:hAnsi="Times New Roman" w:eastAsia="Times New Roman" w:cs="Times New Roman"/>
        </w:rPr>
        <w:t>Når I derfor ser ødelæggelsens vederstyggelighed, som der er talt om ved profeten Daniel, stå på det hellige sted, (den, som læser, han give agt:) da skal de, som er i Judæa, flygte op i bjergene. Matthæus 24:15,16.</w:t>
      </w:r>
    </w:p>
    <w:p>
      <w:pPr>
        <w:pStyle w:val="ArticleBody"/>
        <w:jc w:val="left"/>
      </w:pPr>
      <w:r>
        <w:rPr>
          <w:rFonts w:ascii="Times New Roman" w:hAnsi="Times New Roman" w:eastAsia="Times New Roman" w:cs="Times New Roman"/>
        </w:rPr>
        <w:t>To belejringer, som tydeligt svarer til hinanden, og begge belejringer indeholder et »tegn« ved belejringens begyndelse. Da Ezekiel forklarer, hvad hans hustrus død og hans manglende sorg over hende betød, forklarede han det og nedskrev derefter:</w:t>
      </w:r>
    </w:p>
    <w:p>
      <w:pPr>
        <w:pStyle w:val="ArticleScripture"/>
        <w:jc w:val="left"/>
      </w:pPr>
      <w:r>
        <w:rPr>
          <w:rFonts w:ascii="Times New Roman" w:hAnsi="Times New Roman" w:eastAsia="Times New Roman" w:cs="Times New Roman"/>
        </w:rPr>
        <w:t>Således skal Ezekiel være et tegn for jer; alt det, han har gjort, skal I gøre; og når dette sker, skal I kende, at jeg er den Herre Gud. Ezekiel 24:24.</w:t>
      </w:r>
    </w:p>
    <w:p>
      <w:pPr>
        <w:pStyle w:val="ArticleBody"/>
        <w:jc w:val="left"/>
      </w:pPr>
      <w:r>
        <w:rPr>
          <w:rFonts w:ascii="Times New Roman" w:hAnsi="Times New Roman" w:eastAsia="Times New Roman" w:cs="Times New Roman"/>
        </w:rPr>
        <w:t>Tegnet på Ezekiels hustrus død var en identifikation af den snart kommende ødelæggelse af Jerusalem og templet og den efterfølgende fangenskab i Babylon. Tegnet på ødelæggelsens vederstyggelighed, omtalt af Daniel, var en advarsel om at undslippe ødelæggelsen, men begge belejringer har et tegn ved begyndelsen.</w:t>
      </w:r>
    </w:p>
    <w:p>
      <w:pPr>
        <w:pStyle w:val="ArticleBody"/>
        <w:jc w:val="left"/>
      </w:pPr>
      <w:r>
        <w:rPr>
          <w:rFonts w:ascii="Times New Roman" w:hAnsi="Times New Roman" w:eastAsia="Times New Roman" w:cs="Times New Roman"/>
        </w:rPr>
        <w:t>Der vil komme en profetisk belejring før den snart kommende søndagslov, og Ezekiels hustrus død er symbolet på, at den laodikeiske Syvendedags Adventistkirke fuldt ud er blevet forbigået; hvorimod Ezekiel er et symbol på de hundrede og fireogfyrre tusinde og er symbolet på det banner, som løftes ved belejringens begyndelse. Ezekiel er de hundrede og fireogfyrre tusindes banner ved begyndelsen af Babylons belejring, og tegnet på ødelæggelsens vederstyggelighed ved begyndelsen er Roms “tegn”. Det ene tegn taler om en indre advarsel og det andet om en ydre advarsel. Der var bestemt en advarsel til de kristne i år 66, men advarselstegnet var Rom. Tegnet ved Babylons ødelæggelse var Ezekiels hustru. Rom er den klasse, som modtager dyrets mærke, og Ezekiel tegnet på dem, som modtager Guds segl.</w:t>
      </w:r>
    </w:p>
    <w:p>
      <w:pPr>
        <w:pStyle w:val="ArticleHeading"/>
        <w:jc w:val="left"/>
      </w:pPr>
      <w:r>
        <w:rPr>
          <w:rFonts w:ascii="Arial" w:hAnsi="Arial" w:eastAsia="Arial" w:cs="Arial"/>
        </w:rPr>
        <w:t>To afsluttende perioder</w:t>
      </w:r>
    </w:p>
    <w:p>
      <w:pPr>
        <w:pStyle w:val="ArticleBody"/>
        <w:jc w:val="left"/>
      </w:pPr>
      <w:r>
        <w:rPr>
          <w:rFonts w:ascii="Times New Roman" w:hAnsi="Times New Roman" w:eastAsia="Times New Roman" w:cs="Times New Roman"/>
        </w:rPr>
        <w:t>Den første belejring varede atten måneder, og den anden belejring varede fire år. Begge belejringer finder deres „mere direkte“ opfyldelse i de sidste dage, og begge belejringer er direkte forbundet med profetien om tre hundrede og enoghalvfems år og femten dage, som findes i Åbenbaringen 9,15.</w:t>
      </w:r>
    </w:p>
    <w:p>
      <w:pPr>
        <w:pStyle w:val="ArticleBody"/>
        <w:jc w:val="left"/>
      </w:pPr>
      <w:r>
        <w:rPr>
          <w:rFonts w:ascii="Times New Roman" w:hAnsi="Times New Roman" w:eastAsia="Times New Roman" w:cs="Times New Roman"/>
        </w:rPr>
        <w:t>Begyndelsen på de fem måneder i Åbenbaringen 9, vers 10, omfattede en historie, der markerer en periode på otteogtredive år, som kulminerer i en fireårig belejring, der er forbundet med tallet otteogtredive, og som identificerede Islams fremkomst. Denne fireårige belejring finder sit modstykke i den historie, der begyndte, da de et hundrede og halvtreds år (de fem måneder) sluttede, og de tre hundrede og enoghalvfems år og femten dage begyndte. Den begyndte den 27. juli 1449, og fire år senere førte Islam en belejring på femoghalvtreds dage mod Konstantinopel, som afsluttedes den 29. maj 1453.</w:t>
      </w:r>
    </w:p>
    <w:p>
      <w:pPr>
        <w:pStyle w:val="ArticleBody"/>
        <w:jc w:val="left"/>
      </w:pPr>
      <w:r>
        <w:rPr>
          <w:rFonts w:ascii="Times New Roman" w:hAnsi="Times New Roman" w:eastAsia="Times New Roman" w:cs="Times New Roman"/>
        </w:rPr>
        <w:t>Da tidsprofetien, som begyndte den 27. juli 1449, sluttede den 11. august 1844, kom bevægelsens fire år under den første og den anden engel fra 1840 til 1844 i overensstemmelse med den fireårige belejring fra 1333 til 1337, og også den fireårige periode fra 1449 til 1453. Disse tre vidner, som alle direkte er del af den samme profetiske linje, repræsenterer en symbolsk fireårig periode, hvor den første og den anden engels bevægelse fra 1840 til 1844 gentages i historien om den tredje engels bevægelse. Disse tre vidner er et forbillede på en fireårig belejring i de hundrede og fireogfyrre tusindes historie. Denne fireårige periode illustreres også ved Jerusalems belejringer i 66 og 70.</w:t>
      </w:r>
    </w:p>
    <w:p>
      <w:pPr>
        <w:pStyle w:val="ArticleBody"/>
        <w:jc w:val="left"/>
      </w:pPr>
      <w:r>
        <w:rPr>
          <w:rFonts w:ascii="Times New Roman" w:hAnsi="Times New Roman" w:eastAsia="Times New Roman" w:cs="Times New Roman"/>
        </w:rPr>
        <w:t>Begyndelsen på den fireårige belejring ved Cestius i år 66 og dernæst afslutningen ved Titus i år 70 frembringer et alfa-symbol og et omega-symbol for en periode på fire år. Den samme periode fremstilles også som tre og et halvt år, hvilket igen stemmer overens med de tre og et halvt profetiske år, hvor det pavelige Rom nedtrådte helligdommen.</w:t>
      </w:r>
    </w:p>
    <w:p>
      <w:pPr>
        <w:pStyle w:val="ArticleScripture"/>
        <w:jc w:val="left"/>
      </w:pPr>
      <w:r>
        <w:rPr>
          <w:rFonts w:ascii="Times New Roman" w:hAnsi="Times New Roman" w:eastAsia="Times New Roman" w:cs="Times New Roman"/>
        </w:rPr>
        <w:t>Men forgården, som er uden for templet, skal du lade være og ikke måle; thi den er givet til hedningerne; og den hellige stad skal de træde under fode i toogfyrretyve måneder. Og jeg vil give magt til mine to vidner, og de skal profetere i tusind to hundrede og tresindstyve dage, klædte i sæk. Åbenbaringen 11: 2, 3.</w:t>
      </w:r>
    </w:p>
    <w:p>
      <w:pPr>
        <w:pStyle w:val="ArticleScripture"/>
        <w:jc w:val="left"/>
      </w:pPr>
      <w:r>
        <w:rPr>
          <w:rFonts w:ascii="Times New Roman" w:hAnsi="Times New Roman" w:eastAsia="Times New Roman" w:cs="Times New Roman"/>
        </w:rPr>
        <w:t>Og de skal falde for sværdets æg og føres bort som fanger til alle folkeslag; og Jerusalem skal nedtrædes af hedningerne, indtil hedningernes tider er fuldbyrdet. Lukas 21,24.</w:t>
      </w:r>
    </w:p>
    <w:p>
      <w:pPr>
        <w:pStyle w:val="ArticleBody"/>
        <w:jc w:val="left"/>
      </w:pPr>
      <w:r>
        <w:rPr>
          <w:rFonts w:ascii="Times New Roman" w:hAnsi="Times New Roman" w:eastAsia="Times New Roman" w:cs="Times New Roman"/>
        </w:rPr>
        <w:t>Det er væsentligt at bemærke, at jeg anvender både »inklusiv« og »eksklusiv« beregning på den periode, der repræsenteres af Cestius’ alfa-symbol indtil Titus’ omega-symbol. Dette viser, at to tidsmæssige anvendelser repræsenteres ved én historie. Vi har allerede behandlet dette bibelske princip, da vi for (mange artikler siden) overvejede tiden mellem Jesu besøg i Cæsarea Filippi (Panium) og hans rejse til Forklarelsens Bjerg. To bibelske forfattere angiver seks dage, og én angiver otte dage.</w:t>
      </w:r>
    </w:p>
    <w:p>
      <w:pPr>
        <w:pStyle w:val="ArticleScripture"/>
        <w:jc w:val="left"/>
      </w:pPr>
      <w:r>
        <w:rPr>
          <w:rFonts w:ascii="Times New Roman" w:hAnsi="Times New Roman" w:eastAsia="Times New Roman" w:cs="Times New Roman"/>
        </w:rPr>
        <w:t>Og seks Dage derefter tager Jesus Peter og Jakob og Johannes, hans Broder, med sig og fører dem op på et højt Bjerg for sig selv. Matthæus 17,1.</w:t>
      </w:r>
    </w:p>
    <w:p>
      <w:pPr>
        <w:pStyle w:val="ArticleScripture"/>
        <w:jc w:val="left"/>
      </w:pPr>
      <w:r>
        <w:rPr>
          <w:rFonts w:ascii="Times New Roman" w:hAnsi="Times New Roman" w:eastAsia="Times New Roman" w:cs="Times New Roman"/>
        </w:rPr>
        <w:t>Og seks dage derefter tog Jesus Peter og Jakob og Johannes med sig og førte dem op på et højt bjerg, hvor de var for sig selv alene; og han blev forklaret for dem. Mark 9:2.</w:t>
      </w:r>
    </w:p>
    <w:p>
      <w:pPr>
        <w:pStyle w:val="ArticleScripture"/>
        <w:jc w:val="left"/>
      </w:pPr>
      <w:r>
        <w:rPr>
          <w:rFonts w:ascii="Times New Roman" w:hAnsi="Times New Roman" w:eastAsia="Times New Roman" w:cs="Times New Roman"/>
        </w:rPr>
        <w:t>Og det skete omtrent otte dage efter disse ord, at han tog Peter og Johannes og Jakob med sig og gik op på et bjerg for at bede. Lukas 9:28.</w:t>
      </w:r>
    </w:p>
    <w:p>
      <w:pPr>
        <w:pStyle w:val="ArticleBody"/>
        <w:jc w:val="left"/>
      </w:pPr>
      <w:r>
        <w:rPr>
          <w:rFonts w:ascii="Times New Roman" w:hAnsi="Times New Roman" w:eastAsia="Times New Roman" w:cs="Times New Roman"/>
        </w:rPr>
        <w:t>Jerusalems ødelæggelse har en „mere direkte“ anvendelse på de sidste dage, og denne ødelæggelse har to vidner, repræsenteret ved Babylon og Rom. De to vidner stemmer overens med hinanden, men frembyder forskellige og væsentlige profetiske kendetegn for at forstærke sandheden. Belejringen ved Rom (66 til 70) varede fire år, hvilket også repræsenterer tre og et halvt år. De tre og et halvt år forbindes med nedtrampningen af helligdommen og hæren, udført både af hedenskabet og pavedømmet. Nedtrampningen ved pavedømmet varede tre og et halvt symbolske år, som var forbilledligt fremstillet ved bogstavelige tre og et halvt år i belejringen ved Rom.</w:t>
      </w:r>
    </w:p>
    <w:p>
      <w:pPr>
        <w:pStyle w:val="ArticleBody"/>
        <w:jc w:val="left"/>
      </w:pPr>
      <w:r>
        <w:rPr>
          <w:rFonts w:ascii="Times New Roman" w:hAnsi="Times New Roman" w:eastAsia="Times New Roman" w:cs="Times New Roman"/>
        </w:rPr>
        <w:t>Den fireårige belejring er også forbundet med de fireårsperioder, der er knyttet til den profetiske linje, som identificerer Islams ophøjelse og derefter ophøjelsen af bevægelsen for både den første og den anden og dernæst den tredje engels budskab. Cestius til Titus skærer hjulene for det pavelige Rom og også Islams hjul. Roms hjul og de tre og et halvt år for Cestius og Titus skærer det pavelige Roms tre og et halvt symbolske år og identificerer således de to enheder, hedensk og paveligt Rom. Islams hjul er forbundet ved den samme historie, forstået som fire år, men ligesom med Roms hjul i den historie er Islam knyttet til en anden magt underlagt Islams hjul — nemlig Adventismen. Perioden på tre og et halvt år repræsenterer Rom i begge dets faser, og fireårsperioden repræsenterer Islam og Adventismen. Hedensk og paveligt Rom kan ikke adskilles profetisk, og det kan Islam og Adventismen heller ikke.</w:t>
      </w:r>
    </w:p>
    <w:p>
      <w:pPr>
        <w:pStyle w:val="ArticleBody"/>
        <w:jc w:val="left"/>
      </w:pPr>
      <w:r>
        <w:rPr>
          <w:rFonts w:ascii="Times New Roman" w:hAnsi="Times New Roman" w:eastAsia="Times New Roman" w:cs="Times New Roman"/>
        </w:rPr>
        <w:t>Dette kræver profetisk, at når vi betragter Babylons belejring, bør to tidsforståelser ses i fremstillingen af den atten måneder lange belejring. To fremstillinger af tid i den belejring, som Rom bragte, kræver profetisk to fremstillinger af tid i den belejring, som Nebukadnezar bragte. Nebukadnezars atten måneder lange belejring kan også forstås som et symbol på halvandet år. Atten måneder er halvandet år, og halvandet kan udtrykkes som 1,5 år. Nebukadnezars belejring var både atten måneder og ét komma fem (1,5) år.</w:t>
      </w:r>
    </w:p>
    <w:p>
      <w:pPr>
        <w:pStyle w:val="ArticleBody"/>
        <w:jc w:val="left"/>
      </w:pPr>
      <w:r>
        <w:rPr>
          <w:rFonts w:ascii="Times New Roman" w:hAnsi="Times New Roman" w:eastAsia="Times New Roman" w:cs="Times New Roman"/>
        </w:rPr>
        <w:t>De atten måneder omtaler den magt, som skulle nedtræde Jerusalem, og de 1,5 år omtaler islam. Det profetiske beregningshjul, som identificerer atten måneder, identificerer Babylon, og det andet profetiske beregningshjul identificerer islam. Vi har endnu ikke fremlagt en forklaring på, hvordan vi når frem til anvendelsen af de 1,5 år i forbindelse med islam, men det bør bemærkes, at de to tidsberegninger i den ødelæggelse, som Rom bragte, er forbundet med Roms profetiske hjul, (både hedensk og paveligt), og at den anden beregning er forbundet med islams profetiske hjul. Disse karaktertræk findes i både Jerusalems alfa- og omegaødelæggelser.</w:t>
      </w:r>
    </w:p>
    <w:p>
      <w:pPr>
        <w:pStyle w:val="ArticleBody"/>
        <w:jc w:val="left"/>
      </w:pPr>
      <w:r>
        <w:rPr>
          <w:rFonts w:ascii="Times New Roman" w:hAnsi="Times New Roman" w:eastAsia="Times New Roman" w:cs="Times New Roman"/>
        </w:rPr>
        <w:t>Jerusalems fireårige belejring under Cestius og Titus repræsenterer afslutningen på en profetisk linje, som begyndte med en periode på otteogtredive år, og som endte med en fireårig belejring, der symboliserer Islams ophøjelse; og den sidste fireårige periode i netop den samme linje repræsenterer ophøjelsen af banneret for de hundrede og fireogfyrre tusinde.</w:t>
      </w:r>
    </w:p>
    <w:p>
      <w:pPr>
        <w:pStyle w:val="ArticleBody"/>
        <w:jc w:val="left"/>
      </w:pPr>
      <w:r>
        <w:rPr>
          <w:rFonts w:ascii="Times New Roman" w:hAnsi="Times New Roman" w:eastAsia="Times New Roman" w:cs="Times New Roman"/>
        </w:rPr>
        <w:t>Vi vil fortsætte med disse emner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fireogtyve</dc:title>
  <dc:subject>Ezekiel nummer fem</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