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Un</w:t>
      </w:r>
    </w:p>
    <w:p>
      <w:pPr>
        <w:pStyle w:val="ArticleSubtitle"/>
        <w:jc w:val="left"/>
      </w:pPr>
      <w:r>
        <w:rPr>
          <w:rFonts w:ascii="Arial" w:hAnsi="Arial" w:eastAsia="Arial" w:cs="Arial"/>
        </w:rPr>
        <w:t>Ulai na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«Қызметшілер де, халық та Даниял мен Аян кітаптарындағы пайғамбарлықтарды түсініксіз құпиялар деп жариялады. Бірақ Мәсіх Өз шәкірттерін өз дәуірінде жүзеге асуға тиісті оқиғалар туралы Даниял пайғамбардың сөздеріне бағыттап: “Оқушы ұқсын”,— деді. Матай 24:15. Ал Аянды түсінуге болмайтын құпия деуінің өзі осы кітаптың атауымен-ақ теріске шығарылады: “Құдай Өзінің құлдарына жуық арада болуға тиісті нәрселерді көрсету үшін Оған берген Иса Мәсіхтің Аяны.... Осы пайғамбарлықтың сөздерін оқитын да, тыңдайтындар да және онда жазылғандарды сақтайтындар да бақытты; өйткені уақыт жақын”. Аян 1:1–3.</w:t>
      </w:r>
    </w:p>
    <w:p>
      <w:pPr>
        <w:pStyle w:val="ArticleScripture"/>
        <w:jc w:val="left"/>
      </w:pPr>
      <w:r>
        <w:rPr>
          <w:rFonts w:ascii="Times New Roman" w:hAnsi="Times New Roman" w:eastAsia="Times New Roman" w:cs="Times New Roman"/>
        </w:rPr>
        <w:t>“Aná ce na fáithe: ‘Is beannaithe an té a léann’—tá daoine ann nach léifidh; ní ar a son-san atá an bheannacht. ‘Agus iad siúd a éisteann’—tá cuid ann fós a dhiúltaíonn éisteacht le haon ní i dtaobh na bhfáistine; ní don aicme sin atá an bheannacht. ‘Agus a choimeádann na nithe atá scríofa inti’—diúltaíonn mórán aird a thabhairt ar na rabhaidh agus ar na treoracha atá sa Nochtadh. Ní féidir le haon duine díobh seo an bheannacht a gealladh a éileamh. Iad uile a dhéanann magadh faoi ábhair na fáistine, agus a dhéanann fonóid de na siombailí a thugtar anseo go sollúnta, iad uile a dhiúltaíonn a mbeatha a leasú agus ullmhú do theacht Mhic an Duine, beidh siad gan beannacht.”</w:t>
      </w:r>
    </w:p>
    <w:p>
      <w:pPr>
        <w:pStyle w:val="ArticleScripture"/>
        <w:jc w:val="left"/>
      </w:pPr>
      <w:r>
        <w:rPr>
          <w:rFonts w:ascii="Microsoft YaHei" w:hAnsi="Microsoft YaHei" w:eastAsia="Microsoft YaHei" w:cs="Microsoft YaHei"/>
        </w:rPr>
        <w:t>「</w:t>
      </w:r>
      <w:r>
        <w:rPr>
          <w:rFonts w:ascii="MS Gothic" w:hAnsi="MS Gothic" w:eastAsia="MS Gothic" w:cs="MS Gothic"/>
        </w:rPr>
        <w:t>インスピレーションの</w:t>
      </w:r>
      <w:r>
        <w:rPr>
          <w:rFonts w:ascii="Microsoft YaHei" w:hAnsi="Microsoft YaHei" w:eastAsia="Microsoft YaHei" w:cs="Microsoft YaHei"/>
        </w:rPr>
        <w:t>証言</w:t>
      </w:r>
      <w:r>
        <w:rPr>
          <w:rFonts w:ascii="MS Gothic" w:hAnsi="MS Gothic" w:eastAsia="MS Gothic" w:cs="MS Gothic"/>
        </w:rPr>
        <w:t>に</w:t>
      </w:r>
      <w:r>
        <w:rPr>
          <w:rFonts w:ascii="Microsoft YaHei" w:hAnsi="Microsoft YaHei" w:eastAsia="Microsoft YaHei" w:cs="Microsoft YaHei"/>
        </w:rPr>
        <w:t>照</w:t>
      </w:r>
      <w:r>
        <w:rPr>
          <w:rFonts w:ascii="MS Gothic" w:hAnsi="MS Gothic" w:eastAsia="MS Gothic" w:cs="MS Gothic"/>
        </w:rPr>
        <w:t>らして</w:t>
      </w:r>
      <w:r>
        <w:rPr>
          <w:rFonts w:ascii="Microsoft YaHei" w:hAnsi="Microsoft YaHei" w:eastAsia="Microsoft YaHei" w:cs="Microsoft YaHei"/>
        </w:rPr>
        <w:t>見</w:t>
      </w:r>
      <w:r>
        <w:rPr>
          <w:rFonts w:ascii="MS Gothic" w:hAnsi="MS Gothic" w:eastAsia="MS Gothic" w:cs="MS Gothic"/>
        </w:rPr>
        <w:t>るとき</w:t>
      </w:r>
      <w:r>
        <w:rPr>
          <w:rFonts w:ascii="Microsoft YaHei" w:hAnsi="Microsoft YaHei" w:eastAsia="Microsoft YaHei" w:cs="Microsoft YaHei"/>
        </w:rPr>
        <w:t>、</w:t>
      </w:r>
      <w:r>
        <w:rPr>
          <w:rFonts w:ascii="MS Gothic" w:hAnsi="MS Gothic" w:eastAsia="MS Gothic" w:cs="MS Gothic"/>
        </w:rPr>
        <w:t>どうして</w:t>
      </w:r>
      <w:r>
        <w:rPr>
          <w:rFonts w:ascii="Microsoft YaHei" w:hAnsi="Microsoft YaHei" w:eastAsia="Microsoft YaHei" w:cs="Microsoft YaHei"/>
        </w:rPr>
        <w:t>人々</w:t>
      </w:r>
      <w:r>
        <w:rPr>
          <w:rFonts w:ascii="MS Gothic" w:hAnsi="MS Gothic" w:eastAsia="MS Gothic" w:cs="MS Gothic"/>
        </w:rPr>
        <w:t>は</w:t>
      </w:r>
      <w:r>
        <w:rPr>
          <w:rFonts w:ascii="Microsoft YaHei" w:hAnsi="Microsoft YaHei" w:eastAsia="Microsoft YaHei" w:cs="Microsoft YaHei"/>
        </w:rPr>
        <w:t>、黙示録</w:t>
      </w:r>
      <w:r>
        <w:rPr>
          <w:rFonts w:ascii="MS Gothic" w:hAnsi="MS Gothic" w:eastAsia="MS Gothic" w:cs="MS Gothic"/>
        </w:rPr>
        <w:t>は</w:t>
      </w:r>
      <w:r>
        <w:rPr>
          <w:rFonts w:ascii="Microsoft YaHei" w:hAnsi="Microsoft YaHei" w:eastAsia="Microsoft YaHei" w:cs="Microsoft YaHei"/>
        </w:rPr>
        <w:t>奥義</w:t>
      </w:r>
      <w:r>
        <w:rPr>
          <w:rFonts w:ascii="MS Gothic" w:hAnsi="MS Gothic" w:eastAsia="MS Gothic" w:cs="MS Gothic"/>
        </w:rPr>
        <w:t>であって</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理解</w:t>
      </w:r>
      <w:r>
        <w:rPr>
          <w:rFonts w:ascii="MS Gothic" w:hAnsi="MS Gothic" w:eastAsia="MS Gothic" w:cs="MS Gothic"/>
        </w:rPr>
        <w:t>の</w:t>
      </w:r>
      <w:r>
        <w:rPr>
          <w:rFonts w:ascii="Microsoft YaHei" w:hAnsi="Microsoft YaHei" w:eastAsia="Microsoft YaHei" w:cs="Microsoft YaHei"/>
        </w:rPr>
        <w:t>及</w:t>
      </w:r>
      <w:r>
        <w:rPr>
          <w:rFonts w:ascii="MS Gothic" w:hAnsi="MS Gothic" w:eastAsia="MS Gothic" w:cs="MS Gothic"/>
        </w:rPr>
        <w:t>ばぬものだと</w:t>
      </w:r>
      <w:r>
        <w:rPr>
          <w:rFonts w:ascii="Microsoft YaHei" w:hAnsi="Microsoft YaHei" w:eastAsia="Microsoft YaHei" w:cs="Microsoft YaHei"/>
        </w:rPr>
        <w:t>教</w:t>
      </w:r>
      <w:r>
        <w:rPr>
          <w:rFonts w:ascii="MS Gothic" w:hAnsi="MS Gothic" w:eastAsia="MS Gothic" w:cs="MS Gothic"/>
        </w:rPr>
        <w:t>えることができようか</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啓示</w:t>
      </w:r>
      <w:r>
        <w:rPr>
          <w:rFonts w:ascii="MS Gothic" w:hAnsi="MS Gothic" w:eastAsia="MS Gothic" w:cs="MS Gothic"/>
        </w:rPr>
        <w:t>された</w:t>
      </w:r>
      <w:r>
        <w:rPr>
          <w:rFonts w:ascii="Microsoft YaHei" w:hAnsi="Microsoft YaHei" w:eastAsia="Microsoft YaHei" w:cs="Microsoft YaHei"/>
        </w:rPr>
        <w:t>奥義</w:t>
      </w:r>
      <w:r>
        <w:rPr>
          <w:rFonts w:ascii="MS Gothic" w:hAnsi="MS Gothic" w:eastAsia="MS Gothic" w:cs="MS Gothic"/>
        </w:rPr>
        <w:t>であり</w:t>
      </w:r>
      <w:r>
        <w:rPr>
          <w:rFonts w:ascii="Microsoft YaHei" w:hAnsi="Microsoft YaHei" w:eastAsia="Microsoft YaHei" w:cs="Microsoft YaHei"/>
        </w:rPr>
        <w:t>、開</w:t>
      </w:r>
      <w:r>
        <w:rPr>
          <w:rFonts w:ascii="MS Gothic" w:hAnsi="MS Gothic" w:eastAsia="MS Gothic" w:cs="MS Gothic"/>
        </w:rPr>
        <w:t>かれた</w:t>
      </w:r>
      <w:r>
        <w:rPr>
          <w:rFonts w:ascii="Microsoft YaHei" w:hAnsi="Microsoft YaHei" w:eastAsia="Microsoft YaHei" w:cs="Microsoft YaHei"/>
        </w:rPr>
        <w:t>書</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黙示録</w:t>
      </w:r>
      <w:r>
        <w:rPr>
          <w:rFonts w:ascii="MS Gothic" w:hAnsi="MS Gothic" w:eastAsia="MS Gothic" w:cs="MS Gothic"/>
        </w:rPr>
        <w:t>の</w:t>
      </w:r>
      <w:r>
        <w:rPr>
          <w:rFonts w:ascii="Microsoft YaHei" w:hAnsi="Microsoft YaHei" w:eastAsia="Microsoft YaHei" w:cs="Microsoft YaHei"/>
        </w:rPr>
        <w:t>研究</w:t>
      </w:r>
      <w:r>
        <w:rPr>
          <w:rFonts w:ascii="MS Gothic" w:hAnsi="MS Gothic" w:eastAsia="MS Gothic" w:cs="MS Gothic"/>
        </w:rPr>
        <w:t>は</w:t>
      </w:r>
      <w:r>
        <w:rPr>
          <w:rFonts w:ascii="Microsoft YaHei" w:hAnsi="Microsoft YaHei" w:eastAsia="Microsoft YaHei" w:cs="Microsoft YaHei"/>
        </w:rPr>
        <w:t>心</w:t>
      </w:r>
      <w:r>
        <w:rPr>
          <w:rFonts w:ascii="MS Gothic" w:hAnsi="MS Gothic" w:eastAsia="MS Gothic" w:cs="MS Gothic"/>
        </w:rPr>
        <w:t>をダニエルの</w:t>
      </w:r>
      <w:r>
        <w:rPr>
          <w:rFonts w:ascii="Microsoft YaHei" w:hAnsi="Microsoft YaHei" w:eastAsia="Microsoft YaHei" w:cs="Microsoft YaHei"/>
        </w:rPr>
        <w:t>預言</w:t>
      </w:r>
      <w:r>
        <w:rPr>
          <w:rFonts w:ascii="MS Gothic" w:hAnsi="MS Gothic" w:eastAsia="MS Gothic" w:cs="MS Gothic"/>
        </w:rPr>
        <w:t>へと</w:t>
      </w:r>
      <w:r>
        <w:rPr>
          <w:rFonts w:ascii="Microsoft YaHei" w:hAnsi="Microsoft YaHei" w:eastAsia="Microsoft YaHei" w:cs="Microsoft YaHei"/>
        </w:rPr>
        <w:t>向</w:t>
      </w:r>
      <w:r>
        <w:rPr>
          <w:rFonts w:ascii="MS Gothic" w:hAnsi="MS Gothic" w:eastAsia="MS Gothic" w:cs="MS Gothic"/>
        </w:rPr>
        <w:t>け</w:t>
      </w:r>
      <w:r>
        <w:rPr>
          <w:rFonts w:ascii="Microsoft YaHei" w:hAnsi="Microsoft YaHei" w:eastAsia="Microsoft YaHei" w:cs="Microsoft YaHei"/>
        </w:rPr>
        <w:t>、</w:t>
      </w:r>
      <w:r>
        <w:rPr>
          <w:rFonts w:ascii="MS Gothic" w:hAnsi="MS Gothic" w:eastAsia="MS Gothic" w:cs="MS Gothic"/>
        </w:rPr>
        <w:t>そしてその</w:t>
      </w:r>
      <w:r>
        <w:rPr>
          <w:rFonts w:ascii="Microsoft YaHei" w:hAnsi="Microsoft YaHei" w:eastAsia="Microsoft YaHei" w:cs="Microsoft YaHei"/>
        </w:rPr>
        <w:t>両者</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世界</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終末</w:t>
      </w:r>
      <w:r>
        <w:rPr>
          <w:rFonts w:ascii="MS Gothic" w:hAnsi="MS Gothic" w:eastAsia="MS Gothic" w:cs="MS Gothic"/>
        </w:rPr>
        <w:t>に</w:t>
      </w:r>
      <w:r>
        <w:rPr>
          <w:rFonts w:ascii="Microsoft YaHei" w:hAnsi="Microsoft YaHei" w:eastAsia="Microsoft YaHei" w:cs="Microsoft YaHei"/>
        </w:rPr>
        <w:t>起</w:t>
      </w:r>
      <w:r>
        <w:rPr>
          <w:rFonts w:ascii="MS Gothic" w:hAnsi="MS Gothic" w:eastAsia="MS Gothic" w:cs="MS Gothic"/>
        </w:rPr>
        <w:t>ころうとしている</w:t>
      </w:r>
      <w:r>
        <w:rPr>
          <w:rFonts w:ascii="Microsoft YaHei" w:hAnsi="Microsoft YaHei" w:eastAsia="Microsoft YaHei" w:cs="Microsoft YaHei"/>
        </w:rPr>
        <w:t>出来事</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して</w:t>
      </w:r>
      <w:r>
        <w:rPr>
          <w:rFonts w:ascii="Microsoft YaHei" w:hAnsi="Microsoft YaHei" w:eastAsia="Microsoft YaHei" w:cs="Microsoft YaHei"/>
        </w:rPr>
        <w:t>、神</w:t>
      </w:r>
      <w:r>
        <w:rPr>
          <w:rFonts w:ascii="MS Gothic" w:hAnsi="MS Gothic" w:eastAsia="MS Gothic" w:cs="MS Gothic"/>
        </w:rPr>
        <w:t>が</w:t>
      </w:r>
      <w:r>
        <w:rPr>
          <w:rFonts w:ascii="Microsoft YaHei" w:hAnsi="Microsoft YaHei" w:eastAsia="Microsoft YaHei" w:cs="Microsoft YaHei"/>
        </w:rPr>
        <w:t>人々</w:t>
      </w:r>
      <w:r>
        <w:rPr>
          <w:rFonts w:ascii="MS Gothic" w:hAnsi="MS Gothic" w:eastAsia="MS Gothic" w:cs="MS Gothic"/>
        </w:rPr>
        <w:t>にお</w:t>
      </w:r>
      <w:r>
        <w:rPr>
          <w:rFonts w:ascii="Microsoft YaHei" w:hAnsi="Microsoft YaHei" w:eastAsia="Microsoft YaHei" w:cs="Microsoft YaHei"/>
        </w:rPr>
        <w:t>与</w:t>
      </w:r>
      <w:r>
        <w:rPr>
          <w:rFonts w:ascii="MS Gothic" w:hAnsi="MS Gothic" w:eastAsia="MS Gothic" w:cs="MS Gothic"/>
        </w:rPr>
        <w:t>えになった</w:t>
      </w:r>
      <w:r>
        <w:rPr>
          <w:rFonts w:ascii="Microsoft YaHei" w:hAnsi="Microsoft YaHei" w:eastAsia="Microsoft YaHei" w:cs="Microsoft YaHei"/>
        </w:rPr>
        <w:t>、</w:t>
      </w:r>
      <w:r>
        <w:rPr>
          <w:rFonts w:ascii="MS Gothic" w:hAnsi="MS Gothic" w:eastAsia="MS Gothic" w:cs="MS Gothic"/>
        </w:rPr>
        <w:t>きわめて</w:t>
      </w:r>
      <w:r>
        <w:rPr>
          <w:rFonts w:ascii="Microsoft YaHei" w:hAnsi="Microsoft YaHei" w:eastAsia="Microsoft YaHei" w:cs="Microsoft YaHei"/>
        </w:rPr>
        <w:t>重要</w:t>
      </w:r>
      <w:r>
        <w:rPr>
          <w:rFonts w:ascii="MS Gothic" w:hAnsi="MS Gothic" w:eastAsia="MS Gothic" w:cs="MS Gothic"/>
        </w:rPr>
        <w:t>な</w:t>
      </w:r>
      <w:r>
        <w:rPr>
          <w:rFonts w:ascii="Microsoft YaHei" w:hAnsi="Microsoft YaHei" w:eastAsia="Microsoft YaHei" w:cs="Microsoft YaHei"/>
        </w:rPr>
        <w:t>教</w:t>
      </w:r>
      <w:r>
        <w:rPr>
          <w:rFonts w:ascii="MS Gothic" w:hAnsi="MS Gothic" w:eastAsia="MS Gothic" w:cs="MS Gothic"/>
        </w:rPr>
        <w:t>えを</w:t>
      </w:r>
      <w:r>
        <w:rPr>
          <w:rFonts w:ascii="Microsoft YaHei" w:hAnsi="Microsoft YaHei" w:eastAsia="Microsoft YaHei" w:cs="Microsoft YaHei"/>
        </w:rPr>
        <w:t>提示</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大争闘』</w:t>
      </w:r>
      <w:r>
        <w:rPr>
          <w:rFonts w:ascii="Times New Roman" w:hAnsi="Times New Roman" w:eastAsia="Times New Roman" w:cs="Times New Roman"/>
        </w:rPr>
        <w:t>340</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“Ufunuo husukuma akili kwenye unabii wa Danieli.” Watu wengine huona unabii ndani ya kitabu cha Danieli pekee. Lakini Danieli anawasilisha mistari miwili ya ukweli, na kweli zinazowakilisha unabii wake ni sura sita za mwisho za kitabu chake. Sura sita za kwanza zinawasilisha unabii uliochorwa kwa vielelezo, ambao, kwa kiasi kikubwa, bado hautambuliwi. Kabla hatujazingatia sura sita za kwanza za Danieli, tutaeleza kwa nini kwa kweli kuna unabii mbili tu zinazowakilishwa katika sura sita za mwisho za Danieli. Sister White anaonyesha unabii hizo mbili kwa kurejelea mito miwili mikubwa ya Shinari. Tunapokubali ishara anazoweka mbele yetu, tunapata ufunguo wa kuona unabii mbili, na mbili tu, katika sura sita za mwisho za Danieli.</w:t>
      </w:r>
    </w:p>
    <w:p>
      <w:pPr>
        <w:pStyle w:val="ArticleScripture"/>
        <w:jc w:val="left"/>
      </w:pPr>
      <w:r>
        <w:rPr>
          <w:rFonts w:ascii="Times New Roman" w:hAnsi="Times New Roman" w:eastAsia="Times New Roman" w:cs="Times New Roman"/>
        </w:rPr>
        <w:t>“Umucyo Daniyeli yahawe n’Imana yahawe mu buryo bwihariye ku bw’iyi minsi y’imperuka. Iyerekwa yabonye ku nkengero z’Ulayi na Hidekeli, inzuzi zikomeye za Shinari, ubu riri mu nzira yo gusohora, kandi ibyabaye byose byahanuwe bizahita bisohora vuba.” Testimonies to Ministers, 112.</w:t>
      </w:r>
    </w:p>
    <w:p>
      <w:pPr>
        <w:pStyle w:val="ArticleBody"/>
        <w:jc w:val="left"/>
      </w:pPr>
      <w:r>
        <w:rPr>
          <w:rFonts w:ascii="Times New Roman" w:hAnsi="Times New Roman" w:eastAsia="Times New Roman" w:cs="Times New Roman"/>
        </w:rPr>
        <w:t>Sura ya nane ilitolewa kando ya mto Ulai.</w:t>
      </w:r>
    </w:p>
    <w:p>
      <w:pPr>
        <w:pStyle w:val="ArticleScripture"/>
        <w:jc w:val="left"/>
      </w:pPr>
      <w:r>
        <w:rPr>
          <w:rFonts w:ascii="Malgun Gothic" w:hAnsi="Malgun Gothic" w:eastAsia="Malgun Gothic" w:cs="Malgun Gothic"/>
        </w:rPr>
        <w:t>디엘왕</w:t>
      </w:r>
      <w:r>
        <w:rPr>
          <w:rFonts w:ascii="Times New Roman" w:hAnsi="Times New Roman" w:eastAsia="Times New Roman" w:cs="Times New Roman"/>
        </w:rPr>
        <w:t xml:space="preserve"> </w:t>
      </w:r>
      <w:r>
        <w:rPr>
          <w:rFonts w:ascii="Malgun Gothic" w:hAnsi="Malgun Gothic" w:eastAsia="Malgun Gothic" w:cs="Malgun Gothic"/>
        </w:rPr>
        <w:t>벨사살의</w:t>
      </w:r>
      <w:r>
        <w:rPr>
          <w:rFonts w:ascii="Times New Roman" w:hAnsi="Times New Roman" w:eastAsia="Times New Roman" w:cs="Times New Roman"/>
        </w:rPr>
        <w:t xml:space="preserve"> </w:t>
      </w:r>
      <w:r>
        <w:rPr>
          <w:rFonts w:ascii="Malgun Gothic" w:hAnsi="Malgun Gothic" w:eastAsia="Malgun Gothic" w:cs="Malgun Gothic"/>
        </w:rPr>
        <w:t>통치</w:t>
      </w:r>
      <w:r>
        <w:rPr>
          <w:rFonts w:ascii="Times New Roman" w:hAnsi="Times New Roman" w:eastAsia="Times New Roman" w:cs="Times New Roman"/>
        </w:rPr>
        <w:t xml:space="preserve"> </w:t>
      </w:r>
      <w:r>
        <w:rPr>
          <w:rFonts w:ascii="Malgun Gothic" w:hAnsi="Malgun Gothic" w:eastAsia="Malgun Gothic" w:cs="Malgun Gothic"/>
        </w:rPr>
        <w:t>제삼년에</w:t>
      </w:r>
      <w:r>
        <w:rPr>
          <w:rFonts w:ascii="Times New Roman" w:hAnsi="Times New Roman" w:eastAsia="Times New Roman" w:cs="Times New Roman"/>
        </w:rPr>
        <w:t xml:space="preserve">, </w:t>
      </w:r>
      <w:r>
        <w:rPr>
          <w:rFonts w:ascii="Malgun Gothic" w:hAnsi="Malgun Gothic" w:eastAsia="Malgun Gothic" w:cs="Malgun Gothic"/>
        </w:rPr>
        <w:t>처음에</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환상이</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다니엘에게</w:t>
      </w:r>
      <w:r>
        <w:rPr>
          <w:rFonts w:ascii="Times New Roman" w:hAnsi="Times New Roman" w:eastAsia="Times New Roman" w:cs="Times New Roman"/>
        </w:rPr>
        <w:t xml:space="preserve"> </w:t>
      </w:r>
      <w:r>
        <w:rPr>
          <w:rFonts w:ascii="Malgun Gothic" w:hAnsi="Malgun Gothic" w:eastAsia="Malgun Gothic" w:cs="Malgun Gothic"/>
        </w:rPr>
        <w:t>나타났느니라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환상</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보았는데</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볼</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엘람</w:t>
      </w:r>
      <w:r>
        <w:rPr>
          <w:rFonts w:ascii="Times New Roman" w:hAnsi="Times New Roman" w:eastAsia="Times New Roman" w:cs="Times New Roman"/>
        </w:rPr>
        <w:t xml:space="preserve"> </w:t>
      </w:r>
      <w:r>
        <w:rPr>
          <w:rFonts w:ascii="Malgun Gothic" w:hAnsi="Malgun Gothic" w:eastAsia="Malgun Gothic" w:cs="Malgun Gothic"/>
        </w:rPr>
        <w:t>지방에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궁</w:t>
      </w:r>
      <w:r>
        <w:rPr>
          <w:rFonts w:ascii="Times New Roman" w:hAnsi="Times New Roman" w:eastAsia="Times New Roman" w:cs="Times New Roman"/>
        </w:rPr>
        <w:t xml:space="preserve"> </w:t>
      </w:r>
      <w:r>
        <w:rPr>
          <w:rFonts w:ascii="Malgun Gothic" w:hAnsi="Malgun Gothic" w:eastAsia="Malgun Gothic" w:cs="Malgun Gothic"/>
        </w:rPr>
        <w:t>수산에</w:t>
      </w:r>
      <w:r>
        <w:rPr>
          <w:rFonts w:ascii="Times New Roman" w:hAnsi="Times New Roman" w:eastAsia="Times New Roman" w:cs="Times New Roman"/>
        </w:rPr>
        <w:t xml:space="preserve"> </w:t>
      </w:r>
      <w:r>
        <w:rPr>
          <w:rFonts w:ascii="Malgun Gothic" w:hAnsi="Malgun Gothic" w:eastAsia="Malgun Gothic" w:cs="Malgun Gothic"/>
        </w:rPr>
        <w:t>있었고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환상</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보니</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을래</w:t>
      </w:r>
      <w:r>
        <w:rPr>
          <w:rFonts w:ascii="Times New Roman" w:hAnsi="Times New Roman" w:eastAsia="Times New Roman" w:cs="Times New Roman"/>
        </w:rPr>
        <w:t xml:space="preserve"> </w:t>
      </w:r>
      <w:r>
        <w:rPr>
          <w:rFonts w:ascii="Malgun Gothic" w:hAnsi="Malgun Gothic" w:eastAsia="Malgun Gothic" w:cs="Malgun Gothic"/>
        </w:rPr>
        <w:t>강가에</w:t>
      </w:r>
      <w:r>
        <w:rPr>
          <w:rFonts w:ascii="Times New Roman" w:hAnsi="Times New Roman" w:eastAsia="Times New Roman" w:cs="Times New Roman"/>
        </w:rPr>
        <w:t xml:space="preserve"> </w:t>
      </w:r>
      <w:r>
        <w:rPr>
          <w:rFonts w:ascii="Malgun Gothic" w:hAnsi="Malgun Gothic" w:eastAsia="Malgun Gothic" w:cs="Malgun Gothic"/>
        </w:rPr>
        <w:t>있었느니라</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8:1, 2.</w:t>
      </w:r>
    </w:p>
    <w:p>
      <w:pPr>
        <w:pStyle w:val="ArticleBody"/>
        <w:jc w:val="left"/>
      </w:pPr>
      <w:r>
        <w:rPr>
          <w:rFonts w:ascii="Times New Roman" w:hAnsi="Times New Roman" w:eastAsia="Times New Roman" w:cs="Times New Roman"/>
        </w:rPr>
        <w:t>Wakati tulipochukua aya ile kutoka Testimonies to Ministers, ambamo Dada White alirejelea “Ulai na Hiddekel” na kuziita “mito mikuu ya Shinari,” tulikuwa tunaichambua aya hiyo kutoka katika mojawapo ya maelezo ya muhimu sana kuhusu uchunguzi wa vitabu vya Danieli na Ufunuo katika maandishi ya Dada White. Katika kifungu hicho anasema, “Kuna haja ya kujifunza kwa ukaribu zaidi Neno la Mungu; hasa Danieli na Ufunuo yanapaswa kupewa uangalifu kuliko wakati wowote kabla yake katika historia ya kazi yetu.”</w:t>
      </w:r>
    </w:p>
    <w:p>
      <w:pPr>
        <w:pStyle w:val="ArticleBody"/>
        <w:jc w:val="left"/>
      </w:pPr>
      <w:r>
        <w:rPr>
          <w:rFonts w:ascii="Times New Roman" w:hAnsi="Times New Roman" w:eastAsia="Times New Roman" w:cs="Times New Roman"/>
        </w:rPr>
        <w:t>Se, à máxima atenção, estudarmos os dois primeiros versículos que acabámos de citar do capítulo oito de Daniel, eles fornecem duas testemunhas internas de um facto que muitas vezes é negligenciado. Daniel diz: “no terceiro ano de” Belsazar “me apareceu uma visão.” Depois acrescenta: “depois daquela que me apareceu ao princípio.” Este versículo pode ser entendido de duas maneiras, e, de qualquer delas, resulta a mesma conclusão.</w:t>
      </w:r>
    </w:p>
    <w:p>
      <w:pPr>
        <w:pStyle w:val="ArticleBody"/>
        <w:jc w:val="left"/>
      </w:pPr>
      <w:r>
        <w:rPr>
          <w:rFonts w:ascii="Times New Roman" w:hAnsi="Times New Roman" w:eastAsia="Times New Roman" w:cs="Times New Roman"/>
        </w:rPr>
        <w:t>ʻĀnela ʻoe ʻo Gabriela nāna i lawe mai i ka mālamalama wanana iā Daniela, e like me kāna i hana ai me nā kāula a pau, no ka mea, ua pani ʻo ia iā Satana ma ke kūlana o ka mea lawe mālamalama lani. ʻO ia hoʻi, ʻo kēlā me kēia kānāwai wanana i loaʻa ma loko o ka Palapala Hemolele, ua alakaʻi ʻia e Gabriela. Inā paha i hoʻomaopopo ʻo Daniela iā ia a i ʻole ʻaʻole, ma ka pauku mua o ka mokuna ʻewalu, ʻaʻole wale nō ʻo ia e kuhikuhi ana i kekahi ʻike wanana koʻikoʻi, akā, hāʻawi pū ʻo ia i mau hōʻike ʻelua no ia ʻike wanana koʻikoʻi i loko o ia pauku. ʻO ka mea a Daniela i kākau ai ma ka pauku mua, ʻo ia nō, ua loaʻa iā ia kekahi hihiʻo ma mua o ka hihiʻo i loaʻa iā ia ma ka muliwai ʻo Ulai. ʻO ka hihiʻo ma ka muliwai ʻo Ulai, ua hiki mai ia i ke kolu o ka makahiki o Belesazara. ʻO ka hihiʻo ma mua o ka hihiʻo ma ka muliwai ʻo Ulai, ua hiki mai ia i ka makahiki mua o Belesazara.</w:t>
      </w:r>
    </w:p>
    <w:p>
      <w:pPr>
        <w:pStyle w:val="ArticleScripture"/>
        <w:jc w:val="left"/>
      </w:pPr>
      <w:r>
        <w:rPr>
          <w:rFonts w:ascii="Times New Roman" w:hAnsi="Times New Roman" w:eastAsia="Times New Roman" w:cs="Times New Roman"/>
        </w:rPr>
        <w:t>Mu mwaka wa mbere wa Belishaza umwami w’i Babuloni, Daniyeli yarose inzozi, kandi yeretswe ibyerekeye umutwe we ari ku gitanda cye; hanyuma yandika iyo nzozi, avuga mu ncamake iby’ingenzi byayo. Daniyeli 7:1.</w:t>
      </w:r>
    </w:p>
    <w:p>
      <w:pPr>
        <w:pStyle w:val="ArticleBody"/>
        <w:jc w:val="left"/>
      </w:pPr>
      <w:r>
        <w:rPr>
          <w:rFonts w:ascii="Times New Roman" w:hAnsi="Times New Roman" w:eastAsia="Times New Roman" w:cs="Times New Roman"/>
        </w:rPr>
        <w:t>Kapitel acht, Vers eins, zeigt Daniel auf, dass er auch im ersten Jahr Belsazars eine Vision hatte; denn er sagt: „nach derjenigen, die mir zuerst erschienen war.“ Erschien die Vision am Ulai nach der Vision aus dem ersten Jahr Belsazars, oder erschien sie nach der ersten der beiden parallelen Visionen? Beide Antworten sind zutreffend. Die Vision vom Fluss Ulai ist dieselbe Vision wie die Vision in Kapitel sieben. Gabriel wendet den prophetischen Grundsatz des „Wiederholens und Erweiterens“ an und zugleich die Regel, dass auf das Zeugnis von zweien eine Sache festgestellt wird. Beide Visionen behandeln die Königreiche der biblischen Prophetie.</w:t>
      </w:r>
    </w:p>
    <w:p>
      <w:pPr>
        <w:pStyle w:val="ArticleBody"/>
        <w:jc w:val="left"/>
      </w:pPr>
      <w:r>
        <w:rPr>
          <w:rFonts w:ascii="Nirmala UI" w:hAnsi="Nirmala UI" w:eastAsia="Nirmala UI" w:cs="Nirmala UI"/>
        </w:rPr>
        <w:t>हप्ते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हिंसक</w:t>
      </w:r>
      <w:r>
        <w:rPr>
          <w:rFonts w:ascii="Times New Roman" w:hAnsi="Times New Roman" w:eastAsia="Times New Roman" w:cs="Times New Roman"/>
        </w:rPr>
        <w:t xml:space="preserve"> </w:t>
      </w:r>
      <w:r>
        <w:rPr>
          <w:rFonts w:ascii="Nirmala UI" w:hAnsi="Nirmala UI" w:eastAsia="Nirmala UI" w:cs="Nirmala UI"/>
        </w:rPr>
        <w:t>पशुओं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परिप्रेक्ष्य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हप्ते</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जानबूझकर</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हप्ते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परिप्रेक्ष्य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Die Ulai-Gesig in Daniël hoofstuk agt herhaal en vergroot die gesig van hoofstuk sewe. Hoofstuk sewe identifiseer die burgerlike aspek van die koninkryke van Bybelprofesie, en hoofstuk agt identifiseer die godsdienstige aspek van die koninkryke van Bybelprofesie. Wanneer dit erken word, kan daar dan verstaan word dat hoofstukke sewe en agt dieselfde gesig is. Hoofstuk nege is waar Gabriël kom om die verklaring te gee van die tydselement in die gesig van hoofstuk agt. Daarom verteenwoordig die gesig van die Ulai hoofstukke sewe, agt en nege van die boek Daniël. Die rivier Hiddekel word dan in hoofstuk tien ingelei.</w:t>
      </w:r>
    </w:p>
    <w:p>
      <w:pPr>
        <w:pStyle w:val="ArticleScripture"/>
        <w:jc w:val="left"/>
      </w:pPr>
      <w:r>
        <w:rPr>
          <w:rFonts w:ascii="Times New Roman" w:hAnsi="Times New Roman" w:eastAsia="Times New Roman" w:cs="Times New Roman"/>
        </w:rPr>
        <w:t>No terceiro ano de Ciro, rei da Pérsia, foi revelada uma palavra a Daniel, cujo nome se chamava Beltessazar; e a palavra era verdadeira, mas o tempo determinado era longo; e ele compreendeu a palavra e teve entendimento da visão. Naqueles dias, eu, Daniel, estive pranteando por três semanas inteiras. Não comi pão aprazível, nem carne nem vinho entraram em minha boca, nem me ungi de modo algum, até que se cumpriram três semanas completas. E, no vigésimo quarto dia do primeiro mês, estando eu à borda do grande rio, que é o Hidéquel. Daniel 10:1–4.</w:t>
      </w:r>
    </w:p>
    <w:p>
      <w:pPr>
        <w:pStyle w:val="ArticleBody"/>
        <w:jc w:val="left"/>
      </w:pP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हिद्देकेल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परिचय</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सिकन्दर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विघटन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w:t>
      </w:r>
      <w:r>
        <w:rPr>
          <w:rFonts w:ascii="Nirmala UI" w:hAnsi="Nirmala UI" w:eastAsia="Nirmala UI" w:cs="Nirmala UI"/>
        </w:rPr>
        <w:t>चढ़ाव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सिकन्दर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विघटन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बनाम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मीखाएल</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परीक्षाकाल</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सरल</w:t>
      </w:r>
      <w:r>
        <w:rPr>
          <w:rFonts w:ascii="Times New Roman" w:hAnsi="Times New Roman" w:eastAsia="Times New Roman" w:cs="Times New Roman"/>
        </w:rPr>
        <w:t xml:space="preserve"> </w:t>
      </w:r>
      <w:r>
        <w:rPr>
          <w:rFonts w:ascii="Nirmala UI" w:hAnsi="Nirmala UI" w:eastAsia="Nirmala UI" w:cs="Nirmala UI"/>
        </w:rPr>
        <w:t>अवलोकन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हिद्देकेल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w:t>
      </w:r>
      <w:r>
        <w:rPr>
          <w:rFonts w:ascii="Nirmala UI" w:hAnsi="Nirmala UI" w:eastAsia="Nirmala UI" w:cs="Nirmala UI"/>
        </w:rPr>
        <w:t>அநேக</w:t>
      </w:r>
      <w:r>
        <w:rPr>
          <w:rFonts w:ascii="Times New Roman" w:hAnsi="Times New Roman" w:eastAsia="Times New Roman" w:cs="Times New Roman"/>
        </w:rPr>
        <w:t xml:space="preserve"> </w:t>
      </w:r>
      <w:r>
        <w:rPr>
          <w:rFonts w:ascii="Nirmala UI" w:hAnsi="Nirmala UI" w:eastAsia="Nirmala UI" w:cs="Nirmala UI"/>
        </w:rPr>
        <w:t>ஊழியக்காரர்கள்</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விசேஷத்தை</w:t>
      </w:r>
      <w:r>
        <w:rPr>
          <w:rFonts w:ascii="Times New Roman" w:hAnsi="Times New Roman" w:eastAsia="Times New Roman" w:cs="Times New Roman"/>
        </w:rPr>
        <w:t xml:space="preserve"> </w:t>
      </w:r>
      <w:r>
        <w:rPr>
          <w:rFonts w:ascii="Nirmala UI" w:hAnsi="Nirmala UI" w:eastAsia="Nirmala UI" w:cs="Nirmala UI"/>
        </w:rPr>
        <w:t>விளக்குவதற்கு</w:t>
      </w:r>
      <w:r>
        <w:rPr>
          <w:rFonts w:ascii="Times New Roman" w:hAnsi="Times New Roman" w:eastAsia="Times New Roman" w:cs="Times New Roman"/>
        </w:rPr>
        <w:t xml:space="preserve"> </w:t>
      </w:r>
      <w:r>
        <w:rPr>
          <w:rFonts w:ascii="Nirmala UI" w:hAnsi="Nirmala UI" w:eastAsia="Nirmala UI" w:cs="Nirmala UI"/>
        </w:rPr>
        <w:t>எந்த</w:t>
      </w:r>
      <w:r>
        <w:rPr>
          <w:rFonts w:ascii="Times New Roman" w:hAnsi="Times New Roman" w:eastAsia="Times New Roman" w:cs="Times New Roman"/>
        </w:rPr>
        <w:t xml:space="preserve"> </w:t>
      </w:r>
      <w:r>
        <w:rPr>
          <w:rFonts w:ascii="Nirmala UI" w:hAnsi="Nirmala UI" w:eastAsia="Nirmala UI" w:cs="Nirmala UI"/>
        </w:rPr>
        <w:t>முயற்சியும்</w:t>
      </w:r>
      <w:r>
        <w:rPr>
          <w:rFonts w:ascii="Times New Roman" w:hAnsi="Times New Roman" w:eastAsia="Times New Roman" w:cs="Times New Roman"/>
        </w:rPr>
        <w:t xml:space="preserve"> </w:t>
      </w:r>
      <w:r>
        <w:rPr>
          <w:rFonts w:ascii="Nirmala UI" w:hAnsi="Nirmala UI" w:eastAsia="Nirmala UI" w:cs="Nirmala UI"/>
        </w:rPr>
        <w:t>செய்யவில்லை</w:t>
      </w:r>
      <w:r>
        <w:rPr>
          <w:rFonts w:ascii="Times New Roman" w:hAnsi="Times New Roman" w:eastAsia="Times New Roman" w:cs="Times New Roman"/>
        </w:rPr>
        <w:t xml:space="preserve">. </w:t>
      </w:r>
      <w:r>
        <w:rPr>
          <w:rFonts w:ascii="Nirmala UI" w:hAnsi="Nirmala UI" w:eastAsia="Nirmala UI" w:cs="Nirmala UI"/>
        </w:rPr>
        <w:t>அதைப்</w:t>
      </w:r>
      <w:r>
        <w:rPr>
          <w:rFonts w:ascii="Times New Roman" w:hAnsi="Times New Roman" w:eastAsia="Times New Roman" w:cs="Times New Roman"/>
        </w:rPr>
        <w:t xml:space="preserve"> </w:t>
      </w:r>
      <w:r>
        <w:rPr>
          <w:rFonts w:ascii="Nirmala UI" w:hAnsi="Nirmala UI" w:eastAsia="Nirmala UI" w:cs="Nirmala UI"/>
        </w:rPr>
        <w:t>படிப்பதற்கு</w:t>
      </w:r>
      <w:r>
        <w:rPr>
          <w:rFonts w:ascii="Times New Roman" w:hAnsi="Times New Roman" w:eastAsia="Times New Roman" w:cs="Times New Roman"/>
        </w:rPr>
        <w:t xml:space="preserve"> </w:t>
      </w:r>
      <w:r>
        <w:rPr>
          <w:rFonts w:ascii="Nirmala UI" w:hAnsi="Nirmala UI" w:eastAsia="Nirmala UI" w:cs="Nirmala UI"/>
        </w:rPr>
        <w:t>பலனற்ற</w:t>
      </w:r>
      <w:r>
        <w:rPr>
          <w:rFonts w:ascii="Times New Roman" w:hAnsi="Times New Roman" w:eastAsia="Times New Roman" w:cs="Times New Roman"/>
        </w:rPr>
        <w:t xml:space="preserve"> </w:t>
      </w:r>
      <w:r>
        <w:rPr>
          <w:rFonts w:ascii="Nirmala UI" w:hAnsi="Nirmala UI" w:eastAsia="Nirmala UI" w:cs="Nirmala UI"/>
        </w:rPr>
        <w:t>புத்தகமாக</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அழைக்கிறார்கள்</w:t>
      </w:r>
      <w:r>
        <w:rPr>
          <w:rFonts w:ascii="Times New Roman" w:hAnsi="Times New Roman" w:eastAsia="Times New Roman" w:cs="Times New Roman"/>
        </w:rPr>
        <w:t xml:space="preserve">. </w:t>
      </w:r>
      <w:r>
        <w:rPr>
          <w:rFonts w:ascii="Nirmala UI" w:hAnsi="Nirmala UI" w:eastAsia="Nirmala UI" w:cs="Nirmala UI"/>
        </w:rPr>
        <w:t>அதில்</w:t>
      </w:r>
      <w:r>
        <w:rPr>
          <w:rFonts w:ascii="Times New Roman" w:hAnsi="Times New Roman" w:eastAsia="Times New Roman" w:cs="Times New Roman"/>
        </w:rPr>
        <w:t xml:space="preserve"> </w:t>
      </w:r>
      <w:r>
        <w:rPr>
          <w:rFonts w:ascii="Nirmala UI" w:hAnsi="Nirmala UI" w:eastAsia="Nirmala UI" w:cs="Nirmala UI"/>
        </w:rPr>
        <w:t>உருவகங்களும்</w:t>
      </w:r>
      <w:r>
        <w:rPr>
          <w:rFonts w:ascii="Times New Roman" w:hAnsi="Times New Roman" w:eastAsia="Times New Roman" w:cs="Times New Roman"/>
        </w:rPr>
        <w:t xml:space="preserve"> </w:t>
      </w:r>
      <w:r>
        <w:rPr>
          <w:rFonts w:ascii="Nirmala UI" w:hAnsi="Nirmala UI" w:eastAsia="Nirmala UI" w:cs="Nirmala UI"/>
        </w:rPr>
        <w:t>சின்னங்களும்</w:t>
      </w:r>
      <w:r>
        <w:rPr>
          <w:rFonts w:ascii="Times New Roman" w:hAnsi="Times New Roman" w:eastAsia="Times New Roman" w:cs="Times New Roman"/>
        </w:rPr>
        <w:t xml:space="preserve"> </w:t>
      </w:r>
      <w:r>
        <w:rPr>
          <w:rFonts w:ascii="Nirmala UI" w:hAnsi="Nirmala UI" w:eastAsia="Nirmala UI" w:cs="Nirmala UI"/>
        </w:rPr>
        <w:t>அடங்கிய</w:t>
      </w:r>
      <w:r>
        <w:rPr>
          <w:rFonts w:ascii="Times New Roman" w:hAnsi="Times New Roman" w:eastAsia="Times New Roman" w:cs="Times New Roman"/>
        </w:rPr>
        <w:t xml:space="preserve"> </w:t>
      </w:r>
      <w:r>
        <w:rPr>
          <w:rFonts w:ascii="Nirmala UI" w:hAnsi="Nirmala UI" w:eastAsia="Nirmala UI" w:cs="Nirmala UI"/>
        </w:rPr>
        <w:t>பதிவுகள்</w:t>
      </w:r>
      <w:r>
        <w:rPr>
          <w:rFonts w:ascii="Times New Roman" w:hAnsi="Times New Roman" w:eastAsia="Times New Roman" w:cs="Times New Roman"/>
        </w:rPr>
        <w:t xml:space="preserve"> </w:t>
      </w:r>
      <w:r>
        <w:rPr>
          <w:rFonts w:ascii="Nirmala UI" w:hAnsi="Nirmala UI" w:eastAsia="Nirmala UI" w:cs="Nirmala UI"/>
        </w:rPr>
        <w:t>இருப்பதால்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முத்திரையிடப்பட்ட</w:t>
      </w:r>
      <w:r>
        <w:rPr>
          <w:rFonts w:ascii="Times New Roman" w:hAnsi="Times New Roman" w:eastAsia="Times New Roman" w:cs="Times New Roman"/>
        </w:rPr>
        <w:t xml:space="preserve"> </w:t>
      </w:r>
      <w:r>
        <w:rPr>
          <w:rFonts w:ascii="Nirmala UI" w:hAnsi="Nirmala UI" w:eastAsia="Nirmala UI" w:cs="Nirmala UI"/>
        </w:rPr>
        <w:t>புத்தகமாக</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கருதுகிறார்கள்</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அதற்குக்</w:t>
      </w:r>
      <w:r>
        <w:rPr>
          <w:rFonts w:ascii="Times New Roman" w:hAnsi="Times New Roman" w:eastAsia="Times New Roman" w:cs="Times New Roman"/>
        </w:rPr>
        <w:t xml:space="preserve"> </w:t>
      </w:r>
      <w:r>
        <w:rPr>
          <w:rFonts w:ascii="Nirmala UI" w:hAnsi="Nirmala UI" w:eastAsia="Nirmala UI" w:cs="Nirmala UI"/>
        </w:rPr>
        <w:t>கொடுக்கப்பட்டிருக்கும்</w:t>
      </w:r>
      <w:r>
        <w:rPr>
          <w:rFonts w:ascii="Times New Roman" w:hAnsi="Times New Roman" w:eastAsia="Times New Roman" w:cs="Times New Roman"/>
        </w:rPr>
        <w:t xml:space="preserve"> </w:t>
      </w:r>
      <w:r>
        <w:rPr>
          <w:rFonts w:ascii="Nirmala UI" w:hAnsi="Nirmala UI" w:eastAsia="Nirmala UI" w:cs="Nirmala UI"/>
        </w:rPr>
        <w:t>பெயரே</w:t>
      </w:r>
      <w:r>
        <w:rPr>
          <w:rFonts w:ascii="Times New Roman" w:hAnsi="Times New Roman" w:eastAsia="Times New Roman" w:cs="Times New Roman"/>
        </w:rPr>
        <w:t>—‘</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ஊகத்தை</w:t>
      </w:r>
      <w:r>
        <w:rPr>
          <w:rFonts w:ascii="Times New Roman" w:hAnsi="Times New Roman" w:eastAsia="Times New Roman" w:cs="Times New Roman"/>
        </w:rPr>
        <w:t xml:space="preserve"> </w:t>
      </w:r>
      <w:r>
        <w:rPr>
          <w:rFonts w:ascii="Nirmala UI" w:hAnsi="Nirmala UI" w:eastAsia="Nirmala UI" w:cs="Nirmala UI"/>
        </w:rPr>
        <w:t>மறுக்கிறது</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w:t>
      </w:r>
      <w:r>
        <w:rPr>
          <w:rFonts w:ascii="Nirmala UI" w:hAnsi="Nirmala UI" w:eastAsia="Nirmala UI" w:cs="Nirmala UI"/>
        </w:rPr>
        <w:t>முத்திரையிடப்பட்ட</w:t>
      </w:r>
      <w:r>
        <w:rPr>
          <w:rFonts w:ascii="Times New Roman" w:hAnsi="Times New Roman" w:eastAsia="Times New Roman" w:cs="Times New Roman"/>
        </w:rPr>
        <w:t xml:space="preserve"> </w:t>
      </w:r>
      <w:r>
        <w:rPr>
          <w:rFonts w:ascii="Nirmala UI" w:hAnsi="Nirmala UI" w:eastAsia="Nirmala UI" w:cs="Nirmala UI"/>
        </w:rPr>
        <w:t>புத்தகமாய்</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ஆனாலும்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திறக்கப்பட்ட</w:t>
      </w:r>
      <w:r>
        <w:rPr>
          <w:rFonts w:ascii="Times New Roman" w:hAnsi="Times New Roman" w:eastAsia="Times New Roman" w:cs="Times New Roman"/>
        </w:rPr>
        <w:t xml:space="preserve"> </w:t>
      </w:r>
      <w:r>
        <w:rPr>
          <w:rFonts w:ascii="Nirmala UI" w:hAnsi="Nirmala UI" w:eastAsia="Nirmala UI" w:cs="Nirmala UI"/>
        </w:rPr>
        <w:t>புத்தகமுமாக</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பூமியின்</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நிகழப்போகிற</w:t>
      </w:r>
      <w:r>
        <w:rPr>
          <w:rFonts w:ascii="Times New Roman" w:hAnsi="Times New Roman" w:eastAsia="Times New Roman" w:cs="Times New Roman"/>
        </w:rPr>
        <w:t xml:space="preserve"> </w:t>
      </w:r>
      <w:r>
        <w:rPr>
          <w:rFonts w:ascii="Nirmala UI" w:hAnsi="Nirmala UI" w:eastAsia="Nirmala UI" w:cs="Nirmala UI"/>
        </w:rPr>
        <w:t>அதிசயமான</w:t>
      </w:r>
      <w:r>
        <w:rPr>
          <w:rFonts w:ascii="Times New Roman" w:hAnsi="Times New Roman" w:eastAsia="Times New Roman" w:cs="Times New Roman"/>
        </w:rPr>
        <w:t xml:space="preserve"> </w:t>
      </w:r>
      <w:r>
        <w:rPr>
          <w:rFonts w:ascii="Nirmala UI" w:hAnsi="Nirmala UI" w:eastAsia="Nirmala UI" w:cs="Nirmala UI"/>
        </w:rPr>
        <w:t>சம்பவங்களை</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பதிவு</w:t>
      </w:r>
      <w:r>
        <w:rPr>
          <w:rFonts w:ascii="Times New Roman" w:hAnsi="Times New Roman" w:eastAsia="Times New Roman" w:cs="Times New Roman"/>
        </w:rPr>
        <w:t xml:space="preserve"> </w:t>
      </w:r>
      <w:r>
        <w:rPr>
          <w:rFonts w:ascii="Nirmala UI" w:hAnsi="Nirmala UI" w:eastAsia="Nirmala UI" w:cs="Nirmala UI"/>
        </w:rPr>
        <w:t>செய்கிறது</w:t>
      </w:r>
      <w:r>
        <w:rPr>
          <w:rFonts w:ascii="Times New Roman" w:hAnsi="Times New Roman" w:eastAsia="Times New Roman" w:cs="Times New Roman"/>
        </w:rPr>
        <w:t xml:space="preserve">. </w:t>
      </w:r>
      <w:r>
        <w:rPr>
          <w:rFonts w:ascii="Nirmala UI" w:hAnsi="Nirmala UI" w:eastAsia="Nirmala UI" w:cs="Nirmala UI"/>
        </w:rPr>
        <w:t>இந்தப்</w:t>
      </w:r>
      <w:r>
        <w:rPr>
          <w:rFonts w:ascii="Times New Roman" w:hAnsi="Times New Roman" w:eastAsia="Times New Roman" w:cs="Times New Roman"/>
        </w:rPr>
        <w:t xml:space="preserve"> </w:t>
      </w:r>
      <w:r>
        <w:rPr>
          <w:rFonts w:ascii="Nirmala UI" w:hAnsi="Nirmala UI" w:eastAsia="Nirmala UI" w:cs="Nirmala UI"/>
        </w:rPr>
        <w:t>புத்தகத்தின்</w:t>
      </w:r>
      <w:r>
        <w:rPr>
          <w:rFonts w:ascii="Times New Roman" w:hAnsi="Times New Roman" w:eastAsia="Times New Roman" w:cs="Times New Roman"/>
        </w:rPr>
        <w:t xml:space="preserve"> </w:t>
      </w:r>
      <w:r>
        <w:rPr>
          <w:rFonts w:ascii="Nirmala UI" w:hAnsi="Nirmala UI" w:eastAsia="Nirmala UI" w:cs="Nirmala UI"/>
        </w:rPr>
        <w:t>போதனைகள்</w:t>
      </w:r>
      <w:r>
        <w:rPr>
          <w:rFonts w:ascii="Times New Roman" w:hAnsi="Times New Roman" w:eastAsia="Times New Roman" w:cs="Times New Roman"/>
        </w:rPr>
        <w:t xml:space="preserve"> </w:t>
      </w:r>
      <w:r>
        <w:rPr>
          <w:rFonts w:ascii="Nirmala UI" w:hAnsi="Nirmala UI" w:eastAsia="Nirmala UI" w:cs="Nirmala UI"/>
        </w:rPr>
        <w:t>தெளிவானவை</w:t>
      </w:r>
      <w:r>
        <w:rPr>
          <w:rFonts w:ascii="Times New Roman" w:hAnsi="Times New Roman" w:eastAsia="Times New Roman" w:cs="Times New Roman"/>
        </w:rPr>
        <w:t xml:space="preserve">; </w:t>
      </w:r>
      <w:r>
        <w:rPr>
          <w:rFonts w:ascii="Nirmala UI" w:hAnsi="Nirmala UI" w:eastAsia="Nirmala UI" w:cs="Nirmala UI"/>
        </w:rPr>
        <w:t>மறைபொருளாகவும்</w:t>
      </w:r>
      <w:r>
        <w:rPr>
          <w:rFonts w:ascii="Times New Roman" w:hAnsi="Times New Roman" w:eastAsia="Times New Roman" w:cs="Times New Roman"/>
        </w:rPr>
        <w:t xml:space="preserve"> </w:t>
      </w:r>
      <w:r>
        <w:rPr>
          <w:rFonts w:ascii="Nirmala UI" w:hAnsi="Nirmala UI" w:eastAsia="Nirmala UI" w:cs="Nirmala UI"/>
        </w:rPr>
        <w:t>புரியாதவையாகவும்</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இதில்</w:t>
      </w:r>
      <w:r>
        <w:rPr>
          <w:rFonts w:ascii="Times New Roman" w:hAnsi="Times New Roman" w:eastAsia="Times New Roman" w:cs="Times New Roman"/>
        </w:rPr>
        <w:t xml:space="preserve"> </w:t>
      </w:r>
      <w:r>
        <w:rPr>
          <w:rFonts w:ascii="Nirmala UI" w:hAnsi="Nirmala UI" w:eastAsia="Nirmala UI" w:cs="Nirmala UI"/>
        </w:rPr>
        <w:t>தானியேலில்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வரிசையே</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எடுத்துக்கொள்ளப்படுகிறது</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தீர்க்கதரிசனங்களை</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கூறியிருக்கிறார்</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அவைகளுக்கு</w:t>
      </w:r>
      <w:r>
        <w:rPr>
          <w:rFonts w:ascii="Times New Roman" w:hAnsi="Times New Roman" w:eastAsia="Times New Roman" w:cs="Times New Roman"/>
        </w:rPr>
        <w:t xml:space="preserve"> </w:t>
      </w:r>
      <w:r>
        <w:rPr>
          <w:rFonts w:ascii="Nirmala UI" w:hAnsi="Nirmala UI" w:eastAsia="Nirmala UI" w:cs="Nirmala UI"/>
        </w:rPr>
        <w:t>முக்கியத்துவம்</w:t>
      </w:r>
      <w:r>
        <w:rPr>
          <w:rFonts w:ascii="Times New Roman" w:hAnsi="Times New Roman" w:eastAsia="Times New Roman" w:cs="Times New Roman"/>
        </w:rPr>
        <w:t xml:space="preserve"> </w:t>
      </w:r>
      <w:r>
        <w:rPr>
          <w:rFonts w:ascii="Nirmala UI" w:hAnsi="Nirmala UI" w:eastAsia="Nirmala UI" w:cs="Nirmala UI"/>
        </w:rPr>
        <w:t>கொடுக்கப்பட</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காட்டுகிறார்</w:t>
      </w:r>
      <w:r>
        <w:rPr>
          <w:rFonts w:ascii="Times New Roman" w:hAnsi="Times New Roman" w:eastAsia="Times New Roman" w:cs="Times New Roman"/>
        </w:rPr>
        <w:t xml:space="preserve">. </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முக்கியத்துவமில்லாத</w:t>
      </w:r>
      <w:r>
        <w:rPr>
          <w:rFonts w:ascii="Times New Roman" w:hAnsi="Times New Roman" w:eastAsia="Times New Roman" w:cs="Times New Roman"/>
        </w:rPr>
        <w:t xml:space="preserve"> </w:t>
      </w:r>
      <w:r>
        <w:rPr>
          <w:rFonts w:ascii="Nirmala UI" w:hAnsi="Nirmala UI" w:eastAsia="Nirmala UI" w:cs="Nirmala UI"/>
        </w:rPr>
        <w:t>விஷயங்களை</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கூறுவதில்லை</w:t>
      </w:r>
      <w:r>
        <w:rPr>
          <w:rFonts w:ascii="Times New Roman" w:hAnsi="Times New Roman" w:eastAsia="Times New Roman" w:cs="Times New Roman"/>
        </w:rPr>
        <w:t>.” Manuscript Releases, volume 8, 413.</w:t>
      </w:r>
    </w:p>
    <w:p>
      <w:pPr>
        <w:pStyle w:val="ArticleBody"/>
        <w:jc w:val="left"/>
      </w:pPr>
      <w:r>
        <w:rPr>
          <w:rFonts w:ascii="Times New Roman" w:hAnsi="Times New Roman" w:eastAsia="Times New Roman" w:cs="Times New Roman"/>
        </w:rPr>
        <w:t>Asistent na dahili at panlabas na kasaysayan na inilarawan sa aklat ni Daniel ay muling tinatalakay sa aklat ng Pahayag. Bukod sa propetikong liwanag na nagmumula sa dalawang pangitaing ito, naroon din ang pagpapatibay ng metodolohiya ng pagpapaliwanag ng Biblia na pinagtibay ni William Miller, at pagkaraan ay ng Future for America. Kapag wastong isinasaalang-alang, ang aklat ni Daniel, gayundin ang aklat ng Pahayag, ay tunay na mga minahang ginto para sa pagpapatibay ng mga simulain ng propetikong pagpapaliwanag na kinikilala ng Biblia sa loob mismo nito.</w:t>
      </w:r>
    </w:p>
    <w:p>
      <w:pPr>
        <w:pStyle w:val="ArticleBody"/>
        <w:jc w:val="left"/>
      </w:pPr>
      <w:r>
        <w:rPr>
          <w:rFonts w:ascii="Times New Roman" w:hAnsi="Times New Roman" w:eastAsia="Times New Roman" w:cs="Times New Roman"/>
        </w:rPr>
        <w:t>Le Ulai, constituant le thème interne, et le Hiddékel, le thème externe, représentent aussi les deux prophéties qui devaient être descellées au « temps de la fin ». Le Ulai fut descellé au « temps de la fin » en 1798, et le Hiddékel fut descellé au « temps de la fin » en 1989, lorsque, comme il est décrit dans Daniel 11:40, les pays représentant l’ancienne Union soviétique furent emportés par la papauté et les États-Unis.</w:t>
      </w:r>
    </w:p>
    <w:p>
      <w:pPr>
        <w:pStyle w:val="ArticleBody"/>
        <w:jc w:val="left"/>
      </w:pPr>
      <w:r>
        <w:rPr>
          <w:rFonts w:ascii="Times New Roman" w:hAnsi="Times New Roman" w:eastAsia="Times New Roman" w:cs="Times New Roman"/>
        </w:rPr>
        <w:t>Når disse kendsgerninger erkendes, kan det da også erkendes, at de to syner i virkeligheden er ét syn, ligesom den profetiske historie om de syv menigheder og de syv segl fremstiller den samme profetiske historie. De to syner bliver da den kanal, som Herren benyttede i den tidligere bevægelse under den første engel, og som Herren vil benytte i den nuværende og fremtidige bevægelse under den tredje engel, til at frembringe den prøvelsesproces, som er fremstillet i Daniels bog, kapitel tolv, vers ni og ti.</w:t>
      </w:r>
    </w:p>
    <w:p>
      <w:pPr>
        <w:pStyle w:val="ArticleScripture"/>
        <w:jc w:val="left"/>
      </w:pPr>
      <w:r>
        <w:rPr>
          <w:rFonts w:ascii="Times New Roman" w:hAnsi="Times New Roman" w:eastAsia="Times New Roman" w:cs="Times New Roman"/>
        </w:rPr>
        <w:t>Et il dit : Va, Daniel, car ces paroles seront tenues secrètes et scellées jusqu’au temps de la fin. Plusieurs seront purifiés, blanchis et éprouvés ; mais les méchants agiront méchamment, et aucun des méchants ne comprendra ; mais les sages comprendront. Daniel 12:9, 10.</w:t>
      </w:r>
    </w:p>
    <w:p>
      <w:pPr>
        <w:pStyle w:val="ArticleBody"/>
        <w:jc w:val="left"/>
      </w:pPr>
      <w:r>
        <w:rPr>
          <w:rFonts w:ascii="Times New Roman" w:hAnsi="Times New Roman" w:eastAsia="Times New Roman" w:cs="Times New Roman"/>
        </w:rPr>
        <w:t>En guise d’exemple du descellement du Hiddékel en 1989, considérons ce qu’a déclaré l’Inspiration.</w:t>
      </w:r>
    </w:p>
    <w:p>
      <w:pPr>
        <w:pStyle w:val="ArticleScripture"/>
        <w:jc w:val="left"/>
      </w:pPr>
      <w:r>
        <w:rPr>
          <w:rFonts w:ascii="Times New Roman" w:hAnsi="Times New Roman" w:eastAsia="Times New Roman" w:cs="Times New Roman"/>
        </w:rPr>
        <w:t>«Dans l’Apocalypse, tous les livres de la Bible se rencontrent et s’achèvent. Voici le complément du livre de Daniel. L’un est une prophétie; l’autre une révélation. Le livre qui fut scellé n’est pas l’Apocalypse, mais cette partie de la prophétie de Daniel qui se rapporte aux derniers jours. L’ange donna cet ordre: “Et toi, Daniel, tiens secrètes ces paroles, et scelle le livre jusqu’au temps de la fin.” Daniel 12:4.» Conquérants pacifiques, 585.</w:t>
      </w:r>
    </w:p>
    <w:p>
      <w:pPr>
        <w:pStyle w:val="ArticleBody"/>
        <w:jc w:val="left"/>
      </w:pPr>
      <w:r>
        <w:rPr>
          <w:rFonts w:ascii="Times New Roman" w:hAnsi="Times New Roman" w:eastAsia="Times New Roman" w:cs="Times New Roman"/>
        </w:rPr>
        <w:t>Улай и Хиддекель оба относятся к последним дням, однако адвентизм был готов признать лишь то, что 1798 год был «временем конца» Даниила, когда его книга должна была быть распечатана. Однако часть пророчества, «относящаяся к последним дням», точнее представляет собой последние шесть стихов одиннадцатой главы книги Даниила, ибо эти стихи завершаются тем, что Михаил восстаёт, когда оканчивается время человеческого испытания.</w:t>
      </w:r>
    </w:p>
    <w:p>
      <w:pPr>
        <w:pStyle w:val="ArticleBody"/>
        <w:jc w:val="left"/>
      </w:pPr>
      <w:r>
        <w:rPr>
          <w:rFonts w:ascii="Times New Roman" w:hAnsi="Times New Roman" w:eastAsia="Times New Roman" w:cs="Times New Roman"/>
        </w:rPr>
        <w:t>Die Vision vom Gericht, wie sie in Daniel Kapitel sieben, acht und neun bezeichnet wird, war bis zur „Zeit des Endes“ im Jahr 1798 versiegelt. Das Licht (das durch die entsiegelte Vision am Ulai hervorgebracht wurde) war die Verkündigung der Eröffnung des Untersuchungsgerichts, nicht des Abschlusses des Gerichts. Das Licht, das mit der Vision am Hiddekel entsiegelt wurde, bezeichnet den Abschluss des Untersuchungsgerichts, und es ist zugleich die Stelle in Daniel, die „den auf die letzten Tage bezüglichen Teil der Weissagung“ enthält.</w:t>
      </w:r>
    </w:p>
    <w:p>
      <w:pPr>
        <w:pStyle w:val="ArticleBody"/>
        <w:jc w:val="left"/>
      </w:pPr>
      <w:r>
        <w:rPr>
          <w:rFonts w:ascii="Times New Roman" w:hAnsi="Times New Roman" w:eastAsia="Times New Roman" w:cs="Times New Roman"/>
        </w:rPr>
        <w:t>1798 дахь илчлэгдэлт нь мөрдөн шалгах шүүлтийн нээгдсэнийг зарласан. 1989 дахь илчлэгдэлт нь мөрдөн шалгах шүүлт төгсөх мөч ойртон ирснийг зарласан. Альфа ба Омегийн тэмдэг Даниелын номд амархан харагддаг, гэвч та энэ нь юу болохыг мэддэг бөгөөд түүнийг хайж харахад бэлэн байгаа тохиолдолд л тийм юм.</w:t>
      </w:r>
    </w:p>
    <w:p>
      <w:pPr>
        <w:pStyle w:val="ArticleBody"/>
        <w:jc w:val="left"/>
      </w:pPr>
      <w:r>
        <w:rPr>
          <w:rFonts w:ascii="Times New Roman" w:hAnsi="Times New Roman" w:eastAsia="Times New Roman" w:cs="Times New Roman"/>
        </w:rPr>
        <w:t>Daniel kapitolu hama sha ɗaya, aya ta arba’in da biyar, lokacin da lokacin alheri ya ƙare, an rubuta sa hannun Alfa da Omega. Farkon littafin Daniyel yana nuna daidai inda ya ƙare. Ya fara da yaƙi na zahiri tsakanin Babila ta zahiri da Isra’ila ta zahiri, kuma Babila ta zahiri ce ta yi nasara.</w:t>
      </w:r>
    </w:p>
    <w:p>
      <w:pPr>
        <w:pStyle w:val="ArticleScripture"/>
        <w:jc w:val="left"/>
      </w:pPr>
      <w:r>
        <w:rPr>
          <w:rFonts w:ascii="Times New Roman" w:hAnsi="Times New Roman" w:eastAsia="Times New Roman" w:cs="Times New Roman"/>
        </w:rPr>
        <w:t>Na sanwe gbẽtɔ etɔ lia me le Yehoyakim, Yuda fia, ƒe fiãfiã me la, Babilɔn fia Nebukadnetsar va Yerusalem eye wòtsɔ aʋa ɖe eŋu. Eye Aƒetɔ la de Yehoyakim, Yuda fia, le eƒe asi me, kple Mawu ƒe aƒe la ƒe nuɖuɖuwo ƒe akpa aɖe; esi wòkplɔ yi Sinar nyigba dzi, yi eƒe mawu la ƒe aƒe me; eye wòde nuɖuɖuwo la ɖe eƒe mawu la ƒe dzraɖoƒe me. Daniel 1:1, 2.</w:t>
      </w:r>
    </w:p>
    <w:p>
      <w:pPr>
        <w:pStyle w:val="ArticleBody"/>
        <w:jc w:val="left"/>
      </w:pPr>
      <w:r>
        <w:rPr>
          <w:rFonts w:ascii="Times New Roman" w:hAnsi="Times New Roman" w:eastAsia="Times New Roman" w:cs="Times New Roman"/>
        </w:rPr>
        <w:t>W Daniyeli 11:45, mɨdzɔdzɔme aʋa si le mɨdzɔdzɔme Babel, si woɖe fia “dziehe fia” nu, kple mɨdzɔdzɔme Israel, si woɖo nɔnɔme na “kɔkɔe nyanyui to”, dome la, wònu, eye mɨdzɔdzɔme Israel la xɔ ŋusẽ ɖe mɨdzɔdzɔme Babel ŋu.</w:t>
      </w:r>
    </w:p>
    <w:p>
      <w:pPr>
        <w:pStyle w:val="ArticleScripture"/>
        <w:jc w:val="left"/>
      </w:pPr>
      <w:r>
        <w:rPr>
          <w:rFonts w:ascii="Times New Roman" w:hAnsi="Times New Roman" w:eastAsia="Times New Roman" w:cs="Times New Roman"/>
        </w:rPr>
        <w:t>اور وہ اپنے محل کے خیمے دونوں سمندروں کے درمیان اُس جلالی مُقدّس پہاڑ پر نصب کرے گا؛ لیکن وہ اپنے انجام کو پہنچے گا، اور کوئی اُس کی مدد نہ کرے گا۔ اور اُس وقت میکائیل کھڑا ہوگا، وہ عظیم فرشتہ جو تیرے لوگوں کی اولاد کے لیے کھڑا رہتا ہے؛ اور ایسی مصیبت کا وقت آئے گا جیسا کہ قوم کے وجود میں آنے کے بعد سے اُس وقت تک کبھی نہ آیا ہوگا؛ اور اُس وقت تیرے لوگ چھڑائے جائیں گے، یعنی ہر ایک جو کتاب میں لکھا ہوا پایا جائے گا۔ دانی ایل 11:45؛ 12:1۔</w:t>
      </w:r>
    </w:p>
    <w:p>
      <w:pPr>
        <w:pStyle w:val="ArticleBody"/>
        <w:jc w:val="left"/>
      </w:pPr>
      <w:r>
        <w:rPr>
          <w:rFonts w:ascii="Times New Roman" w:hAnsi="Times New Roman" w:eastAsia="Times New Roman" w:cs="Times New Roman"/>
        </w:rPr>
        <w:t>Les livres de Daniel et de l’Apocalypse ne forment qu’un seul livre :</w:t>
      </w:r>
    </w:p>
    <w:p>
      <w:pPr>
        <w:pStyle w:val="ArticleScripture"/>
        <w:jc w:val="left"/>
      </w:pPr>
      <w:r>
        <w:rPr>
          <w:rFonts w:ascii="Times New Roman" w:hAnsi="Times New Roman" w:eastAsia="Times New Roman" w:cs="Times New Roman"/>
        </w:rPr>
        <w:t>« Les livres de Daniel et de l’Apocalypse ne font qu’un. L’un est une prophétie, l’autre une révélation ; l’un est un livre scellé, l’autre un livre ouvert. Jean entendit les mystères que les tonnerres firent retentir, mais il lui fut commandé de ne pas les écrire. » The Seventh-day Adventist Bible Commentary, volume 7, 971.</w:t>
      </w:r>
    </w:p>
    <w:p>
      <w:pPr>
        <w:pStyle w:val="ArticleBody"/>
        <w:jc w:val="left"/>
      </w:pPr>
      <w:r>
        <w:rPr>
          <w:rFonts w:ascii="Times New Roman" w:hAnsi="Times New Roman" w:eastAsia="Times New Roman" w:cs="Times New Roman"/>
        </w:rPr>
        <w:t>Les deux livres, qui ne font qu’un seul livre, sont le chef-d’œuvre de l’instruction prophétique de l’ange Gabriel. J’écris cela en sachant parfaitement que ce que Gabriel transmit à Daniel et à Jean venait de Jésus, qui l’avait reçu du Père. Mon propos n’est pas d’exalter Gabriel, mais d’exalter la profonde révélation des preuves présentes dans les deux livres, quant à la manière dont l’Alpha et l’Oméga a établi des règles prophétiques d’interprétation biblique qui devaient être représentées au sein de ces deux livres, si nous sommes disposés à voir.</w:t>
      </w:r>
    </w:p>
    <w:p>
      <w:pPr>
        <w:pStyle w:val="ArticleBody"/>
        <w:jc w:val="left"/>
      </w:pPr>
      <w:r>
        <w:rPr>
          <w:rFonts w:ascii="Times New Roman" w:hAnsi="Times New Roman" w:eastAsia="Times New Roman" w:cs="Times New Roman"/>
        </w:rPr>
        <w:t>Låt mig påminna er om att mitt syfte och min avsikt vid denna punkt inte är att framlägga en tolkning av de två profetiorna om floderna Ulai och Hiddekel. Mitt syfte och min avsikt är att behandla profetiorna i de första sex kapitlen i Daniels bok. Jag vill helt enkelt visa att Daniels bok och Uppenbarelseboken kanske är de mest djupsinnigt uppbyggda böckerna i Guds ord. De framlägger det profetiska budskapet, samtidigt som de uppenbarar Guds karaktär, samtidigt som de anger själva de regler som måste tillämpas om en människa skall förstå profetiorna och också lära känna Honom som har framställt profetiorna.</w:t>
      </w:r>
    </w:p>
    <w:p>
      <w:pPr>
        <w:pStyle w:val="ArticleBody"/>
        <w:jc w:val="left"/>
      </w:pPr>
      <w:r>
        <w:rPr>
          <w:rFonts w:ascii="Times New Roman" w:hAnsi="Times New Roman" w:eastAsia="Times New Roman" w:cs="Times New Roman"/>
        </w:rPr>
        <w:t>Exemplu i ff arall o natur ddofn y llyfrau yw cyflwyniad Daniel o’r “saith amser” yn Lefiticus dau ddeg chwech. Yr oedd ac y mae proffwydoliaeth y “saith amser” i fod yn “garreg rwystr” i bobl Dduw, yn Israel gynt, yn mudiad Milleraidd yr angel cyntaf, ac hefyd yn mudiad presennol a dyfodol yr angel trydydd. “Carreg rwystr”, yn ôl diffiniad syml, yw rhywbeth nas gwelwch, er ei fod yn amlwg yno. Felly, unwaith y byddwch yn adnabod y “saith amser” yn llyfr Daniel, gwelwch ei fod yn amlwg yno; ond gwelwch hefyd ei fod yn guddiedig i’r rhai sy’n dewis peidio â gweld.</w:t>
      </w:r>
    </w:p>
    <w:p>
      <w:pPr>
        <w:pStyle w:val="ArticleBody"/>
        <w:jc w:val="left"/>
      </w:pPr>
      <w:r>
        <w:rPr>
          <w:rFonts w:ascii="Times New Roman" w:hAnsi="Times New Roman" w:eastAsia="Times New Roman" w:cs="Times New Roman"/>
        </w:rPr>
        <w:t>Cacher quelque chose tout en le laissant, grammaticalement, à découvert est un accomplissement profond ; c’est là une chose qu’aucun roman policier humain ne saurait renfermer. C’est un chef-d’œuvre, car cela est là, manifeste, à la vue de quiconque ne veut pas trébucher, mais impossible à voir pour ceux qui choisissent de trébucher. C’est, pour ainsi dire, « caché à la vue de tous ». Cela s’accomplit par une alliance de l’humanité et de la Divinité.</w:t>
      </w:r>
    </w:p>
    <w:p>
      <w:pPr>
        <w:pStyle w:val="ArticleBody"/>
        <w:jc w:val="left"/>
      </w:pPr>
      <w:r>
        <w:rPr>
          <w:rFonts w:ascii="Times New Roman" w:hAnsi="Times New Roman" w:eastAsia="Times New Roman" w:cs="Times New Roman"/>
        </w:rPr>
        <w:t>Ndzi endla xileriso xexo, hikuva ndzi rhandza ku hi tsundzuxa sweswi leswaku ku na dyondzo ya Khatoliki endzeni ka Vuyadventista, ku sukela kwalomu ka ku kandziyisiwa ka Questions on Doctrine hi 1957, naswona yi tlhele yi tlakusa nhloko ya yona yo homboloka endzeni ka ntshamiseko lowu wa ntiyiso wa nkarhi wa sweswi wa Future for America. Miehleketo ya kona hi leswaku Kriste, eka ku endliwa munhu, a nga tekanga nyama leyi A yi dlayeke eka Mariya. Ina, lava va seketelaka dyondzo leyi a va yi vuli hi ndlela yoleyo, kambe hambiswiritano sweswo hi swona leswi va swi dyondzisaka. Ndzi yi vula leswaku i dyondzo ya Khatoliki, hikuva xisekelo xa leswaku nyama ya Kriste a yi tengile ku fana ni nyama ya Adamu emahlweni ka ku dyoha ka yena, hi wona vutlhari bya Sathana lebyi tirhisiweke hi kereke ya Khatoliki eka dyondzo ya yona ya leswi swi vuriwaka “ku tlhela ku velekiwa loku nga riki na nyandza.” Kutani loko u nga tivi dyondzo yoleyo ya vukhongeri bya vutshila ya “ku tlhela ku velekiwa loku nga riki na nyandza,” yi dyondzisa leswaku nyama ya Kriste yi endliwe hi matimba ya le henhla hi ndlela leyi rihanyo ra le hansi ra Adamu ri nga endliwa ha yona, emahlweni ka loko yena na Evha va dyoha kumbe, hilaha swi vuriwaka hakona, leswaku Kriste a a ri ni muxaka wa Adamu wa nga si wa, lowu nga riki na xidyoho. Yi tlhela yi dyondzisa leswaku Mariya hi yexe u nyikiwe hi singita muxaka wa nyama wa Adamu lowu nga si wa emahlweni ka ku dyoha ka yena, leswaku a ta kota ku va xibya lexi hetisekeke xa Moya lowo Kwetsima leswaku xi endla leswaku n’wana Yesu a endliwa munhu endzeni ka nyama ya yena leyi hetisekeke.</w:t>
      </w:r>
    </w:p>
    <w:p>
      <w:pPr>
        <w:pStyle w:val="ArticleBody"/>
        <w:jc w:val="left"/>
      </w:pPr>
      <w:r>
        <w:rPr>
          <w:rFonts w:ascii="Times New Roman" w:hAnsi="Times New Roman" w:eastAsia="Times New Roman" w:cs="Times New Roman"/>
        </w:rPr>
        <w:t>Bien entendu, ceux de l’adventisme qui soutiennent exactement la même conclusion concernant la chair de Jésus ne font pas appel à des miracles liés à Marie ; mais ils tordent des passages de Sister White et de la Bible afin d’enseigner la même conception catholique. Pourquoi me suis-je justement écarté ici et détourné de la discussion du livre de Daniel ? Je vais y répondre.</w:t>
      </w:r>
    </w:p>
    <w:p>
      <w:pPr>
        <w:pStyle w:val="ArticleBody"/>
        <w:jc w:val="left"/>
      </w:pPr>
      <w:r>
        <w:rPr>
          <w:rFonts w:ascii="Times New Roman" w:hAnsi="Times New Roman" w:eastAsia="Times New Roman" w:cs="Times New Roman"/>
        </w:rPr>
        <w:t>Taratasy tamin’ny fomba mahagaga ny rafitra sy ny famolavolana an’i Daniela sy ny Apokalypsy dia tanteraka tamin’ny firaisan’ny maha-olona sy ny maha-Andriamanitra. Jesosy no Tenin’Andriamanitra, ary ny Baiboly no Tenin’Andriamanitra. Ny toetra maha-Andriamanitra sy maha-olona an’i Jesosy dia aseho feno ao amin’ny Baiboly. Masina ireo teny ao anatiny ary mitondra ny hery mpamorona hanova fo sy saina. Ireo teny ireo no ilay hery ihany izay nampisy ny zavatra rehetra. Kanefa ireo lehilahy nofidin’Andriamanitra ho fitaovany tamin’ny fanoratana ny Baiboly dia samy mpanota avokoa. Ny lafiny maha-olona amin’izany dia asehon’ny olombelona lavo. Ny Baiboly dia fitambaran’ny maha-olona sy ny maha-Andriamanitra, ary ny mpaminany dia mpanota, tahaka izay naha-mpanota ny zanak’i Adama rehetra. Kristy tsy mba nanota na tamin’ny eritreritra, na tamin’ny teny, na tamin’ny asa. Nefa Izy dia naka ny nofon’i Maria taorian’ny efa-arivo taona nisian’ny fahasimbana. Raha tena naka tokoa ny toetra ambany ara-nofo nananan’i Adama talohan’ny nahotan’i Adama Izy, dia hitaky izany fa tsy maintsy tsy nanan-tsiny koa ny mpanoratra rehetra ao amin’ny Baiboly.</w:t>
      </w:r>
    </w:p>
    <w:p>
      <w:pPr>
        <w:pStyle w:val="ArticleBody"/>
        <w:jc w:val="left"/>
      </w:pPr>
      <w:r>
        <w:rPr>
          <w:rFonts w:ascii="Times New Roman" w:hAnsi="Times New Roman" w:eastAsia="Times New Roman" w:cs="Times New Roman"/>
        </w:rPr>
        <w:t>La « dissimulation à la vue de tous » des « sept temps » dans le livre de Daniel s’est accomplie, non seulement par les paroles que Daniel a consignées, mais encore par les êtres humains déchus qui ont traduit la Bible du roi Jacques. Des êtres humains déchus ont touché deux fois au livre de Daniel, et ce qui s’est accompli eût été impossible à réaliser pour quelque être humain que ce soit sans la surveillance providentielle divine de Dieu.</w:t>
      </w:r>
    </w:p>
    <w:p>
      <w:pPr>
        <w:pStyle w:val="ArticleBody"/>
        <w:jc w:val="left"/>
      </w:pPr>
      <w:r>
        <w:rPr>
          <w:rFonts w:ascii="Times New Roman" w:hAnsi="Times New Roman" w:eastAsia="Times New Roman" w:cs="Times New Roman"/>
        </w:rPr>
        <w:t>Katika makala yetu inayofuata tutaanza kuonyesha jinsi Uungu na ubinadamu walivyoficha “nyakati saba” za Mambo ya Walawi ishirini na sita waziwazi katika kitabu cha Danieli, kwa maana Mungu alijua tangu mbele, na hata alipanga, kwamba jambo hilo liwe “jiwe la kujikwaa” la kuwapima wote walio katika vuguvugu la malaika wa kwanza, na pia wale walio katika vuguvugu la malaika wa tatu.</w:t>
      </w:r>
    </w:p>
    <w:p>
      <w:pPr>
        <w:pStyle w:val="ArticleScripture"/>
        <w:jc w:val="left"/>
      </w:pPr>
      <w:r>
        <w:rPr>
          <w:rFonts w:ascii="Times New Roman" w:hAnsi="Times New Roman" w:eastAsia="Times New Roman" w:cs="Times New Roman"/>
        </w:rPr>
        <w:t>نورٌ چې دانیال له خدایه تر لاسه کړ، په ځانګړې توګه د دغو وروستیو ورځو لپاره ورکړل شوی و. هغه رؤیاوې چې ده د اولای او حدّیقل د غاړو تر څنګ، چې د شنعار ستر سیندونه دي، ولیدلې، اوس د پوره کېدو په بهیر کې دي، او ټولې هغه پېښې چې وړاندوینه یې شوې ده، ډېر ژر به واقع شي.»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Un</dc:title>
  <dc:subject>Ulai na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