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Trois</w:t>
      </w:r>
    </w:p>
    <w:p>
      <w:pPr>
        <w:pStyle w:val="ArticleSubtitle"/>
        <w:jc w:val="left"/>
      </w:pPr>
      <w:r>
        <w:rPr>
          <w:rFonts w:ascii="Arial" w:hAnsi="Arial" w:eastAsia="Arial" w:cs="Arial"/>
        </w:rPr>
        <w:t>Deux visions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Zvino tiri kutarisana ne“nguva nomwe” dzaRevhitiko makumi maviri nenhanhatu mubhuku raDhanieri. Izvi zvakavanzika kuna avo vakasarudza kupofumadza meso avo, asi zviripo kuna avo vanoda kuona. Tichatanga muna Dhanieri chitsauko chisere, ndima yegumi nenhatu.</w:t>
      </w:r>
    </w:p>
    <w:p>
      <w:pPr>
        <w:pStyle w:val="ArticleScripture"/>
        <w:jc w:val="left"/>
      </w:pPr>
      <w:r>
        <w:rPr>
          <w:rFonts w:ascii="Times New Roman" w:hAnsi="Times New Roman" w:eastAsia="Times New Roman" w:cs="Times New Roman"/>
        </w:rPr>
        <w:t>Puis j’entendis un saint qui parlait; et un autre saint dit à celui qui parlait : Jusques à quand durera la vision concernant le sacrifice perpétuel et la transgression dévastatrice, pour livrer à la fois le sanctuaire et l’armée à être foulés aux pieds ? Daniel 8:13.</w:t>
      </w:r>
    </w:p>
    <w:p>
      <w:pPr>
        <w:pStyle w:val="ArticleBody"/>
        <w:jc w:val="left"/>
      </w:pPr>
      <w:r>
        <w:rPr>
          <w:rFonts w:ascii="Times New Roman" w:hAnsi="Times New Roman" w:eastAsia="Times New Roman" w:cs="Times New Roman"/>
        </w:rPr>
        <w:t>ئەو ئایەتە بە وشەی «پاشان» دەست پێدەکات، و جیاوازییەک دادەنێت لە نێوان بینینی مێژووی پێشبینی کە دانیال لە دە ئایەتی پێشوودا هەر ئێستا بینیوە. ئایەتی یەک و دووی ئەو بەشە، ساڵەکە دیاری دەکەن کە دانیال تێیدا ئەو بینینەی وەرگرت، هەروەها ئەوەش دیاری دەکەن کە لەسەر ڕووباری ئولای وەریگرت. لە ئایەتی سێوە هەتا ئایەتی دوازدە، ئەو بینینی مێژووی پێشبینی «دەبینێت». «پاشان» گفتوگۆیەکی ئاسمانی «دەبیستێت» کە پێکهاتووە لە پرسیارێک و وەڵامێک. لە ئایەتی پازدەدا، دەست دەکات بە داوای تێگەیشتن لەوەی ئەو بینینی مێژووی پێشبینییەی کە هەر ئێستا «بینیبووی»، چی نیشان دەدا. گرنگییەکی بنەڕەتی هەیە کە جیاوازییەکە بناسرێت لە نێوان ئەو بینینەی کە دانیال لە ئایەتەکانی سێوە تا دوازدە «بینی»، و ئەو گفتوگۆیە ئاسمانییەی کە «بیستی»—چونکە ئەوان دوو بینینی جیاوازن.</w:t>
      </w:r>
    </w:p>
    <w:p>
      <w:pPr>
        <w:pStyle w:val="ArticleScripture"/>
        <w:jc w:val="left"/>
      </w:pPr>
      <w:r>
        <w:rPr>
          <w:rFonts w:ascii="Times New Roman" w:hAnsi="Times New Roman" w:eastAsia="Times New Roman" w:cs="Times New Roman"/>
        </w:rPr>
        <w:t>Naye heri macho yenu, kwa kuwa yaona; na masikio yenu, kwa kuwa yasikia. Mathayo 13:16.</w:t>
      </w:r>
    </w:p>
    <w:p>
      <w:pPr>
        <w:pStyle w:val="ArticleBody"/>
        <w:jc w:val="left"/>
      </w:pPr>
      <w:r>
        <w:rPr>
          <w:rFonts w:ascii="Times New Roman" w:hAnsi="Times New Roman" w:eastAsia="Times New Roman" w:cs="Times New Roman"/>
        </w:rPr>
        <w:t>Swali katika aya ya kumi na tatu ni, “Maono yatakuwa hata lini,” na neno lililotafsiriwa kuwa “maono” ni neno la Kiebrania tofauti na neno lililotafsiriwa kuwa “maono” katika aya ya kumi na sita.</w:t>
      </w:r>
    </w:p>
    <w:p>
      <w:pPr>
        <w:pStyle w:val="ArticleScripture"/>
        <w:jc w:val="left"/>
      </w:pPr>
      <w:r>
        <w:rPr>
          <w:rFonts w:ascii="Times New Roman" w:hAnsi="Times New Roman" w:eastAsia="Times New Roman" w:cs="Times New Roman"/>
        </w:rPr>
        <w:t>A hörte ich människans röst mellan Ulajs stränder, och den ropade och sade: Gabriel, låt denne man förstå synen. Daniel 8:16.</w:t>
      </w:r>
    </w:p>
    <w:p>
      <w:pPr>
        <w:pStyle w:val="ArticleBody"/>
        <w:jc w:val="left"/>
      </w:pPr>
      <w:r>
        <w:rPr>
          <w:rFonts w:ascii="Times New Roman" w:hAnsi="Times New Roman" w:eastAsia="Times New Roman" w:cs="Times New Roman"/>
        </w:rPr>
        <w:t>Mēs jums palīdzēsim ar precīzu tulkojumu, taču man vispirms jāzina, ko nozīmē “ff” jūsu pieprasījumā. Lūdzu, norādiet mērķvalodu.</w:t>
      </w:r>
    </w:p>
    <w:p>
      <w:pPr>
        <w:pStyle w:val="ArticleScripture"/>
        <w:jc w:val="left"/>
      </w:pPr>
      <w:r>
        <w:rPr>
          <w:rFonts w:ascii="Times New Roman" w:hAnsi="Times New Roman" w:eastAsia="Times New Roman" w:cs="Times New Roman"/>
        </w:rPr>
        <w:t>« Parcourir la surface à la hâte servira de peu. Une recherche réfléchie et une étude sérieuse, exigeante, sont nécessaires pour le comprendre. Il y a dans la Parole des vérités qui sont comme des filons de minerai précieux cachés sous la surface. En les creusant, comme l’homme creuse pour l’or et l’argent, on découvre les trésors cachés. Assurez-vous que la preuve de la vérité se trouve dans l’Écriture elle-même. Un passage de l’Écriture est la clef qui en ouvre d’autres. Le sens riche et caché est déployé par le Saint-Esprit de Dieu, qui rend la Parole claire à notre intelligence : “La révélation de tes paroles éclaire, elle donne de l’intelligence aux simples.” Fundamentals of Christian Education, 390. »</w:t>
      </w:r>
    </w:p>
    <w:p>
      <w:pPr>
        <w:pStyle w:val="ArticleBody"/>
        <w:jc w:val="left"/>
      </w:pPr>
      <w:r>
        <w:rPr>
          <w:rFonts w:ascii="Times New Roman" w:hAnsi="Times New Roman" w:eastAsia="Times New Roman" w:cs="Times New Roman"/>
        </w:rPr>
        <w:t>On nous enseigne que « chaque fait a sa portée » dans la Parole de Dieu, et si nous choisissons d’ignorer le fait qu’il y a, au chapitre huit, deux mots hébreux différents traduits par « vision », nous nous rendons responsables de nous infliger à nous-mêmes l’aveuglement de Laodicée. Le vieil adage dit : « il n’est pire aveugle que celui qui ne veut pas voir. »</w:t>
      </w:r>
    </w:p>
    <w:p>
      <w:pPr>
        <w:pStyle w:val="ArticleScripture"/>
        <w:jc w:val="left"/>
      </w:pPr>
      <w:r>
        <w:rPr>
          <w:rFonts w:ascii="Times New Roman" w:hAnsi="Times New Roman" w:eastAsia="Times New Roman" w:cs="Times New Roman"/>
        </w:rPr>
        <w:t>«Raamatus on kõik põhimõtted, mida inimesed peavad mõistma, et olla valmistatud kas selleks eluks või tulevaseks eluks. Ja need põhimõtted on kõigile arusaadavad. Keegi, kellel on vaim hinnata selle õpetust, ei saa lugeda Piiblist ühtainsatki lõiku, saamata sealt mõnd abistavat mõtet. Kuid Piibli kõige väärtuslikumat õpetust ei omandata juhusliku ega katkendliku uurimise teel. Selle suur tõe süsteem ei ole esitatud nõnda, et kiirustav või hooletu lugeja võiks seda ära tunda. Paljud selle aarded asuvad sügaval pinna all ning neid võib omandada üksnes usina uurimise ja pideva pingutuse läbi. Tõed, millest koosneb see suur tervik, tuleb välja otsida ja kokku koguda, „siit pisut ja sealt pisut.” Jesaja 28:10.»</w:t>
      </w:r>
    </w:p>
    <w:p>
      <w:pPr>
        <w:pStyle w:val="ArticleScripture"/>
        <w:jc w:val="left"/>
      </w:pPr>
      <w:r>
        <w:rPr>
          <w:rFonts w:ascii="Times New Roman" w:hAnsi="Times New Roman" w:eastAsia="Times New Roman" w:cs="Times New Roman"/>
        </w:rPr>
        <w:t>“Quando assim examinados minuciosamente e reunidos, ver-se-á que se ajustam perfeitamente uns aos outros. Cada Evangelho é um complemento dos demais, cada profecia uma explicação de outra, cada verdade um desenvolvimento de alguma outra verdade. Os tipos da dispensação judaica são esclarecidos pelo evangelho. Cada princípio na palavra de Deus tem o seu lugar, cada fato a sua significação. E a estrutura completa, em seu desígnio e execução, dá testemunho de seu Autor. Tal estrutura nenhuma mente, senão a do Infinito, poderia conceber ou formar.” Education, 123.</w:t>
      </w:r>
    </w:p>
    <w:p>
      <w:pPr>
        <w:pStyle w:val="ArticleBody"/>
        <w:jc w:val="left"/>
      </w:pPr>
      <w:r>
        <w:rPr>
          <w:rFonts w:ascii="Nirmala UI" w:hAnsi="Nirmala UI" w:eastAsia="Nirmala UI" w:cs="Nirmala UI"/>
        </w:rPr>
        <w:t>शब्द</w:t>
      </w:r>
      <w:r>
        <w:rPr>
          <w:rFonts w:ascii="Times New Roman" w:hAnsi="Times New Roman" w:eastAsia="Times New Roman" w:cs="Times New Roman"/>
        </w:rPr>
        <w:t xml:space="preserve"> “vision”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“vision”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अनूदित</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châzôn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भविष्यद्वाणीपूर्ण</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Leelawadee UI" w:hAnsi="Leelawadee UI" w:eastAsia="Leelawadee UI" w:cs="Leelawadee UI"/>
        </w:rPr>
        <w:t>ក្នុងខទីមួយ</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ជំពូក៨</w:t>
      </w:r>
      <w:r>
        <w:rPr>
          <w:rFonts w:ascii="Times New Roman" w:hAnsi="Times New Roman" w:eastAsia="Times New Roman" w:cs="Times New Roman"/>
        </w:rPr>
        <w:t xml:space="preserve"> </w:t>
      </w:r>
      <w:r>
        <w:rPr>
          <w:rFonts w:ascii="Leelawadee UI" w:hAnsi="Leelawadee UI" w:eastAsia="Leelawadee UI" w:cs="Leelawadee UI"/>
        </w:rPr>
        <w:t>ដានីយ៉ែលមានប្រសាសន៍ថា</w:t>
      </w:r>
      <w:r>
        <w:rPr>
          <w:rFonts w:ascii="Times New Roman" w:hAnsi="Times New Roman" w:eastAsia="Times New Roman" w:cs="Times New Roman"/>
        </w:rPr>
        <w:t xml:space="preserve"> «</w:t>
      </w:r>
      <w:r>
        <w:rPr>
          <w:rFonts w:ascii="Leelawadee UI" w:hAnsi="Leelawadee UI" w:eastAsia="Leelawadee UI" w:cs="Leelawadee UI"/>
        </w:rPr>
        <w:t>និមិត្តមួយបានលេចមកដល់ខ្ញុំ</w:t>
      </w:r>
      <w:r>
        <w:rPr>
          <w:rFonts w:ascii="Times New Roman" w:hAnsi="Times New Roman" w:eastAsia="Times New Roman" w:cs="Times New Roman"/>
        </w:rPr>
        <w:t xml:space="preserve">» </w:t>
      </w:r>
      <w:r>
        <w:rPr>
          <w:rFonts w:ascii="Leelawadee UI" w:hAnsi="Leelawadee UI" w:eastAsia="Leelawadee UI" w:cs="Leelawadee UI"/>
        </w:rPr>
        <w:t>ហើយនៅក្នុងខទីពីរ</w:t>
      </w:r>
      <w:r>
        <w:rPr>
          <w:rFonts w:ascii="Times New Roman" w:hAnsi="Times New Roman" w:eastAsia="Times New Roman" w:cs="Times New Roman"/>
        </w:rPr>
        <w:t xml:space="preserve"> </w:t>
      </w:r>
      <w:r>
        <w:rPr>
          <w:rFonts w:ascii="Leelawadee UI" w:hAnsi="Leelawadee UI" w:eastAsia="Leelawadee UI" w:cs="Leelawadee UI"/>
        </w:rPr>
        <w:t>គាត់បានថ្លែងពីរដងថា</w:t>
      </w:r>
      <w:r>
        <w:rPr>
          <w:rFonts w:ascii="Times New Roman" w:hAnsi="Times New Roman" w:eastAsia="Times New Roman" w:cs="Times New Roman"/>
        </w:rPr>
        <w:t xml:space="preserve"> </w:t>
      </w:r>
      <w:r>
        <w:rPr>
          <w:rFonts w:ascii="Leelawadee UI" w:hAnsi="Leelawadee UI" w:eastAsia="Leelawadee UI" w:cs="Leelawadee UI"/>
        </w:rPr>
        <w:t>គាត់</w:t>
      </w:r>
      <w:r>
        <w:rPr>
          <w:rFonts w:ascii="Times New Roman" w:hAnsi="Times New Roman" w:eastAsia="Times New Roman" w:cs="Times New Roman"/>
        </w:rPr>
        <w:t xml:space="preserve"> «</w:t>
      </w:r>
      <w:r>
        <w:rPr>
          <w:rFonts w:ascii="Leelawadee UI" w:hAnsi="Leelawadee UI" w:eastAsia="Leelawadee UI" w:cs="Leelawadee UI"/>
        </w:rPr>
        <w:t>បានឃើញនៅក្នុងនិមិត្តមួយ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នៅក្នុងខទីដប់បី</w:t>
      </w:r>
      <w:r>
        <w:rPr>
          <w:rFonts w:ascii="Times New Roman" w:hAnsi="Times New Roman" w:eastAsia="Times New Roman" w:cs="Times New Roman"/>
        </w:rPr>
        <w:t xml:space="preserve"> </w:t>
      </w:r>
      <w:r>
        <w:rPr>
          <w:rFonts w:ascii="Leelawadee UI" w:hAnsi="Leelawadee UI" w:eastAsia="Leelawadee UI" w:cs="Leelawadee UI"/>
        </w:rPr>
        <w:t>សំណួរត្រូវបានលើកឡើងថា</w:t>
      </w:r>
      <w:r>
        <w:rPr>
          <w:rFonts w:ascii="Times New Roman" w:hAnsi="Times New Roman" w:eastAsia="Times New Roman" w:cs="Times New Roman"/>
        </w:rPr>
        <w:t xml:space="preserve"> «</w:t>
      </w:r>
      <w:r>
        <w:rPr>
          <w:rFonts w:ascii="Leelawadee UI" w:hAnsi="Leelawadee UI" w:eastAsia="Leelawadee UI" w:cs="Leelawadee UI"/>
        </w:rPr>
        <w:t>និមិត្តនេះនឹងមានរហូតដល់ពេលណា</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ការប្រើទាំងអស់នោះ</w:t>
      </w:r>
      <w:r>
        <w:rPr>
          <w:rFonts w:ascii="Times New Roman" w:hAnsi="Times New Roman" w:eastAsia="Times New Roman" w:cs="Times New Roman"/>
        </w:rPr>
        <w:t xml:space="preserve"> </w:t>
      </w:r>
      <w:r>
        <w:rPr>
          <w:rFonts w:ascii="Leelawadee UI" w:hAnsi="Leelawadee UI" w:eastAsia="Leelawadee UI" w:cs="Leelawadee UI"/>
        </w:rPr>
        <w:t>សុទ្ធតែជាពាក្យហេប្រ៊ូ</w:t>
      </w:r>
      <w:r>
        <w:rPr>
          <w:rFonts w:ascii="Times New Roman" w:hAnsi="Times New Roman" w:eastAsia="Times New Roman" w:cs="Times New Roman"/>
        </w:rPr>
        <w:t xml:space="preserve"> “châzôn”</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នៅក្នុងខទីដប់ប្រាំ</w:t>
      </w:r>
      <w:r>
        <w:rPr>
          <w:rFonts w:ascii="Times New Roman" w:hAnsi="Times New Roman" w:eastAsia="Times New Roman" w:cs="Times New Roman"/>
        </w:rPr>
        <w:t xml:space="preserve"> </w:t>
      </w:r>
      <w:r>
        <w:rPr>
          <w:rFonts w:ascii="Leelawadee UI" w:hAnsi="Leelawadee UI" w:eastAsia="Leelawadee UI" w:cs="Leelawadee UI"/>
        </w:rPr>
        <w:t>យើងមកដល់គ្រាមួយ</w:t>
      </w:r>
      <w:r>
        <w:rPr>
          <w:rFonts w:ascii="Times New Roman" w:hAnsi="Times New Roman" w:eastAsia="Times New Roman" w:cs="Times New Roman"/>
        </w:rPr>
        <w:t xml:space="preserve"> </w:t>
      </w:r>
      <w:r>
        <w:rPr>
          <w:rFonts w:ascii="Leelawadee UI" w:hAnsi="Leelawadee UI" w:eastAsia="Leelawadee UI" w:cs="Leelawadee UI"/>
        </w:rPr>
        <w:t>ដែលប្រហែលជាសំខាន់បំផុត</w:t>
      </w:r>
      <w:r>
        <w:rPr>
          <w:rFonts w:ascii="Times New Roman" w:hAnsi="Times New Roman" w:eastAsia="Times New Roman" w:cs="Times New Roman"/>
        </w:rPr>
        <w:t xml:space="preserve"> </w:t>
      </w:r>
      <w:r>
        <w:rPr>
          <w:rFonts w:ascii="Leelawadee UI" w:hAnsi="Leelawadee UI" w:eastAsia="Leelawadee UI" w:cs="Leelawadee UI"/>
        </w:rPr>
        <w:t>ដែលដានីយ៉ែលបានប្រើពាក្យដដែលនោះ</w:t>
      </w:r>
      <w:r>
        <w:rPr>
          <w:rFonts w:ascii="Times New Roman" w:hAnsi="Times New Roman" w:eastAsia="Times New Roman" w:cs="Times New Roman"/>
        </w:rPr>
        <w:t xml:space="preserve"> </w:t>
      </w:r>
      <w:r>
        <w:rPr>
          <w:rFonts w:ascii="Leelawadee UI" w:hAnsi="Leelawadee UI" w:eastAsia="Leelawadee UI" w:cs="Leelawadee UI"/>
        </w:rPr>
        <w:t>ព្រោះគាត់មានប្រសាសន៍ថា</w:t>
      </w:r>
      <w:r>
        <w:rPr>
          <w:rFonts w:ascii="Times New Roman" w:hAnsi="Times New Roman" w:eastAsia="Times New Roman" w:cs="Times New Roman"/>
        </w:rPr>
        <w:t xml:space="preserve"> «</w:t>
      </w:r>
      <w:r>
        <w:rPr>
          <w:rFonts w:ascii="Leelawadee UI" w:hAnsi="Leelawadee UI" w:eastAsia="Leelawadee UI" w:cs="Leelawadee UI"/>
        </w:rPr>
        <w:t>កាលខ្ញុំ</w:t>
      </w:r>
      <w:r>
        <w:rPr>
          <w:rFonts w:ascii="Times New Roman" w:hAnsi="Times New Roman" w:eastAsia="Times New Roman" w:cs="Times New Roman"/>
        </w:rPr>
        <w:t>»…«</w:t>
      </w:r>
      <w:r>
        <w:rPr>
          <w:rFonts w:ascii="Leelawadee UI" w:hAnsi="Leelawadee UI" w:eastAsia="Leelawadee UI" w:cs="Leelawadee UI"/>
        </w:rPr>
        <w:t>បានឃើញនិមិត្ត</w:t>
      </w:r>
      <w:r>
        <w:rPr>
          <w:rFonts w:ascii="Times New Roman" w:hAnsi="Times New Roman" w:eastAsia="Times New Roman" w:cs="Times New Roman"/>
        </w:rPr>
        <w:t xml:space="preserve"> </w:t>
      </w:r>
      <w:r>
        <w:rPr>
          <w:rFonts w:ascii="Leelawadee UI" w:hAnsi="Leelawadee UI" w:eastAsia="Leelawadee UI" w:cs="Leelawadee UI"/>
        </w:rPr>
        <w:t>ហើយស្វែងរកន័យរបស់វា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បន្ទាប់ពីដានីយ៉ែលបានឃើញនិមិត្ត</w:t>
      </w:r>
      <w:r>
        <w:rPr>
          <w:rFonts w:ascii="Times New Roman" w:hAnsi="Times New Roman" w:eastAsia="Times New Roman" w:cs="Times New Roman"/>
        </w:rPr>
        <w:t xml:space="preserve"> châzôn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គាត់ចង់យល់ថា</w:t>
      </w:r>
      <w:r>
        <w:rPr>
          <w:rFonts w:ascii="Times New Roman" w:hAnsi="Times New Roman" w:eastAsia="Times New Roman" w:cs="Times New Roman"/>
        </w:rPr>
        <w:t xml:space="preserve"> </w:t>
      </w:r>
      <w:r>
        <w:rPr>
          <w:rFonts w:ascii="Leelawadee UI" w:hAnsi="Leelawadee UI" w:eastAsia="Leelawadee UI" w:cs="Leelawadee UI"/>
        </w:rPr>
        <w:t>វាមានន័យដូចម្តេច។</w:t>
      </w:r>
      <w:r>
        <w:rPr>
          <w:rFonts w:ascii="Times New Roman" w:hAnsi="Times New Roman" w:eastAsia="Times New Roman" w:cs="Times New Roman"/>
        </w:rPr>
        <w:t xml:space="preserve"> </w:t>
      </w:r>
      <w:r>
        <w:rPr>
          <w:rFonts w:ascii="Leelawadee UI" w:hAnsi="Leelawadee UI" w:eastAsia="Leelawadee UI" w:cs="Leelawadee UI"/>
        </w:rPr>
        <w:t>នេះគឺជាការពិតមួយ</w:t>
      </w:r>
      <w:r>
        <w:rPr>
          <w:rFonts w:ascii="Times New Roman" w:hAnsi="Times New Roman" w:eastAsia="Times New Roman" w:cs="Times New Roman"/>
        </w:rPr>
        <w:t xml:space="preserve"> </w:t>
      </w:r>
      <w:r>
        <w:rPr>
          <w:rFonts w:ascii="Leelawadee UI" w:hAnsi="Leelawadee UI" w:eastAsia="Leelawadee UI" w:cs="Leelawadee UI"/>
        </w:rPr>
        <w:t>ដែលមានទំនាក់ទំនងយ៉ាងសំខាន់ចំពោះការលាក់បាំងនៃ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នៃលេវីវិន័យ</w:t>
      </w:r>
      <w:r>
        <w:rPr>
          <w:rFonts w:ascii="Times New Roman" w:hAnsi="Times New Roman" w:eastAsia="Times New Roman" w:cs="Times New Roman"/>
        </w:rPr>
        <w:t xml:space="preserve"> </w:t>
      </w:r>
      <w:r>
        <w:rPr>
          <w:rFonts w:ascii="Leelawadee UI" w:hAnsi="Leelawadee UI" w:eastAsia="Leelawadee UI" w:cs="Leelawadee UI"/>
        </w:rPr>
        <w:t>ជំពូក២៦</w:t>
      </w:r>
      <w:r>
        <w:rPr>
          <w:rFonts w:ascii="Times New Roman" w:hAnsi="Times New Roman" w:eastAsia="Times New Roman" w:cs="Times New Roman"/>
        </w:rPr>
        <w:t xml:space="preserve"> </w:t>
      </w:r>
      <w:r>
        <w:rPr>
          <w:rFonts w:ascii="Leelawadee UI" w:hAnsi="Leelawadee UI" w:eastAsia="Leelawadee UI" w:cs="Leelawadee UI"/>
        </w:rPr>
        <w:t>នៅក្នុងជំពូកនេះ។</w:t>
      </w:r>
    </w:p>
    <w:p>
      <w:pPr>
        <w:pStyle w:val="ArticleBody"/>
        <w:jc w:val="left"/>
      </w:pPr>
      <w:r>
        <w:rPr>
          <w:rFonts w:ascii="Times New Roman" w:hAnsi="Times New Roman" w:eastAsia="Times New Roman" w:cs="Times New Roman"/>
        </w:rPr>
        <w:t>Il emploie également le mot châzôn aux versets dix-sept et vingt-six. Le mot « vision » apparaît dix fois dans le chapitre huit de Daniel, et le mot châzôn représente sept de ces occurrences. Daniel emploie quatre fois l’autre mot hébreu qui est traduit par « vision ». Cet autre mot hébreu est mar’eh, et signifie « apparence ».</w:t>
      </w:r>
    </w:p>
    <w:p>
      <w:pPr>
        <w:pStyle w:val="ArticleBody"/>
        <w:jc w:val="left"/>
      </w:pPr>
      <w:r>
        <w:rPr>
          <w:rFonts w:ascii="Times New Roman" w:hAnsi="Times New Roman" w:eastAsia="Times New Roman" w:cs="Times New Roman"/>
        </w:rPr>
        <w:t>Chazôn semblem p̂i sarih rei beram de Daniel, kapitel úalo, bach mar’eh semblem p̂i m̂uanh beram de, bach raun p̂i nissi hring de p̂i English “vision” a um beram de Daniel kapitel úalo. Sarih bach m̂uanh a b̂a sei, ziangh p̂i khat de Daniel a hman mar’eh, a lehlin p̂i de ang deh de asemsuahna a hrilh dan, ziangh beram de chang somnga de, mah Daniel a “sought for the meaning” de chazôn vision de prophetic history, khih “stood before” amah “as the appearance of a man.” Thu “appearance” cu mar’eh a si. Cuziangh hna, mar’eh hi Daniel nih Daniel úalo ah m̂uanh rei a hman, bach khatvei cu a hmasa bik a umnak “appearance” tih p̂i a lehlin, bach a dang pathumvei cu “vision” tih p̂i a lehlin.</w:t>
      </w:r>
    </w:p>
    <w:p>
      <w:pPr>
        <w:pStyle w:val="ArticleBody"/>
        <w:jc w:val="left"/>
      </w:pPr>
      <w:r>
        <w:rPr>
          <w:rFonts w:ascii="Times New Roman" w:hAnsi="Times New Roman" w:eastAsia="Times New Roman" w:cs="Times New Roman"/>
        </w:rPr>
        <w:t>Na a ɔrei reka mmarima a wɔkyerɛɛ King James Bible no ho asɛm bɔne biara. Nanso, ɛsɛ sɛ yɛhyɛ no nsow sɛ, wɔ nkyekyem dumiɛnsa mu no, na wɔhu asɛmfua a wɔde aka ho no nkutoo wɔ King James Bible no mu, (afɔrebɔ), a honhom mu nkanyan ka no pefee sɛ, “ɛnyɛ ɔwɔ nsɛm no mu.” Nkanyan no san ka bio sɛ, na “nnipa nyansa” na ɛde asɛmfua a wɔde kaa ho no bae. Wɔ ti no ara mu no, Hebri asɛmfua ahorow abien na wɔkyerɛɛ no nyinaa yɛɛ Borɔfo asɛmfua koro pɛ. Ade a enti ɛho hia paa sɛ yebehu nsonsonoe a ɛda saa asɛmfua abien yi ntam no ho hia kɛse yiye.</w:t>
      </w:r>
    </w:p>
    <w:p>
      <w:pPr>
        <w:pStyle w:val="ArticleScripture"/>
        <w:jc w:val="left"/>
      </w:pPr>
      <w:r>
        <w:rPr>
          <w:rFonts w:ascii="Times New Roman" w:hAnsi="Times New Roman" w:eastAsia="Times New Roman" w:cs="Times New Roman"/>
        </w:rPr>
        <w:t>Et il arriva que, lorsque moi, Daniel, j’eus vu la vision et que j’en cherchai l’intelligence, voici, quelqu’un qui avait l’apparence d’un homme se tint devant moi. Et j’entendis une voix d’homme entre les rives de l’Ulaï, qui appela et dit : Gabriel, fais comprendre à cet homme la vision. Daniel 8:15, 16.</w:t>
      </w:r>
    </w:p>
    <w:p>
      <w:pPr>
        <w:pStyle w:val="ArticleBody"/>
        <w:jc w:val="left"/>
      </w:pPr>
      <w:r>
        <w:rPr>
          <w:rFonts w:ascii="Times New Roman" w:hAnsi="Times New Roman" w:eastAsia="Times New Roman" w:cs="Times New Roman"/>
        </w:rPr>
        <w:t>Kwa kuwa Danieli “alitafuta maana” ya “ono la châzôn” ambalo alikuwa ameli “ona” punde tu, Kristo anamwarifu Gabrieli “amfanye” Danieli kuelewa “ono la mar’eh” ambalo alikuwa ameli “sikia” punde tu. Danieli alitaka kuelewa ono la historia ya unabii, lakini Kristo, ambaye katika aya ya kumi na tatu alikuwa ametambulishwa kuwa Palmoni (yule mtakatifu fulani aliyenena), alimwagiza Gabrieli amfanye Danieli kuelewa “ono la mar’eh,” si “ono la châzôn.” Katika aya ya kumi na tano na ya kumi na sita, kusudi lililotajwa kwa Gabrieli ni kwamba amfanye Danieli kuelewa “ono la mar’eh,” ambalo ndilo neno lililotafsiriwa kuwa “ono” lenye maana ya “mwonekano,” wala si ono la historia ya unabii ambalo Danieli alitaka kulielewa. Bila kuitambua kazi aliyopangiwa Gabrieli, “nyakati saba” za Mambo ya Walawi ishirini na sita zimefichwa waziwazi.</w:t>
      </w:r>
    </w:p>
    <w:p>
      <w:pPr>
        <w:pStyle w:val="ArticleBody"/>
        <w:jc w:val="left"/>
      </w:pP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“ff”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बताइए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Mboni mwa nimiro na asubui obwabwokairwe ni bw’amazima; n’ahabw’ekyo sigira kimwe ekyo kimbooni, ahakuba kiriba eky’ennaku nyingi. Danieli 8:26.</w:t>
      </w:r>
    </w:p>
    <w:p>
      <w:pPr>
        <w:pStyle w:val="ArticleBody"/>
        <w:jc w:val="left"/>
      </w:pPr>
      <w:r>
        <w:rPr>
          <w:rFonts w:ascii="Times New Roman" w:hAnsi="Times New Roman" w:eastAsia="Times New Roman" w:cs="Times New Roman"/>
        </w:rPr>
        <w:t>Veya yirmi altıda, “akşamlar ve sabahlar görümü” mar’eh görümüdür; anlamı “görünüş”tür; fakat “mühürlenmesi” gereken görüm, peygamberlik tarihine ait châzôn görümüdür. “Akşamlar ve sabahlar” ifadesi, bu iki görüm arasındaki ayrımı tecrit edip belirginleştiren unsurdur. Bunu, Kutsal Kitap’ın meydana gelişinde insan unsuruna ilişkin başka bir örnekle yapar. İnsan unsuru, hem Kutsal Kitap’ın sözlerini kayda geçiren peygamberlerden, hem de Kutsal Kitap’ı tercüme edenlerden oluşuyordu. Kutsal Kitap, Mesih’te olduğu gibi, ilahiyat ile beşeriyetin bir birleşimini temsil eder. Bu beşeriyet, Âdem’in günah işlemesinden sonra başlayarak, Kutsal Kitap’ı kayda geçiren ve tercüme edenlere kadar tarih boyunca aşağıya doğru intikal etmiştir. Mesih de Kutsal Kitap da Tanrı’nın Sözü’dür; ve Tanrı’nın Sözü pakdır; çünkü birleşimin ilahî yönü, bedende mevcut bulunan her türlü sınırlılığı daima hükmü altına almıştır.</w:t>
      </w:r>
    </w:p>
    <w:p>
      <w:pPr>
        <w:pStyle w:val="ArticleScripture"/>
        <w:jc w:val="left"/>
      </w:pPr>
      <w:r>
        <w:rPr>
          <w:rFonts w:ascii="Times New Roman" w:hAnsi="Times New Roman" w:eastAsia="Times New Roman" w:cs="Times New Roman"/>
        </w:rPr>
        <w:t>Paulus, dienstknecht van Jezus Christus, geroepen tot apostel, afgezonderd tot het Evangelie van God, (hetwelk Hij tevoren beloofd had door Zijn profeten in de heilige Schriften,) aangaande Zijn Zoon Jezus Christus, onze Heere, Die geworden is uit het zaad van David, naar het vlees. Romeinen 1:1–3.</w:t>
      </w:r>
    </w:p>
    <w:p>
      <w:pPr>
        <w:pStyle w:val="ArticleBody"/>
        <w:jc w:val="left"/>
      </w:pPr>
      <w:r>
        <w:rPr>
          <w:rFonts w:ascii="Nirmala UI" w:hAnsi="Nirmala UI" w:eastAsia="Nirmala UI" w:cs="Nirmala UI"/>
        </w:rPr>
        <w:t>उक्ति</w:t>
      </w:r>
      <w:r>
        <w:rPr>
          <w:rFonts w:ascii="Times New Roman" w:hAnsi="Times New Roman" w:eastAsia="Times New Roman" w:cs="Times New Roman"/>
        </w:rPr>
        <w:t xml:space="preserve"> “evening and morning”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“evening and morning”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w:t>
      </w:r>
      <w:r>
        <w:rPr>
          <w:rFonts w:ascii="Nirmala UI" w:hAnsi="Nirmala UI" w:eastAsia="Nirmala UI" w:cs="Nirmala UI"/>
        </w:rPr>
        <w:t>वृत्तांत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“and the evening and the morning were….”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महत्त्व</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“evening and morning”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“evening and morning”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“evening and morning”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“days”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Ndipo akati kwandiri, Kusvikira pamazuva zviuru zviviri namazana matatu; ipapo nzvimbo tsvene ichanatswa. Danieri 8:14.</w:t>
      </w:r>
    </w:p>
    <w:p>
      <w:pPr>
        <w:pStyle w:val="ArticleBody"/>
        <w:jc w:val="left"/>
      </w:pPr>
      <w:r>
        <w:rPr>
          <w:rFonts w:ascii="Times New Roman" w:hAnsi="Times New Roman" w:eastAsia="Times New Roman" w:cs="Times New Roman"/>
        </w:rPr>
        <w:t>Tolv vers senere, i det samme kapittel i Daniel, blir det hebraiske uttrykket «kveld og morgen» oversatt slik det alltid blir; men i det verset som er adventismens sentrale søyle og grunnvoll, blir uttrykket ganske enkelt oversatt med «dager». Hvilken innflytelse førte oversetterne av King James-bibelen til å begå en så iøynefallende selvmotsigelse? De hadde oversatt uttrykket i vers tjueseks i samsvar med hver eneste andre forekomst av uttrykket i resten av Bibelen. Men tolv vers før vers tjueseks, i vers fjorten, la deres menneskelighet en særlig distinksjon på svaret på spørsmålet i vers tretten. Og spørsmålet i vers tretten omfattet det ene ordet («offer»), som ikke skulle legges til Bibelen. Gud ønsket at vers fjorten skulle tre frem på en meget dyp og særegen måte. Ved å gjøre dette identifiserte han også hva Gabriel fikk befaling om å få Daniel til å forstå.</w:t>
      </w:r>
    </w:p>
    <w:p>
      <w:pPr>
        <w:pStyle w:val="ArticleBody"/>
        <w:jc w:val="left"/>
      </w:pP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समझाए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बावजूद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châzôn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सांझ</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châzôn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सांझ</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सांझ</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Le humanitate que participava in le creation del Sancte Biblia registrava le parola “vision” dece vices in le capitulo octo de Daniel e, facente assi, celava le distinction inter un vision que esseva “vidite” e un altere vision que esseva “audite”. Facente assi, illo obscurava le emphase que identifica que le intention de Christo esseva que Daniel comprendeva le vision que ille habeva “audite”, plus tosto que comprender le vision que ille habeva “vidite”. Nos pote nunc considerar lo que Gabriel face pro adimpler su assignation de labor.</w:t>
      </w:r>
    </w:p>
    <w:p>
      <w:pPr>
        <w:pStyle w:val="ArticleScripture"/>
        <w:jc w:val="left"/>
      </w:pPr>
      <w:r>
        <w:rPr>
          <w:rFonts w:ascii="Times New Roman" w:hAnsi="Times New Roman" w:eastAsia="Times New Roman" w:cs="Times New Roman"/>
        </w:rPr>
        <w:t>Alors il s’approcha du lieu où je me tenais ; et, lorsqu’il s’approcha, je fus saisi de crainte, et je tombai sur ma face ; mais il me dit : Comprends, ô fils de l’homme ; car la vision regarde le temps de la fin. Comme il me parlait, j’étais plongé dans un profond sommeil, la face contre terre ; mais il me toucha, et me mit debout à la place où je me tenais. Et il dit : Voici, je te ferai connaître ce qui arrivera à la fin de l’indignation ; car à l’époque fixée sera la fin. Daniel 8:17–19.</w:t>
      </w:r>
    </w:p>
    <w:p>
      <w:pPr>
        <w:pStyle w:val="ArticleBody"/>
        <w:jc w:val="left"/>
      </w:pPr>
      <w:r>
        <w:rPr>
          <w:rFonts w:ascii="Times New Roman" w:hAnsi="Times New Roman" w:eastAsia="Times New Roman" w:cs="Times New Roman"/>
        </w:rPr>
        <w:t>Gabriel entreprend maintenant son œuvre consistant à faire comprendre à Daniel la vision des deux mille trois cents soirs et matins, laquelle est véritable. Il l’informe d’abord que la vision de l’histoire prophétique, la vision du châzôn, serait au « temps de la fin ». Puis, tandis que Daniel était dans un sommeil prophétique, Gabriel toucha Daniel et le mit debout. Il l’informe : « Je te ferai connaître. »</w:t>
      </w:r>
    </w:p>
    <w:p>
      <w:pPr>
        <w:pStyle w:val="ArticleBody"/>
        <w:jc w:val="left"/>
      </w:pPr>
      <w:r>
        <w:rPr>
          <w:rFonts w:ascii="Times New Roman" w:hAnsi="Times New Roman" w:eastAsia="Times New Roman" w:cs="Times New Roman"/>
        </w:rPr>
        <w:t>Nanga nde oyo Palmoni (Klisto) ayebisaki Gabriele asala, tango alobaki: “Gabriele, pesa moto oyo bososoli ya emonaneli ya mar’eh” ya mpokwa mpe ya ntongo. Gabriele alobi ete akosala ete Danyele “ayeba oyo ekosalema na suka ya nsuka ya kanda.” Tala yango! Kuna nde ezali “mbala nsambo” ya Baebele tuku mibale na motoba! Ebombami na nzela mpenza ya mayele ya esakweli oyo Gabriele akambaki basakoli mbala na mbala ete batatola mpe basalela na mikanda na bango! Mayele yango ezali “molongo likolo ya molongo, awa mwa moke mpe kuna mwa moke.”</w:t>
      </w:r>
    </w:p>
    <w:p>
      <w:pPr>
        <w:pStyle w:val="ArticleBody"/>
        <w:jc w:val="left"/>
      </w:pPr>
      <w:r>
        <w:rPr>
          <w:rFonts w:ascii="Times New Roman" w:hAnsi="Times New Roman" w:eastAsia="Times New Roman" w:cs="Times New Roman"/>
        </w:rPr>
        <w:t>N’igitabo “Thoughts on Daniel and the Revelation”, cyanditswe na Uriah Smith (igitabo Abadivantisiti bose, ndetse n’abaturanyi babo, bagombye kuba bazi), Smith agira icyo avuga ku mirongo ya cumi n’irindwi kugeza ku ya cumi n’icyenda yo mu gice cya munani cya Daniyeli:</w:t>
      </w:r>
    </w:p>
    <w:p>
      <w:pPr>
        <w:pStyle w:val="ArticleScripture"/>
        <w:jc w:val="left"/>
      </w:pPr>
      <w:r>
        <w:rPr>
          <w:rFonts w:ascii="Times New Roman" w:hAnsi="Times New Roman" w:eastAsia="Times New Roman" w:cs="Times New Roman"/>
        </w:rPr>
        <w:t>“</w:t>
      </w:r>
      <w:r>
        <w:rPr>
          <w:rFonts w:ascii="Nirmala UI" w:hAnsi="Nirmala UI" w:eastAsia="Nirmala UI" w:cs="Nirmala UI"/>
        </w:rPr>
        <w:t>ಸಮಯನಿಯುಕ್ತ</w:t>
      </w:r>
      <w:r>
        <w:rPr>
          <w:rFonts w:ascii="Times New Roman" w:hAnsi="Times New Roman" w:eastAsia="Times New Roman" w:cs="Times New Roman"/>
        </w:rPr>
        <w:t xml:space="preserve"> </w:t>
      </w:r>
      <w:r>
        <w:rPr>
          <w:rFonts w:ascii="Nirmala UI" w:hAnsi="Nirmala UI" w:eastAsia="Nirmala UI" w:cs="Nirmala UI"/>
        </w:rPr>
        <w:t>ಕಾಲದಲ್ಲಿ</w:t>
      </w:r>
      <w:r>
        <w:rPr>
          <w:rFonts w:ascii="Times New Roman" w:hAnsi="Times New Roman" w:eastAsia="Times New Roman" w:cs="Times New Roman"/>
        </w:rPr>
        <w:t xml:space="preserve"> </w:t>
      </w:r>
      <w:r>
        <w:rPr>
          <w:rFonts w:ascii="Nirmala UI" w:hAnsi="Nirmala UI" w:eastAsia="Nirmala UI" w:cs="Nirmala UI"/>
        </w:rPr>
        <w:t>ಅಂತ್ಯವು</w:t>
      </w:r>
      <w:r>
        <w:rPr>
          <w:rFonts w:ascii="Times New Roman" w:hAnsi="Times New Roman" w:eastAsia="Times New Roman" w:cs="Times New Roman"/>
        </w:rPr>
        <w:t xml:space="preserve"> </w:t>
      </w:r>
      <w:r>
        <w:rPr>
          <w:rFonts w:ascii="Nirmala UI" w:hAnsi="Nirmala UI" w:eastAsia="Nirmala UI" w:cs="Nirmala UI"/>
        </w:rPr>
        <w:t>ಸಂಭವಿಸುವುದು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ಕ್ರೋಧದ</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ಕಾಲದಲ್ಲಿ</w:t>
      </w:r>
      <w:r>
        <w:rPr>
          <w:rFonts w:ascii="Times New Roman" w:hAnsi="Times New Roman" w:eastAsia="Times New Roman" w:cs="Times New Roman"/>
        </w:rPr>
        <w:t xml:space="preserve"> </w:t>
      </w:r>
      <w:r>
        <w:rPr>
          <w:rFonts w:ascii="Nirmala UI" w:hAnsi="Nirmala UI" w:eastAsia="Nirmala UI" w:cs="Nirmala UI"/>
        </w:rPr>
        <w:t>ಏನು</w:t>
      </w:r>
      <w:r>
        <w:rPr>
          <w:rFonts w:ascii="Times New Roman" w:hAnsi="Times New Roman" w:eastAsia="Times New Roman" w:cs="Times New Roman"/>
        </w:rPr>
        <w:t xml:space="preserve"> </w:t>
      </w:r>
      <w:r>
        <w:rPr>
          <w:rFonts w:ascii="Nirmala UI" w:hAnsi="Nirmala UI" w:eastAsia="Nirmala UI" w:cs="Nirmala UI"/>
        </w:rPr>
        <w:t>ಸಂಭವಿಸುವುದೋ</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ತಿಳಿಸುವೆನು</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ಸಾಮಾನ್ಯ</w:t>
      </w:r>
      <w:r>
        <w:rPr>
          <w:rFonts w:ascii="Times New Roman" w:hAnsi="Times New Roman" w:eastAsia="Times New Roman" w:cs="Times New Roman"/>
        </w:rPr>
        <w:t xml:space="preserve"> </w:t>
      </w:r>
      <w:r>
        <w:rPr>
          <w:rFonts w:ascii="Nirmala UI" w:hAnsi="Nirmala UI" w:eastAsia="Nirmala UI" w:cs="Nirmala UI"/>
        </w:rPr>
        <w:t>ಘೋಷಣೆಯೊಂದಿಗೆ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ದರ್ಶನದ</w:t>
      </w:r>
      <w:r>
        <w:rPr>
          <w:rFonts w:ascii="Times New Roman" w:hAnsi="Times New Roman" w:eastAsia="Times New Roman" w:cs="Times New Roman"/>
        </w:rPr>
        <w:t xml:space="preserve"> </w:t>
      </w:r>
      <w:r>
        <w:rPr>
          <w:rFonts w:ascii="Nirmala UI" w:hAnsi="Nirmala UI" w:eastAsia="Nirmala UI" w:cs="Nirmala UI"/>
        </w:rPr>
        <w:t>ವಿವರಣೆಗೆ</w:t>
      </w:r>
      <w:r>
        <w:rPr>
          <w:rFonts w:ascii="Times New Roman" w:hAnsi="Times New Roman" w:eastAsia="Times New Roman" w:cs="Times New Roman"/>
        </w:rPr>
        <w:t xml:space="preserve"> </w:t>
      </w:r>
      <w:r>
        <w:rPr>
          <w:rFonts w:ascii="Nirmala UI" w:hAnsi="Nirmala UI" w:eastAsia="Nirmala UI" w:cs="Nirmala UI"/>
        </w:rPr>
        <w:t>ಪ್ರವೇಶಿಸುತ್ತಾನೆ</w:t>
      </w:r>
      <w:r>
        <w:rPr>
          <w:rFonts w:ascii="Times New Roman" w:hAnsi="Times New Roman" w:eastAsia="Times New Roman" w:cs="Times New Roman"/>
        </w:rPr>
        <w:t>. “</w:t>
      </w:r>
      <w:r>
        <w:rPr>
          <w:rFonts w:ascii="Nirmala UI" w:hAnsi="Nirmala UI" w:eastAsia="Nirmala UI" w:cs="Nirmala UI"/>
        </w:rPr>
        <w:t>ಕ್ರೋಧ</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ಕಾಲಾವಧಿಯನ್ನು</w:t>
      </w:r>
      <w:r>
        <w:rPr>
          <w:rFonts w:ascii="Times New Roman" w:hAnsi="Times New Roman" w:eastAsia="Times New Roman" w:cs="Times New Roman"/>
        </w:rPr>
        <w:t xml:space="preserve"> </w:t>
      </w:r>
      <w:r>
        <w:rPr>
          <w:rFonts w:ascii="Nirmala UI" w:hAnsi="Nirmala UI" w:eastAsia="Nirmala UI" w:cs="Nirmala UI"/>
        </w:rPr>
        <w:t>ಒಳಗೊಂಡಿರುವುದಾಗಿ</w:t>
      </w:r>
      <w:r>
        <w:rPr>
          <w:rFonts w:ascii="Times New Roman" w:hAnsi="Times New Roman" w:eastAsia="Times New Roman" w:cs="Times New Roman"/>
        </w:rPr>
        <w:t xml:space="preserve"> </w:t>
      </w:r>
      <w:r>
        <w:rPr>
          <w:rFonts w:ascii="Nirmala UI" w:hAnsi="Nirmala UI" w:eastAsia="Nirmala UI" w:cs="Nirmala UI"/>
        </w:rPr>
        <w:t>ಅರ್ಥಮಾಡಿಕೊಳ್ಳಬೇಕು</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ಕಾಲಾವಧಿ</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ಜನರಾದ</w:t>
      </w:r>
      <w:r>
        <w:rPr>
          <w:rFonts w:ascii="Times New Roman" w:hAnsi="Times New Roman" w:eastAsia="Times New Roman" w:cs="Times New Roman"/>
        </w:rPr>
        <w:t xml:space="preserve"> </w:t>
      </w:r>
      <w:r>
        <w:rPr>
          <w:rFonts w:ascii="Nirmala UI" w:hAnsi="Nirmala UI" w:eastAsia="Nirmala UI" w:cs="Nirmala UI"/>
        </w:rPr>
        <w:t>ಇಸ್ರಾಯೇಲರಿಗೆ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ದುಷ್ಟತೆಯ</w:t>
      </w:r>
      <w:r>
        <w:rPr>
          <w:rFonts w:ascii="Times New Roman" w:hAnsi="Times New Roman" w:eastAsia="Times New Roman" w:cs="Times New Roman"/>
        </w:rPr>
        <w:t xml:space="preserve"> </w:t>
      </w:r>
      <w:r>
        <w:rPr>
          <w:rFonts w:ascii="Nirmala UI" w:hAnsi="Nirmala UI" w:eastAsia="Nirmala UI" w:cs="Nirmala UI"/>
        </w:rPr>
        <w:t>ನಿಮಿತ್ತ</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ಕ್ರೋಧವನ್ನು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ಸುರಿಸುವೆನು</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ಹೇಳಿದನು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ಅಪವಿತ್ರ</w:t>
      </w:r>
      <w:r>
        <w:rPr>
          <w:rFonts w:ascii="Times New Roman" w:hAnsi="Times New Roman" w:eastAsia="Times New Roman" w:cs="Times New Roman"/>
        </w:rPr>
        <w:t xml:space="preserve"> </w:t>
      </w:r>
      <w:r>
        <w:rPr>
          <w:rFonts w:ascii="Nirmala UI" w:hAnsi="Nirmala UI" w:eastAsia="Nirmala UI" w:cs="Nirmala UI"/>
        </w:rPr>
        <w:t>ದುಷ್ಟ</w:t>
      </w:r>
      <w:r>
        <w:rPr>
          <w:rFonts w:ascii="Times New Roman" w:hAnsi="Times New Roman" w:eastAsia="Times New Roman" w:cs="Times New Roman"/>
        </w:rPr>
        <w:t xml:space="preserve"> </w:t>
      </w:r>
      <w:r>
        <w:rPr>
          <w:rFonts w:ascii="Nirmala UI" w:hAnsi="Nirmala UI" w:eastAsia="Nirmala UI" w:cs="Nirmala UI"/>
        </w:rPr>
        <w:t>ಪ್ರಧಾನನ</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ವಿಧವಾಗಿ</w:t>
      </w:r>
      <w:r>
        <w:rPr>
          <w:rFonts w:ascii="Times New Roman" w:hAnsi="Times New Roman" w:eastAsia="Times New Roman" w:cs="Times New Roman"/>
        </w:rPr>
        <w:t xml:space="preserve"> </w:t>
      </w:r>
      <w:r>
        <w:rPr>
          <w:rFonts w:ascii="Nirmala UI" w:hAnsi="Nirmala UI" w:eastAsia="Nirmala UI" w:cs="Nirmala UI"/>
        </w:rPr>
        <w:t>ಆಜ್ಞಾಪಿಸಿದನು</w:t>
      </w:r>
      <w:r>
        <w:rPr>
          <w:rFonts w:ascii="Times New Roman" w:hAnsi="Times New Roman" w:eastAsia="Times New Roman" w:cs="Times New Roman"/>
        </w:rPr>
        <w:t>: “</w:t>
      </w:r>
      <w:r>
        <w:rPr>
          <w:rFonts w:ascii="Nirmala UI" w:hAnsi="Nirmala UI" w:eastAsia="Nirmala UI" w:cs="Nirmala UI"/>
        </w:rPr>
        <w:t>ಮುಕುಟಬಂಧವನ್ನು</w:t>
      </w:r>
      <w:r>
        <w:rPr>
          <w:rFonts w:ascii="Times New Roman" w:hAnsi="Times New Roman" w:eastAsia="Times New Roman" w:cs="Times New Roman"/>
        </w:rPr>
        <w:t xml:space="preserve"> </w:t>
      </w:r>
      <w:r>
        <w:rPr>
          <w:rFonts w:ascii="Nirmala UI" w:hAnsi="Nirmala UI" w:eastAsia="Nirmala UI" w:cs="Nirmala UI"/>
        </w:rPr>
        <w:t>ತೆಗೆದುಹಾಕು</w:t>
      </w:r>
      <w:r>
        <w:rPr>
          <w:rFonts w:ascii="Times New Roman" w:hAnsi="Times New Roman" w:eastAsia="Times New Roman" w:cs="Times New Roman"/>
        </w:rPr>
        <w:t xml:space="preserve">, </w:t>
      </w:r>
      <w:r>
        <w:rPr>
          <w:rFonts w:ascii="Nirmala UI" w:hAnsi="Nirmala UI" w:eastAsia="Nirmala UI" w:cs="Nirmala UI"/>
        </w:rPr>
        <w:t>ಕಿರೀಟವನ್ನೂ</w:t>
      </w:r>
      <w:r>
        <w:rPr>
          <w:rFonts w:ascii="Times New Roman" w:hAnsi="Times New Roman" w:eastAsia="Times New Roman" w:cs="Times New Roman"/>
        </w:rPr>
        <w:t xml:space="preserve"> </w:t>
      </w:r>
      <w:r>
        <w:rPr>
          <w:rFonts w:ascii="Nirmala UI" w:hAnsi="Nirmala UI" w:eastAsia="Nirmala UI" w:cs="Nirmala UI"/>
        </w:rPr>
        <w:t>ಕಳಚಿಬಿಡು</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ಉರುಳಿಸುವೆನು</w:t>
      </w:r>
      <w:r>
        <w:rPr>
          <w:rFonts w:ascii="Times New Roman" w:hAnsi="Times New Roman" w:eastAsia="Times New Roman" w:cs="Times New Roman"/>
        </w:rPr>
        <w:t xml:space="preserve">, </w:t>
      </w:r>
      <w:r>
        <w:rPr>
          <w:rFonts w:ascii="Nirmala UI" w:hAnsi="Nirmala UI" w:eastAsia="Nirmala UI" w:cs="Nirmala UI"/>
        </w:rPr>
        <w:t>ಉರುಳಿಸುವೆನು</w:t>
      </w:r>
      <w:r>
        <w:rPr>
          <w:rFonts w:ascii="Times New Roman" w:hAnsi="Times New Roman" w:eastAsia="Times New Roman" w:cs="Times New Roman"/>
        </w:rPr>
        <w:t xml:space="preserve">, </w:t>
      </w:r>
      <w:r>
        <w:rPr>
          <w:rFonts w:ascii="Nirmala UI" w:hAnsi="Nirmala UI" w:eastAsia="Nirmala UI" w:cs="Nirmala UI"/>
        </w:rPr>
        <w:t>ಉರುಳಿಸುವೆನು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ಹಕ್ಕುಳ್ಳವನು</w:t>
      </w:r>
      <w:r>
        <w:rPr>
          <w:rFonts w:ascii="Times New Roman" w:hAnsi="Times New Roman" w:eastAsia="Times New Roman" w:cs="Times New Roman"/>
        </w:rPr>
        <w:t xml:space="preserve"> </w:t>
      </w:r>
      <w:r>
        <w:rPr>
          <w:rFonts w:ascii="Nirmala UI" w:hAnsi="Nirmala UI" w:eastAsia="Nirmala UI" w:cs="Nirmala UI"/>
        </w:rPr>
        <w:t>ಬರುವ</w:t>
      </w:r>
      <w:r>
        <w:rPr>
          <w:rFonts w:ascii="Times New Roman" w:hAnsi="Times New Roman" w:eastAsia="Times New Roman" w:cs="Times New Roman"/>
        </w:rPr>
        <w:t xml:space="preserve"> </w:t>
      </w:r>
      <w:r>
        <w:rPr>
          <w:rFonts w:ascii="Nirmala UI" w:hAnsi="Nirmala UI" w:eastAsia="Nirmala UI" w:cs="Nirmala UI"/>
        </w:rPr>
        <w:t>ತನಕ</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ಇರುವುದಿಲ್ಲ</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ಕೊಡುವೆನು</w:t>
      </w:r>
      <w:r>
        <w:rPr>
          <w:rFonts w:ascii="Times New Roman" w:hAnsi="Times New Roman" w:eastAsia="Times New Roman" w:cs="Times New Roman"/>
        </w:rPr>
        <w:t xml:space="preserve">.” </w:t>
      </w:r>
      <w:r>
        <w:rPr>
          <w:rFonts w:ascii="Nirmala UI" w:hAnsi="Nirmala UI" w:eastAsia="Nirmala UI" w:cs="Nirmala UI"/>
        </w:rPr>
        <w:t>ಯೆಹೆಜ್ಕೇಲ</w:t>
      </w:r>
      <w:r>
        <w:rPr>
          <w:rFonts w:ascii="Times New Roman" w:hAnsi="Times New Roman" w:eastAsia="Times New Roman" w:cs="Times New Roman"/>
        </w:rPr>
        <w:t xml:space="preserve"> 21:25–27, 31.</w:t>
      </w:r>
    </w:p>
    <w:p>
      <w:pPr>
        <w:pStyle w:val="ArticleScripture"/>
        <w:jc w:val="left"/>
      </w:pPr>
      <w:r>
        <w:rPr>
          <w:rFonts w:ascii="Times New Roman" w:hAnsi="Times New Roman" w:eastAsia="Times New Roman" w:cs="Times New Roman"/>
        </w:rPr>
        <w:t>«Voici la période de l’indignation de Dieu contre son peuple de l’alliance; la période durant laquelle le sanctuaire et l’armée doivent être foulés aux pieds. Le diadème fut ôté, et la couronne enlevée, lorsque Israël fut soumis au royaume de Babylone. Elle fut renversée de nouveau par les Mèdes et les Perses, de nouveau par les Grecs, de nouveau par les Romains, conformément aux trois répétitions du mot par le prophète. Les Juifs alors, ayant rejeté le Christ, furent bientôt dispersés sur toute la face de la terre; et l’Israël spirituel a pris la place de la postérité littérale; mais ils sont assujettis à des puissances terrestres, et le seront jusqu’à ce que le trône de David soit de nouveau établi,—jusqu’à ce que Celui qui en est l’héritier légitime, le Messie, le Prince de paix, vienne, et alors il lui sera donné. Alors l’indignation aura cessé. Ce qui doit avoir lieu à la fin dernière de cette période, l’ange va maintenant le faire connaître à Daniel.» Uriah Smith, Daniel and the Revelation, 201, 202.</w:t>
      </w:r>
    </w:p>
    <w:p>
      <w:pPr>
        <w:pStyle w:val="ArticleBody"/>
        <w:jc w:val="left"/>
      </w:pPr>
      <w:r>
        <w:rPr>
          <w:rFonts w:ascii="Times New Roman" w:hAnsi="Times New Roman" w:eastAsia="Times New Roman" w:cs="Times New Roman"/>
        </w:rPr>
        <w:t>ꞌꞌ</w:t>
      </w:r>
      <w:r>
        <w:rPr>
          <w:rFonts w:ascii="Malgun Gothic" w:hAnsi="Malgun Gothic" w:eastAsia="Malgun Gothic" w:cs="Malgun Gothic"/>
        </w:rPr>
        <w:t>분노</w:t>
      </w:r>
      <w:r>
        <w:rPr>
          <w:rFonts w:ascii="Times New Roman" w:hAnsi="Times New Roman" w:eastAsia="Times New Roman" w:cs="Times New Roman"/>
        </w:rPr>
        <w:t>ꞌꞌ</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스미스가</w:t>
      </w:r>
      <w:r>
        <w:rPr>
          <w:rFonts w:ascii="Times New Roman" w:hAnsi="Times New Roman" w:eastAsia="Times New Roman" w:cs="Times New Roman"/>
        </w:rPr>
        <w:t xml:space="preserve"> </w:t>
      </w:r>
      <w:r>
        <w:rPr>
          <w:rFonts w:ascii="Malgun Gothic" w:hAnsi="Malgun Gothic" w:eastAsia="Malgun Gothic" w:cs="Malgun Gothic"/>
        </w:rPr>
        <w:t>지목하는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677</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므낫세가</w:t>
      </w:r>
      <w:r>
        <w:rPr>
          <w:rFonts w:ascii="Times New Roman" w:hAnsi="Times New Roman" w:eastAsia="Times New Roman" w:cs="Times New Roman"/>
        </w:rPr>
        <w:t xml:space="preserve"> </w:t>
      </w:r>
      <w:r>
        <w:rPr>
          <w:rFonts w:ascii="Malgun Gothic" w:hAnsi="Malgun Gothic" w:eastAsia="Malgun Gothic" w:cs="Malgun Gothic"/>
        </w:rPr>
        <w:t>앗수르인들에게</w:t>
      </w:r>
      <w:r>
        <w:rPr>
          <w:rFonts w:ascii="Times New Roman" w:hAnsi="Times New Roman" w:eastAsia="Times New Roman" w:cs="Times New Roman"/>
        </w:rPr>
        <w:t xml:space="preserve"> </w:t>
      </w:r>
      <w:r>
        <w:rPr>
          <w:rFonts w:ascii="Malgun Gothic" w:hAnsi="Malgun Gothic" w:eastAsia="Malgun Gothic" w:cs="Malgun Gothic"/>
        </w:rPr>
        <w:t>바빌론으로</w:t>
      </w:r>
      <w:r>
        <w:rPr>
          <w:rFonts w:ascii="Times New Roman" w:hAnsi="Times New Roman" w:eastAsia="Times New Roman" w:cs="Times New Roman"/>
        </w:rPr>
        <w:t xml:space="preserve"> </w:t>
      </w:r>
      <w:r>
        <w:rPr>
          <w:rFonts w:ascii="Malgun Gothic" w:hAnsi="Malgun Gothic" w:eastAsia="Malgun Gothic" w:cs="Malgun Gothic"/>
        </w:rPr>
        <w:t>사로잡혀</w:t>
      </w:r>
      <w:r>
        <w:rPr>
          <w:rFonts w:ascii="Times New Roman" w:hAnsi="Times New Roman" w:eastAsia="Times New Roman" w:cs="Times New Roman"/>
        </w:rPr>
        <w:t xml:space="preserve"> </w:t>
      </w:r>
      <w:r>
        <w:rPr>
          <w:rFonts w:ascii="Malgun Gothic" w:hAnsi="Malgun Gothic" w:eastAsia="Malgun Gothic" w:cs="Malgun Gothic"/>
        </w:rPr>
        <w:t>갔을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 xml:space="preserve">. </w:t>
      </w:r>
      <w:r>
        <w:rPr>
          <w:rFonts w:ascii="Malgun Gothic" w:hAnsi="Malgun Gothic" w:eastAsia="Malgun Gothic" w:cs="Malgun Gothic"/>
        </w:rPr>
        <w:t>유감스럽게도</w:t>
      </w:r>
      <w:r>
        <w:rPr>
          <w:rFonts w:ascii="Times New Roman" w:hAnsi="Times New Roman" w:eastAsia="Times New Roman" w:cs="Times New Roman"/>
        </w:rPr>
        <w:t xml:space="preserve"> </w:t>
      </w:r>
      <w:r>
        <w:rPr>
          <w:rFonts w:ascii="Malgun Gothic" w:hAnsi="Malgun Gothic" w:eastAsia="Malgun Gothic" w:cs="Malgun Gothic"/>
        </w:rPr>
        <w:t>스미스는</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586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w:t>
      </w:r>
      <w:r>
        <w:rPr>
          <w:rFonts w:ascii="Malgun Gothic" w:hAnsi="Malgun Gothic" w:eastAsia="Malgun Gothic" w:cs="Malgun Gothic"/>
        </w:rPr>
        <w:t>시드기야의</w:t>
      </w:r>
      <w:r>
        <w:rPr>
          <w:rFonts w:ascii="Times New Roman" w:hAnsi="Times New Roman" w:eastAsia="Times New Roman" w:cs="Times New Roman"/>
        </w:rPr>
        <w:t xml:space="preserve"> </w:t>
      </w:r>
      <w:r>
        <w:rPr>
          <w:rFonts w:ascii="Malgun Gothic" w:hAnsi="Malgun Gothic" w:eastAsia="Malgun Gothic" w:cs="Malgun Gothic"/>
        </w:rPr>
        <w:t>폐위를</w:t>
      </w:r>
      <w:r>
        <w:rPr>
          <w:rFonts w:ascii="Times New Roman" w:hAnsi="Times New Roman" w:eastAsia="Times New Roman" w:cs="Times New Roman"/>
        </w:rPr>
        <w:t xml:space="preserve"> </w:t>
      </w:r>
      <w:r>
        <w:rPr>
          <w:rFonts w:ascii="Malgun Gothic" w:hAnsi="Malgun Gothic" w:eastAsia="Malgun Gothic" w:cs="Malgun Gothic"/>
        </w:rPr>
        <w:t>취하여</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19</w:t>
      </w:r>
      <w:r>
        <w:rPr>
          <w:rFonts w:ascii="Malgun Gothic" w:hAnsi="Malgun Gothic" w:eastAsia="Malgun Gothic" w:cs="Malgun Gothic"/>
        </w:rPr>
        <w:t>절의</w:t>
      </w:r>
      <w:r>
        <w:rPr>
          <w:rFonts w:ascii="Times New Roman" w:hAnsi="Times New Roman" w:eastAsia="Times New Roman" w:cs="Times New Roman"/>
        </w:rPr>
        <w:t xml:space="preserve"> ꞌꞌ</w:t>
      </w:r>
      <w:r>
        <w:rPr>
          <w:rFonts w:ascii="Malgun Gothic" w:hAnsi="Malgun Gothic" w:eastAsia="Malgun Gothic" w:cs="Malgun Gothic"/>
        </w:rPr>
        <w:t>분노</w:t>
      </w:r>
      <w:r>
        <w:rPr>
          <w:rFonts w:ascii="Times New Roman" w:hAnsi="Times New Roman" w:eastAsia="Times New Roman" w:cs="Times New Roman"/>
        </w:rPr>
        <w:t>ꞌꞌ</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시작점으로</w:t>
      </w:r>
      <w:r>
        <w:rPr>
          <w:rFonts w:ascii="Times New Roman" w:hAnsi="Times New Roman" w:eastAsia="Times New Roman" w:cs="Times New Roman"/>
        </w:rPr>
        <w:t xml:space="preserve"> </w:t>
      </w:r>
      <w:r>
        <w:rPr>
          <w:rFonts w:ascii="Malgun Gothic" w:hAnsi="Malgun Gothic" w:eastAsia="Malgun Gothic" w:cs="Malgun Gothic"/>
        </w:rPr>
        <w:t>배정한다</w:t>
      </w:r>
      <w:r>
        <w:rPr>
          <w:rFonts w:ascii="Times New Roman" w:hAnsi="Times New Roman" w:eastAsia="Times New Roman" w:cs="Times New Roman"/>
        </w:rPr>
        <w:t xml:space="preserve">. </w:t>
      </w:r>
      <w:r>
        <w:rPr>
          <w:rFonts w:ascii="Malgun Gothic" w:hAnsi="Malgun Gothic" w:eastAsia="Malgun Gothic" w:cs="Malgun Gothic"/>
        </w:rPr>
        <w:t>스미스는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구절이</w:t>
      </w:r>
      <w:r>
        <w:rPr>
          <w:rFonts w:ascii="Times New Roman" w:hAnsi="Times New Roman" w:eastAsia="Times New Roman" w:cs="Times New Roman"/>
        </w:rPr>
        <w:t xml:space="preserve"> ꞌꞌ</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ꞌꞌ</w:t>
      </w:r>
      <w:r>
        <w:rPr>
          <w:rFonts w:ascii="Malgun Gothic" w:hAnsi="Malgun Gothic" w:eastAsia="Malgun Gothic" w:cs="Malgun Gothic"/>
        </w:rPr>
        <w:t>이라고</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바가</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의미하는지</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다루지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단순히</w:t>
      </w:r>
      <w:r>
        <w:rPr>
          <w:rFonts w:ascii="Times New Roman" w:hAnsi="Times New Roman" w:eastAsia="Times New Roman" w:cs="Times New Roman"/>
        </w:rPr>
        <w:t xml:space="preserve"> ꞌꞌ</w:t>
      </w:r>
      <w:r>
        <w:rPr>
          <w:rFonts w:ascii="Malgun Gothic" w:hAnsi="Malgun Gothic" w:eastAsia="Malgun Gothic" w:cs="Malgun Gothic"/>
        </w:rPr>
        <w:t>분노</w:t>
      </w:r>
      <w:r>
        <w:rPr>
          <w:rFonts w:ascii="Times New Roman" w:hAnsi="Times New Roman" w:eastAsia="Times New Roman" w:cs="Times New Roman"/>
        </w:rPr>
        <w:t>ꞌꞌ</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취급하지만</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분노에</w:t>
      </w:r>
      <w:r>
        <w:rPr>
          <w:rFonts w:ascii="Times New Roman" w:hAnsi="Times New Roman" w:eastAsia="Times New Roman" w:cs="Times New Roman"/>
        </w:rPr>
        <w:t xml:space="preserve"> ꞌꞌ</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ꞌꞌ</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있다면</w:t>
      </w:r>
      <w:r>
        <w:rPr>
          <w:rFonts w:ascii="Times New Roman" w:hAnsi="Times New Roman" w:eastAsia="Times New Roman" w:cs="Times New Roman"/>
        </w:rPr>
        <w:t xml:space="preserve">, </w:t>
      </w:r>
      <w:r>
        <w:rPr>
          <w:rFonts w:ascii="Malgun Gothic" w:hAnsi="Malgun Gothic" w:eastAsia="Malgun Gothic" w:cs="Malgun Gothic"/>
        </w:rPr>
        <w:t>문법과</w:t>
      </w:r>
      <w:r>
        <w:rPr>
          <w:rFonts w:ascii="Times New Roman" w:hAnsi="Times New Roman" w:eastAsia="Times New Roman" w:cs="Times New Roman"/>
        </w:rPr>
        <w:t xml:space="preserve"> </w:t>
      </w:r>
      <w:r>
        <w:rPr>
          <w:rFonts w:ascii="Malgun Gothic" w:hAnsi="Malgun Gothic" w:eastAsia="Malgun Gothic" w:cs="Malgun Gothic"/>
        </w:rPr>
        <w:t>논리는</w:t>
      </w:r>
      <w:r>
        <w:rPr>
          <w:rFonts w:ascii="Times New Roman" w:hAnsi="Times New Roman" w:eastAsia="Times New Roman" w:cs="Times New Roman"/>
        </w:rPr>
        <w:t xml:space="preserve"> </w:t>
      </w:r>
      <w:r>
        <w:rPr>
          <w:rFonts w:ascii="Malgun Gothic" w:hAnsi="Malgun Gothic" w:eastAsia="Malgun Gothic" w:cs="Malgun Gothic"/>
        </w:rPr>
        <w:t>분노에</w:t>
      </w:r>
      <w:r>
        <w:rPr>
          <w:rFonts w:ascii="Times New Roman" w:hAnsi="Times New Roman" w:eastAsia="Times New Roman" w:cs="Times New Roman"/>
        </w:rPr>
        <w:t xml:space="preserve"> </w:t>
      </w:r>
      <w:r>
        <w:rPr>
          <w:rFonts w:ascii="Malgun Gothic" w:hAnsi="Malgun Gothic" w:eastAsia="Malgun Gothic" w:cs="Malgun Gothic"/>
        </w:rPr>
        <w:t>적어도</w:t>
      </w:r>
      <w:r>
        <w:rPr>
          <w:rFonts w:ascii="Times New Roman" w:hAnsi="Times New Roman" w:eastAsia="Times New Roman" w:cs="Times New Roman"/>
        </w:rPr>
        <w:t xml:space="preserve"> ꞌꞌ</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ꞌꞌ</w:t>
      </w:r>
      <w:r>
        <w:rPr>
          <w:rFonts w:ascii="Malgun Gothic" w:hAnsi="Malgun Gothic" w:eastAsia="Malgun Gothic" w:cs="Malgun Gothic"/>
        </w:rPr>
        <w:t>도</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요구한다</w:t>
      </w:r>
      <w:r>
        <w:rPr>
          <w:rFonts w:ascii="Times New Roman" w:hAnsi="Times New Roman" w:eastAsia="Times New Roman" w:cs="Times New Roman"/>
        </w:rPr>
        <w:t xml:space="preserve">. </w:t>
      </w:r>
      <w:r>
        <w:rPr>
          <w:rFonts w:ascii="Malgun Gothic" w:hAnsi="Malgun Gothic" w:eastAsia="Malgun Gothic" w:cs="Malgun Gothic"/>
        </w:rPr>
        <w:t>스미스는</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포로</w:t>
      </w:r>
      <w:r>
        <w:rPr>
          <w:rFonts w:ascii="Times New Roman" w:hAnsi="Times New Roman" w:eastAsia="Times New Roman" w:cs="Times New Roman"/>
        </w:rPr>
        <w:t xml:space="preserve"> </w:t>
      </w:r>
      <w:r>
        <w:rPr>
          <w:rFonts w:ascii="Malgun Gothic" w:hAnsi="Malgun Gothic" w:eastAsia="Malgun Gothic" w:cs="Malgun Gothic"/>
        </w:rPr>
        <w:t>생활이</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606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느부갓네살이</w:t>
      </w:r>
      <w:r>
        <w:rPr>
          <w:rFonts w:ascii="Times New Roman" w:hAnsi="Times New Roman" w:eastAsia="Times New Roman" w:cs="Times New Roman"/>
        </w:rPr>
        <w:t xml:space="preserve"> </w:t>
      </w:r>
      <w:r>
        <w:rPr>
          <w:rFonts w:ascii="Malgun Gothic" w:hAnsi="Malgun Gothic" w:eastAsia="Malgun Gothic" w:cs="Malgun Gothic"/>
        </w:rPr>
        <w:t>여호야김을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공격했을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시작되었다는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있었지만</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시작점을</w:t>
      </w:r>
      <w:r>
        <w:rPr>
          <w:rFonts w:ascii="Times New Roman" w:hAnsi="Times New Roman" w:eastAsia="Times New Roman" w:cs="Times New Roman"/>
        </w:rPr>
        <w:t xml:space="preserve"> </w:t>
      </w:r>
      <w:r>
        <w:rPr>
          <w:rFonts w:ascii="Malgun Gothic" w:hAnsi="Malgun Gothic" w:eastAsia="Malgun Gothic" w:cs="Malgun Gothic"/>
        </w:rPr>
        <w:t>느부갓네살의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공격</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시드기야를</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감행된</w:t>
      </w:r>
      <w:r>
        <w:rPr>
          <w:rFonts w:ascii="Times New Roman" w:hAnsi="Times New Roman" w:eastAsia="Times New Roman" w:cs="Times New Roman"/>
        </w:rPr>
        <w:t xml:space="preserve"> </w:t>
      </w:r>
      <w:r>
        <w:rPr>
          <w:rFonts w:ascii="Malgun Gothic" w:hAnsi="Malgun Gothic" w:eastAsia="Malgun Gothic" w:cs="Malgun Gothic"/>
        </w:rPr>
        <w:t>공격으로</w:t>
      </w:r>
      <w:r>
        <w:rPr>
          <w:rFonts w:ascii="Times New Roman" w:hAnsi="Times New Roman" w:eastAsia="Times New Roman" w:cs="Times New Roman"/>
        </w:rPr>
        <w:t xml:space="preserve"> </w:t>
      </w:r>
      <w:r>
        <w:rPr>
          <w:rFonts w:ascii="Malgun Gothic" w:hAnsi="Malgun Gothic" w:eastAsia="Malgun Gothic" w:cs="Malgun Gothic"/>
        </w:rPr>
        <w:t>정하였다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“Мадагаскар [Даниел]-ын эртний амьдралын талаар бусад аль ч эш үзүүлэгчийн тухай тэмдэглэгдсэнээс илүү нарийн мэдээ бидэнд байгаа боловч, тэр хааны угсааных, магадгүй тэр үед үлэмж олширсон Давидын гэрийн хүн байсан гэдгээс өөрөөр түүний төрөлт, угсаа гарвал бүрэн харанхуйд үлджээ. Тэрээр Вавилоны хаан Небухаднезарын хаанчлалын эхний жилд, далан жилийн олзлогдлын эхэн үед, МЭӨ 606 онд Иудагийн язгууртан олзлогдогсдын нэгэн адил анх гарч ирдэг. Иеремиа болон Хабаккук эш үзүүллэгүүдээ хараахан айлдсаар байв. Езекиел удалгүй эхэлж, түүнээс жаахан хожим Обадиа ч мөн эхэлсэн; гэвч энэ хоёрын аль аль нь Даниелын урт бөгөөд алдар суугаар дүүрэн замналын төгсгөлөөс олон жилийн өмнө ажлаа дуусгасан юм. Түүний дараа ердөө гурван эш үзүүлэгч гарч ирсэн нь, МЭӨ 520–518 онд богино хугацаанд нэгэн цагт эш үзүүлэгчийн албыг хашсан Хаггай ба Зехариа, мөн Хуучин Гэрээний эш үзүүлэгчдийн сүүлчийнх болох Малахи бөгөөд тэр МЭӨ 397 оны орчимд хэсэг хугацаанд цэцэглэн мандаж байв.” Uriah Smith, Daniel and the Revelation, 19.</w:t>
      </w:r>
    </w:p>
    <w:p>
      <w:pPr>
        <w:pStyle w:val="ArticleBody"/>
        <w:jc w:val="left"/>
      </w:pPr>
      <w:r>
        <w:rPr>
          <w:rFonts w:ascii="Times New Roman" w:hAnsi="Times New Roman" w:eastAsia="Times New Roman" w:cs="Times New Roman"/>
        </w:rPr>
        <w:t>Smith alitambua kwa usahihi “ghadhabu” ya aya ya kumi na tisa kuwa ni kipindi cha wakati. Alikitambua kwa usahihi kipindi hicho kuwa ni kukanyagwa chini kwa patakatifu na jeshi kwa kulingana na Danieli sura ya nane aya ya kumi na tatu, na alitambua kwa usahihi mwisho wake kuwa ni Oktoba 22, 1844.</w:t>
      </w:r>
    </w:p>
    <w:p>
      <w:pPr>
        <w:pStyle w:val="ArticleBody"/>
        <w:jc w:val="left"/>
      </w:pPr>
      <w:r>
        <w:rPr>
          <w:rFonts w:ascii="Times New Roman" w:hAnsi="Times New Roman" w:eastAsia="Times New Roman" w:cs="Times New Roman"/>
        </w:rPr>
        <w:t>Smith alikuwa sahihi kwa sehemu, lakini alikosa ukweli kwa kufanya kile kilichokuwa tabia ya matumizi yake ya unabii. Aliruhusu historia iongoze tafsiri yake ya neno la unabii, badala ya kuliruhusu neno la unabii liongoze ufahamu wake wa historia. Tukiruhusu Biblia ifafanue historia ya unabii, basi tunakuwa na taarifa sahihi za kuikabili historia.</w:t>
      </w:r>
    </w:p>
    <w:p>
      <w:pPr>
        <w:pStyle w:val="ArticleBody"/>
        <w:jc w:val="left"/>
      </w:pPr>
      <w:r>
        <w:rPr>
          <w:rFonts w:ascii="Times New Roman" w:hAnsi="Times New Roman" w:eastAsia="Times New Roman" w:cs="Times New Roman"/>
        </w:rPr>
        <w:t>La Bible enseigne que celui par qui un homme est vaincu, de celui-là il est l’esclave.</w:t>
      </w:r>
    </w:p>
    <w:p>
      <w:pPr>
        <w:pStyle w:val="ArticleScripture"/>
        <w:jc w:val="left"/>
      </w:pPr>
      <w:r>
        <w:rPr>
          <w:rFonts w:ascii="Times New Roman" w:hAnsi="Times New Roman" w:eastAsia="Times New Roman" w:cs="Times New Roman"/>
        </w:rPr>
        <w:t>En leur promettant la liberté, eux-mêmes sont esclaves de la corruption; car chacun est esclave de ce qui a triomphé de lui. 2 Pierre 2:19.</w:t>
      </w:r>
    </w:p>
    <w:p>
      <w:pPr>
        <w:pStyle w:val="ArticleBody"/>
        <w:jc w:val="left"/>
      </w:pPr>
      <w:r>
        <w:rPr>
          <w:rFonts w:ascii="Times New Roman" w:hAnsi="Times New Roman" w:eastAsia="Times New Roman" w:cs="Times New Roman"/>
        </w:rPr>
        <w:t>Manasseh wurde 677 v. Chr. nach Babylon gefangen weggeführt. Dort wurde Juda überwältigt und in Knechtschaft gebracht. Dies ist der Ausgangspunkt, der sowohl auf der Karte von 1843 als auch auf der von 1850 dargestellt ist, welche Schwester White als richtig bestätigt. Smith setzt das Zertreten in Daniel Kapitel acht, Vers dreizehn, bei Zedekia an, dem letzten der Könige Judas. Zedekia war das Ende eines fortschreitenden Gerichts und nicht dessen Anfang. Schwester White weist darauf hin, dass Manasses Gefangenschaft in Babylon ein „Unterpfand“ dessen war, was noch kommen sollte. Ein „Unterpfand“ ist eine Anzahlung und kennzeichnet den Beginn eines Erwerbs, auf den weitere Zahlungen folgen.</w:t>
      </w:r>
    </w:p>
    <w:p>
      <w:pPr>
        <w:pStyle w:val="ArticleScripture"/>
        <w:jc w:val="left"/>
      </w:pPr>
      <w:r>
        <w:rPr>
          <w:rFonts w:ascii="Nirmala UI" w:hAnsi="Nirmala UI" w:eastAsia="Nirmala UI" w:cs="Nirmala UI"/>
        </w:rPr>
        <w:t>सच्</w:t>
      </w:r>
      <w:r>
        <w:rPr>
          <w:rFonts w:ascii="Times New Roman" w:hAnsi="Times New Roman" w:eastAsia="Times New Roman" w:cs="Times New Roman"/>
        </w:rPr>
        <w:t>‍</w:t>
      </w:r>
      <w:r>
        <w:rPr>
          <w:rFonts w:ascii="Nirmala UI" w:hAnsi="Nirmala UI" w:eastAsia="Nirmala UI" w:cs="Nirmala UI"/>
        </w:rPr>
        <w:t>चाईपूर्वक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चेतावनियाँ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प्रेरणाएँ</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निडर</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मनश्शे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पूर्वचिन्ह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अप्रायश्चित</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बीतेगी</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बेड़ियों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जकड़कर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अस्थायी</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मनश्शे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 </w:t>
      </w:r>
      <w:r>
        <w:rPr>
          <w:rFonts w:ascii="Nirmala UI" w:hAnsi="Nirmala UI" w:eastAsia="Nirmala UI" w:cs="Nirmala UI"/>
        </w:rPr>
        <w:t>इतिहास</w:t>
      </w:r>
      <w:r>
        <w:rPr>
          <w:rFonts w:ascii="Times New Roman" w:hAnsi="Times New Roman" w:eastAsia="Times New Roman" w:cs="Times New Roman"/>
        </w:rPr>
        <w:t xml:space="preserve"> 33:11–13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उल्लेखनीय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आचरण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भ्रष्टकारी</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382</w:t>
      </w:r>
      <w:r>
        <w:rPr>
          <w:rFonts w:ascii="Nirmala UI" w:hAnsi="Nirmala UI" w:eastAsia="Nirmala UI" w:cs="Nirmala UI"/>
        </w:rPr>
        <w:t>।</w:t>
      </w:r>
    </w:p>
    <w:p>
      <w:pPr>
        <w:pStyle w:val="ArticleBody"/>
        <w:jc w:val="left"/>
      </w:pPr>
      <w:r>
        <w:rPr>
          <w:rFonts w:ascii="Times New Roman" w:hAnsi="Times New Roman" w:eastAsia="Times New Roman" w:cs="Times New Roman"/>
        </w:rPr>
        <w:t>Manaseh menandai “uang muka” yang memulai “kutuk” dari “tujuh masa,” yaitu “murka” yang terakhir, sebab “murka” yang pertama telah dimulai ketika kerajaan utara dibawa ke dalam pembuangan pada tahun 723 SM. Kemudian pada saat kejatuhan Yoyakim, ketika Daniel dibawa ke dalam pembuangan, dimulailah tujuh puluh tahun masa pembuangan yang dinyatakan oleh Yeremia, yaitu pada tahun 606 SM. Dua raja sesudah Yoyakim, Yerusalem dihancurkan dan raja Yehuda yang terakhir, Zedekia, menyaksikan anak-anaknya dibunuh di depan matanya, lalu matanya dicungkil dan ia dibawa sebagai tawanan ke Babel.</w:t>
      </w:r>
    </w:p>
    <w:p>
      <w:pPr>
        <w:pStyle w:val="ArticleBody"/>
        <w:jc w:val="left"/>
      </w:pPr>
      <w:r>
        <w:rPr>
          <w:rFonts w:ascii="Times New Roman" w:hAnsi="Times New Roman" w:eastAsia="Times New Roman" w:cs="Times New Roman"/>
        </w:rPr>
        <w:t>Smith assigna tout le jugement progressif à Sédécias et employa le jugement de Sédécias comme texte probant de sa supposition. Le jugement de Sédécias, qui était le « prince profane et impie », indiquait bien que la couronne de Juda devait être ôtée jusqu’à ce que Christ vînt établir un royaume. Smith dit : « ils sont assujettis à des puissances terrestres, et le seront jusqu’à ce que le trône de David soit de nouveau établi, — jusqu’à ce que Celui qui en est l’héritier légitime, le Messie, le Prince de paix, vienne, et alors il lui sera donné. » Le 22 octobre 1844, en accomplissement de Daniel chapitre sept, versets treize et quatorze, Christ, représenté comme le Fils de l’homme, vint devant le Père pour recevoir un royaume.</w:t>
      </w:r>
    </w:p>
    <w:p>
      <w:pPr>
        <w:pStyle w:val="ArticleScripture"/>
        <w:jc w:val="left"/>
      </w:pPr>
      <w:r>
        <w:rPr>
          <w:rFonts w:ascii="Times New Roman" w:hAnsi="Times New Roman" w:eastAsia="Times New Roman" w:cs="Times New Roman"/>
        </w:rPr>
        <w:t>I saw in the night visions, and, behold, one like the Son of man came with the clouds of heaven, and came to the Ancient of days, and they brought him near before him. And there was given him dominion, and glory, and a kingdom, that all people, nations, and languages, should serve him: his dominion is an everlasting dominion, which shall not pass away, and his kingdom that which shall not be destroyed. Daniel 7:13, 14.</w:t>
      </w:r>
    </w:p>
    <w:p>
      <w:pPr>
        <w:pStyle w:val="ArticleBody"/>
        <w:jc w:val="left"/>
      </w:pPr>
      <w:r>
        <w:rPr>
          <w:rFonts w:ascii="Times New Roman" w:hAnsi="Times New Roman" w:eastAsia="Times New Roman" w:cs="Times New Roman"/>
        </w:rPr>
        <w:t>Sœur White confirme que Daniel, chapitre sept, versets treize et quatorze, se sont accomplis le 22 octobre 1844.</w:t>
      </w:r>
    </w:p>
    <w:p>
      <w:pPr>
        <w:pStyle w:val="ArticleScripture"/>
        <w:jc w:val="left"/>
      </w:pPr>
      <w:r>
        <w:rPr>
          <w:rFonts w:ascii="Times New Roman" w:hAnsi="Times New Roman" w:eastAsia="Times New Roman" w:cs="Times New Roman"/>
        </w:rPr>
        <w:t>« Kristi ankomst som vår överstepräst till det allra heligaste för att rena helgedomen, sådan den framställs i Daniel 8:14; Människosonens ankomst till den Gamle av dagar, såsom den återges i Daniel 7:13; och Herrens ankomst till sitt tempel, förutsagd av Malaki, är beskrivningar av samma händelse; och denna framställs också genom brudgummens ankomst till bröllopet, sådan Kristus beskriver den i liknelsen om de tio jungfrurna i Matteus 25. » The Great Controversy, 426.</w:t>
      </w:r>
    </w:p>
    <w:p>
      <w:pPr>
        <w:pStyle w:val="ArticleBody"/>
        <w:jc w:val="left"/>
      </w:pPr>
      <w:r>
        <w:rPr>
          <w:rFonts w:ascii="Times New Roman" w:hAnsi="Times New Roman" w:eastAsia="Times New Roman" w:cs="Times New Roman"/>
        </w:rPr>
        <w:t>Smith ha obviado el elemento clave del «fin postrero de la indignación». Eludió el principio bíblico que identificaba que Judá fue sometido en tiempo de Manasés, y que el cautiverio que comenzó dos reyes antes de Sedequías también representaba que Judá ya estaba bajo sujeción a Babilonia, antes de que Sedequías encontrara su destino. Con estas omisiones flagrantes, aun así declaró: «aquí está el período de la indignación de Dios contra su pueblo del pacto; el período durante el cual el santuario y el ejército han de ser hollados». Por lo tanto, asocia directamente «el período de la indignación de Dios» con la pregunta de Daniel capítulo ocho, versículo trece: «¿hasta cuándo?». La respuesta en el versículo catorce era: hasta el 22 de octubre de 1844.</w:t>
      </w:r>
    </w:p>
    <w:p>
      <w:pPr>
        <w:pStyle w:val="ArticleBody"/>
        <w:jc w:val="left"/>
      </w:pPr>
      <w:r>
        <w:rPr>
          <w:rFonts w:ascii="Times New Roman" w:hAnsi="Times New Roman" w:eastAsia="Times New Roman" w:cs="Times New Roman"/>
        </w:rPr>
        <w:t>Kuparaganyika kwenda katika utumwa wa Babeli kulikuwa historia ya hatua kwa hatua iliyoanza mwaka 677 KK, na kuendelea hadi 1844. Kipindi hicho ni sawa na miaka elfu mbili mia tano na ishirini, ambayo bila shaka ni “nyakati saba” za Mambo ya Walawi ishirini na sita. Mwisho wa kipindi hicho cha wakati tarehe 22 Oktoba, 1844, ulimpa Danieli shahidi wa pili kwa “maono ya mar’eh” ya jioni na asubuhi elfu mbili mia tatu.</w:t>
      </w:r>
    </w:p>
    <w:p>
      <w:pPr>
        <w:pStyle w:val="ArticleBody"/>
        <w:jc w:val="left"/>
      </w:pPr>
      <w:r>
        <w:rPr>
          <w:rFonts w:ascii="Times New Roman" w:hAnsi="Times New Roman" w:eastAsia="Times New Roman" w:cs="Times New Roman"/>
        </w:rPr>
        <w:t>جابریل کو یہ حکم دیا گیا کہ وہ دانی ایل کو اُس رُؤیا کی سمجھ بخشے، اور جابریل نے جو کچھ کیا وہ 22 اکتوبر 1844 کی اختتامی تاریخ کے لیے ایک دوسری گواہی فراہم کرنا تھا۔ اُس نے نہ صرف دونوں زمانی نبوتوں کی تکمیلات کی تاریخ کو قائم کرنے کے لیے ایک دوسری گواہی فراہم کی، بلکہ جیسا کہ اسمتھ نے درست طور پر نشان دہی کی، 1844 کے لیے اُس دوسری گواہی سے متعلق زمانی مدت کو آیت تیرہ میں اُس مدت کے طور پر معین کیا گیا تھا جس کے دوران مقدِس اور لشکر کو پاؤں تلے روندے جانے کے لیے سونپا جانا تھا۔ آیت تیرہ میں سوال یہ ہے: “رُؤیا، یعنی دائمی قربانی اور ویرانی کی سرکشی کے بارے میں، کب تک رہے گی، تاکہ مقدِس اور لشکر دونوں پاؤں تلے روندے جائیں؟” وہ زمانی مدت احبار چھبیس کے “سات زمانے” تھے۔</w:t>
      </w:r>
    </w:p>
    <w:p>
      <w:pPr>
        <w:pStyle w:val="ArticleBody"/>
        <w:jc w:val="left"/>
      </w:pPr>
      <w:r>
        <w:rPr>
          <w:rFonts w:ascii="Times New Roman" w:hAnsi="Times New Roman" w:eastAsia="Times New Roman" w:cs="Times New Roman"/>
        </w:rPr>
        <w:t>e nga Smith pa, ose shmangu ta identifikonte, ishte se “indinjata” e vargut nëntëmbëdhjetë, ishte “fundi i fundit” i asaj indinjate. Nëse ka një “të fundit”, atëherë ka edhe një “të parë”, dhe Danieli përcakton se kur përfundoi “indinjata e parë”, në kapitullin njëmbëdhjetë. Ai po identifikon papatin që sundonte gjatë Mesjetës së Errët, dhe pohon se papati do të përparonte derisa indinjata të përmbushej, ose të përfundonte.</w:t>
      </w:r>
    </w:p>
    <w:p>
      <w:pPr>
        <w:pStyle w:val="ArticleScripture"/>
        <w:jc w:val="left"/>
      </w:pPr>
      <w:r>
        <w:rPr>
          <w:rFonts w:ascii="Times New Roman" w:hAnsi="Times New Roman" w:eastAsia="Times New Roman" w:cs="Times New Roman"/>
        </w:rPr>
        <w:t>Atuŋa naŋ ā bo-vo bo-de ŋu wɔn mii; ā bo-zi e-sɛ́bɛ nɛ, ā bo-le e-sɛ́bɛ nɛ kɛ ɔ-lɔŋ mvuu; ā bo-yɛl nyɛl nyɛl maŋgane mbɔŋ ɲam ɲam mɔ Ŋaŋ Ŋam, ā bo-kɔlɛ nɛ mvu mii kɛ ǎ-bɔnɛ́l ìkàŋ ìtɔɔ; kɛsɛ àjɔŋ a-kɔŋ a-nyɛlɛ bo-ba. Daniel 11:36.</w:t>
      </w:r>
    </w:p>
    <w:p>
      <w:pPr>
        <w:pStyle w:val="ArticleBody"/>
        <w:jc w:val="left"/>
      </w:pPr>
      <w:r>
        <w:rPr>
          <w:rFonts w:ascii="Times New Roman" w:hAnsi="Times New Roman" w:eastAsia="Times New Roman" w:cs="Times New Roman"/>
        </w:rPr>
        <w:t>Le verset trente-six est généralement compris comme étant le verset que l’apôtre Paul paraphrase dans sa seconde lettre aux Thessaloniciens.</w:t>
      </w:r>
    </w:p>
    <w:p>
      <w:pPr>
        <w:pStyle w:val="ArticleScripture"/>
        <w:jc w:val="left"/>
      </w:pPr>
      <w:r>
        <w:rPr>
          <w:rFonts w:ascii="Times New Roman" w:hAnsi="Times New Roman" w:eastAsia="Times New Roman" w:cs="Times New Roman"/>
        </w:rPr>
        <w:t>Маба нека никой да ви мами по никакъв начин; защото този ден няма да настъпи, докато първо не дойде отстъплението и не се открие човекът на греха, синът на погибелта; който се противи и превъзнася себе си над всичко, което се нарича Бог или на което се отдава поклонение, тъй че той като Бог сяда в Божия храм и представя себе си за Бог. 2 Солунци 2:3, 4.</w:t>
      </w:r>
    </w:p>
    <w:p>
      <w:pPr>
        <w:pStyle w:val="ArticleBody"/>
        <w:jc w:val="left"/>
      </w:pPr>
      <w:r>
        <w:rPr>
          <w:rFonts w:ascii="Times New Roman" w:hAnsi="Times New Roman" w:eastAsia="Times New Roman" w:cs="Times New Roman"/>
        </w:rPr>
        <w:t>“</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पावलले</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पूजिने</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इच्छाअनुसार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देवताभन्दा</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ठहराउनेछ।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खण्डहरूले</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पोपलाई</w:t>
      </w:r>
      <w:r>
        <w:rPr>
          <w:rFonts w:ascii="Times New Roman" w:hAnsi="Times New Roman" w:eastAsia="Times New Roman" w:cs="Times New Roman"/>
        </w:rPr>
        <w:t xml:space="preserve"> </w:t>
      </w:r>
      <w:r>
        <w:rPr>
          <w:rFonts w:ascii="Nirmala UI" w:hAnsi="Nirmala UI" w:eastAsia="Nirmala UI" w:cs="Nirmala UI"/>
        </w:rPr>
        <w:t>जनाउँछन्।</w:t>
      </w:r>
      <w:r>
        <w:rPr>
          <w:rFonts w:ascii="Times New Roman" w:hAnsi="Times New Roman" w:eastAsia="Times New Roman" w:cs="Times New Roman"/>
        </w:rPr>
        <w:t xml:space="preserve"> </w:t>
      </w:r>
      <w:r>
        <w:rPr>
          <w:rFonts w:ascii="Nirmala UI" w:hAnsi="Nirmala UI" w:eastAsia="Nirmala UI" w:cs="Nirmala UI"/>
        </w:rPr>
        <w:t>दानियलले</w:t>
      </w:r>
      <w:r>
        <w:rPr>
          <w:rFonts w:ascii="Times New Roman" w:hAnsi="Times New Roman" w:eastAsia="Times New Roman" w:cs="Times New Roman"/>
        </w:rPr>
        <w:t xml:space="preserve"> </w:t>
      </w:r>
      <w:r>
        <w:rPr>
          <w:rFonts w:ascii="Nirmala UI" w:hAnsi="Nirmala UI" w:eastAsia="Nirmala UI" w:cs="Nirmala UI"/>
        </w:rPr>
        <w:t>लेख्छन्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नहोउञ्जेल</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बढिरहनेछ।</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घाइते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Upapa ulipokea “jeraha lake la mauti” mwaka wa 1798, na katika wakati huo “ghadhabu ya kwanza” ilikamilishwa au ikakatizwa. Neno “kukamilisha” humaanisha kufikia mwisho au kukoma. Mwisho wa “ghadhabu” katika sura ya nane, na aya ya kumi na tisa ulitambulisha mwisho wa kipindi ambacho patakatifu na jeshi walipaswa kukanyagwa chini. Huo uliishia mwaka wa 1844, lakini “ghadhabu” ya “kwanza” iliishia mwaka wa 1798.</w:t>
      </w:r>
    </w:p>
    <w:p>
      <w:pPr>
        <w:pStyle w:val="ArticleBody"/>
        <w:jc w:val="left"/>
      </w:pPr>
      <w:r>
        <w:rPr>
          <w:rFonts w:ascii="Times New Roman" w:hAnsi="Times New Roman" w:eastAsia="Times New Roman" w:cs="Times New Roman"/>
        </w:rPr>
        <w:t>“Jama ya mwisho” ilikoma mwaka 1844, miaka elfu mbili mia tano na ishirini baada ya mfalme Manase kupelekwa Babeli na Waashuru mwaka 677 KK. “Jama ya kwanza” ilikoma mwaka 1798, miaka elfu mbili mia tano na ishirini baada ya ufalme wa kaskazini wa Israeli kuchukuliwa utumwani na Waashuru mwaka 723 KK.</w:t>
      </w:r>
    </w:p>
    <w:p>
      <w:pPr>
        <w:pStyle w:val="ArticleBody"/>
        <w:jc w:val="left"/>
      </w:pPr>
      <w:r>
        <w:rPr>
          <w:rFonts w:ascii="Times New Roman" w:hAnsi="Times New Roman" w:eastAsia="Times New Roman" w:cs="Times New Roman"/>
        </w:rPr>
        <w:t>Waxaa jira wax ka badan oo laga odhan karo “toddobada goor” ee qarsoon ee ku jira kitaabka Daanyeel, arrintaasna waxaan kaga hadli doonnaa maqaalkeenna xiga.</w:t>
      </w:r>
    </w:p>
    <w:p>
      <w:pPr>
        <w:pStyle w:val="ArticleScripture"/>
        <w:jc w:val="left"/>
      </w:pPr>
      <w:r>
        <w:rPr>
          <w:rFonts w:ascii="Times New Roman" w:hAnsi="Times New Roman" w:eastAsia="Times New Roman" w:cs="Times New Roman"/>
        </w:rPr>
        <w:t>«И Ангелу Лаодикийской церкви напиши: так говорит Аминь, свидетель верный и истинный, начало создания Божия: знаю твои дела; ты ни холоден, ни горяч; о, если бы ты был холоден или горяч! Но как ты тёпл, а не горяч и не холоден, то извергну тебя из уст Моих. Ибо ты говоришь: “я богат, разбогател и ни в чём не имею нужды”; а не знаешь, что ты несчастен, и жалок, и нищ, и слеп, и наг».</w:t>
      </w:r>
    </w:p>
    <w:p>
      <w:pPr>
        <w:pStyle w:val="ArticleScripture"/>
        <w:jc w:val="left"/>
      </w:pPr>
      <w:r>
        <w:rPr>
          <w:rFonts w:ascii="Times New Roman" w:hAnsi="Times New Roman" w:eastAsia="Times New Roman" w:cs="Times New Roman"/>
        </w:rPr>
        <w:t>“Ne hianhyɛfoɔ a Wafrɛ wɔn sɛ wɔnkɔbɔ Ne nkurɔfoɔ kɔkɔ no so nkra a ɛnsɛ sɛ wɔsoa kɔma Ne nkurɔfoɔ no nyɛ asomdwoeɛ ne ahotɔ nkra. Ɛnyɛ adwene mu nkyerɛkyerɛ kɛkɛ, na mmom ɛyɛ adeyɛ mu nokorɛ wɔ ne nkyekyɛmu biara mu. Wɔde Onyankopɔn nkurɔfoɔ a wɔwɔ Laodikeafoɔ no nkra mu no kyerɛ sɛ wɔwɔ honam mu banbɔbea mu. Wɔte wɔn ho so, na wɔgye di sɛ wɔadu honhom mu nkɔsoɔ atifi gyinabea bi mu. ‘Ɛfiri sɛ wokae sɛ, Meyɛ ɔdefoɔ, na manyini wɔ ahonyadeɛ mu, na hwee nhia me; na wonnim sɛ woyɛ ɔmmɔborɔni, ne ɔyawni, ne ohiani, ne onifiraefoɔ, ne adagya.’”</w:t>
      </w:r>
    </w:p>
    <w:p>
      <w:pPr>
        <w:pStyle w:val="ArticleScripture"/>
        <w:jc w:val="left"/>
      </w:pPr>
      <w:r>
        <w:rPr>
          <w:rFonts w:ascii="Times New Roman" w:hAnsi="Times New Roman" w:eastAsia="Times New Roman" w:cs="Times New Roman"/>
        </w:rPr>
        <w:t>«Quel plus grand égarement peut s’emparer de l’esprit humain qu’une assurance d’avoir raison alors qu’on a entièrement tort ! Le message du Témoin fidèle trouve le peuple de Dieu dans une triste séduction, tout en étant sincère dans cette séduction. Ils ne savent pas que leur condition est déplorable aux yeux de Dieu. Tandis que ceux à qui ce message s’adresse se flattent d’être dans un état spirituel élevé, le message du Témoin fidèle brise leur sécurité par la dénonciation saisissante de leur véritable condition de cécité spirituelle, de pauvreté et de misère. Le témoignage, si incisif et si sévère, ne peut être une erreur, car c’est le Témoin fidèle qui parle, et son témoignage doit être exact. »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Trois</dc:title>
  <dc:subject>Deux visions</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