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Quatre</w:t>
      </w:r>
    </w:p>
    <w:p>
      <w:pPr>
        <w:pStyle w:val="ArticleSubtitle"/>
        <w:jc w:val="left"/>
      </w:pPr>
      <w:r>
        <w:rPr>
          <w:rFonts w:ascii="Arial" w:hAnsi="Arial" w:eastAsia="Arial" w:cs="Arial"/>
        </w:rPr>
        <w:t>Le Fil à plomb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Nous traitons des « sept temps » de Lévitique vingt-six tels qu’ils sont représentés dans le livre de Daniel. Nous le faisons parce que l’une des caractéristiques prophétiques des « sept temps » est qu’ils représentent la « pierre d’achoppement » qu’ont rejetée ceux qui bâtissaient. Je définis la pierre d’achoppement représentée dans les Écritures comme une vérité qui peut être vue, mais qui ne l’est pas. Pour ceux qui la voient, elle est précieuse; mais pour ceux qui ne la voient pas, elle n’est pas seulement ce sur quoi ils trébuchent, mais la pierre même qui les réduit en poudre.</w:t>
      </w:r>
    </w:p>
    <w:p>
      <w:pPr>
        <w:pStyle w:val="ArticleBody"/>
        <w:jc w:val="left"/>
      </w:pPr>
      <w:r>
        <w:rPr>
          <w:rFonts w:ascii="Times New Roman" w:hAnsi="Times New Roman" w:eastAsia="Times New Roman" w:cs="Times New Roman"/>
        </w:rPr>
        <w:t>Sa dihang gipresentar ni Cristo ang bato nga gisalikway sa mga magtutukod, iyang gipaila nga ang pamag-ang nga bato mahimong “ulo” sa pamag-ang. Ang mensahe sa gisalikway nga bato diha sa mga Kasulatan sa kanunay may kalabotan sa paglabay sa Dios sa usa ka kanhing katawhan sa pakigsaad, samtang sa mao rang higayon ang Dios nagasulod sa pakigsaad uban sa usa ka katawhan nga kaniadto dili man mao ang katawhan sa Dios.</w:t>
      </w:r>
    </w:p>
    <w:p>
      <w:pPr>
        <w:pStyle w:val="ArticleScripture"/>
        <w:jc w:val="left"/>
      </w:pPr>
      <w:r>
        <w:rPr>
          <w:rFonts w:ascii="Times New Roman" w:hAnsi="Times New Roman" w:eastAsia="Times New Roman" w:cs="Times New Roman"/>
        </w:rPr>
        <w:t>Yesu akawaambia, Je, hamjapata kusoma kamwe katika Maandiko, Jiwe walilolikataa waashi, ndilo limekuwa jiwe kuu la pembeni; hili limetoka kwa Bwana, nalo ni la ajabu machoni petu? Kwa hiyo nawaambia, Ufalme wa Mungu utaondolewa kwenu, nao utapewa taifa lizaalo matunda yake. Na ye yote atakayeanguka juu ya jiwe hili atavunjika; lakini ye yote ambalo litamwangukia, litamsaga awe mavumbi. Mathayo 21:42–44.</w:t>
      </w:r>
    </w:p>
    <w:p>
      <w:pPr>
        <w:pStyle w:val="ArticleBody"/>
        <w:jc w:val="left"/>
      </w:pPr>
      <w:r>
        <w:rPr>
          <w:rFonts w:ascii="Times New Roman" w:hAnsi="Times New Roman" w:eastAsia="Times New Roman" w:cs="Times New Roman"/>
        </w:rPr>
        <w:t>Le premier « temps prophétique » auquel William Miller fut conduit par les saints anges fut les « sept temps » de Lévitique vingt-six. L’adventisme laodicéen commença le processus de démolition des vérités fondamentales que le Seigneur avait rassemblées par le ministère de Miller en rejetant la toute première des découvertes de Miller. Bien entendu, toute illustration prophétique d’un fondement sacré est une illustration de Christ, qui est « la Pierre » ; ainsi, le rejet des « sept temps » en 1863 identifie non seulement le commencement du processus de rejet des vérités fondamentales, mais il représente aussi un rejet de Christ. Comme dans le témoignage du Christ au sujet de la pierre rejetée, Pierre aussi identifie que l’une des prophéties liées à la pierre de fondement est qu’elle deviendrait finalement « la principale de l’angle ».</w:t>
      </w:r>
    </w:p>
    <w:p>
      <w:pPr>
        <w:pStyle w:val="ArticleScripture"/>
        <w:jc w:val="left"/>
      </w:pPr>
      <w:r>
        <w:rPr>
          <w:rFonts w:ascii="Times New Roman" w:hAnsi="Times New Roman" w:eastAsia="Times New Roman" w:cs="Times New Roman"/>
        </w:rPr>
        <w:t>Ndokusho kuli so chi li mu Malembo, ati, Onani, ndiika mu Sioni mwala wa pa ngodya waukulu, wosankhika, wamtengo wapatali; ndipo iye wokhulupirira mwa Iye sadzachita manyazi. Chotero kwa inu okhulupirira Iye ndi wamtengo wapatali; koma kwa iwo osamvera, mwala umene omanga anaikana, womwewo wasanduka mutu wa pa ngodya, Ndiponso mwala wokhumudwitsa, ndi thanthwe la chokhumudwitsa, kwa iwo amene akhumudwa pa mawuwo, pokhala osamvera: kumeneko ndiko analinganizidwira. Koma inu ndinu mbadwo wosankhika, ansembe a ufumu, mtundu wopatulika, anthu ake eniake; kuti mulalikire matamando a Iye amene anakuitanani mutuluke mu mdima mulowe m’kuunika Kwake kodabwitsa: Inu amene kale simunali anthu, koma tsopano muli anthu a Mulungu: amene simunalandire chifundo, koma tsopano mwalandira chifundo. 1 Petro 2:6–8.</w:t>
      </w:r>
    </w:p>
    <w:p>
      <w:pPr>
        <w:pStyle w:val="ArticleBody"/>
        <w:jc w:val="left"/>
      </w:pPr>
      <w:r>
        <w:rPr>
          <w:rFonts w:ascii="Times New Roman" w:hAnsi="Times New Roman" w:eastAsia="Times New Roman" w:cs="Times New Roman"/>
        </w:rPr>
        <w:t>La pierre de fondement au commencement de l’adventisme devient la principale de l’angle. Ésaïe est d’accord avec Christ et Pierre, et Ésaïe emploie la pierre de fondement pour représenter un peuple d’alliance qui est mis de côté au profit d’un nouveau peuple d’alliance. Dans son témoignage, il représente une catégorie de personnes qui a fait alliance avec la mort et qui a reçu un mensonge. Le mensonge qu’ils reçoivent est celui que Paul identifie comme amenant une puissante séduction sur ceux qui font alliance avec la mort, parce qu’ils n’ont pas reçu l’amour de la vérité.</w:t>
      </w:r>
    </w:p>
    <w:p>
      <w:pPr>
        <w:pStyle w:val="ArticleScripture"/>
        <w:jc w:val="left"/>
      </w:pPr>
      <w:r>
        <w:rPr>
          <w:rFonts w:ascii="Times New Roman" w:hAnsi="Times New Roman" w:eastAsia="Times New Roman" w:cs="Times New Roman"/>
        </w:rPr>
        <w:t>Amonai, klausykite Viešpaties žodžio, jūs, pašaipūnai, valdantys šią tautą, esančią Jeruzalėje. Kadangi jūs sakote: „Mes sudarėme sandorą su mirtimi ir su Šeolu susitarėme; kai praslinks užliejanti rykštė, ji mūsų nepasieks, nes melą padarėme savo prieglobsčiu ir po apgaule pasislėpėme“, todėl taip sako Viešpats Dievas: „Štai Aš dedu Sione pamatui akmenį, išmėgintą akmenį, brangų kertinį akmenį, tvirtą pamatą; kas tiki, tas neskubės. Teismą Aš dėsčiau kaip matavimo virvę, o teisumą — kaip svambalą; kruša nušluos melo prieglobstį, ir vandenys užlies slėptuvę. Jūsų sandora su mirtimi bus panaikinta, ir jūsų susitarimas su Šeolu neišliks; kai praslinks užliejanti rykštė, tuomet ji jus sutryps.“ Izaijo 28, 14–18.</w:t>
      </w:r>
    </w:p>
    <w:p>
      <w:pPr>
        <w:pStyle w:val="ArticleBody"/>
        <w:jc w:val="left"/>
      </w:pPr>
      <w:r>
        <w:rPr>
          <w:rFonts w:ascii="Times New Roman" w:hAnsi="Times New Roman" w:eastAsia="Times New Roman" w:cs="Times New Roman"/>
        </w:rPr>
        <w:t>“</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වාර</w:t>
      </w:r>
      <w:r>
        <w:rPr>
          <w:rFonts w:ascii="Times New Roman" w:hAnsi="Times New Roman" w:eastAsia="Times New Roman" w:cs="Times New Roman"/>
        </w:rPr>
        <w:t xml:space="preserve"> </w:t>
      </w:r>
      <w:r>
        <w:rPr>
          <w:rFonts w:ascii="Nirmala UI" w:hAnsi="Nirmala UI" w:eastAsia="Nirmala UI" w:cs="Nirmala UI"/>
        </w:rPr>
        <w:t>සත්ක</w:t>
      </w:r>
      <w:r>
        <w:rPr>
          <w:rFonts w:ascii="Times New Roman" w:hAnsi="Times New Roman" w:eastAsia="Times New Roman" w:cs="Times New Roman"/>
        </w:rPr>
        <w:t xml:space="preserve">” </w:t>
      </w:r>
      <w:r>
        <w:rPr>
          <w:rFonts w:ascii="Nirmala UI" w:hAnsi="Nirmala UI" w:eastAsia="Nirmala UI" w:cs="Nirmala UI"/>
        </w:rPr>
        <w:t>බොරුවල</w:t>
      </w:r>
      <w:r>
        <w:rPr>
          <w:rFonts w:ascii="Times New Roman" w:hAnsi="Times New Roman" w:eastAsia="Times New Roman" w:cs="Times New Roman"/>
        </w:rPr>
        <w:t xml:space="preserve"> </w:t>
      </w:r>
      <w:r>
        <w:rPr>
          <w:rFonts w:ascii="Nirmala UI" w:hAnsi="Nirmala UI" w:eastAsia="Nirmala UI" w:cs="Nirmala UI"/>
        </w:rPr>
        <w:t>යට</w:t>
      </w:r>
      <w:r>
        <w:rPr>
          <w:rFonts w:ascii="Times New Roman" w:hAnsi="Times New Roman" w:eastAsia="Times New Roman" w:cs="Times New Roman"/>
        </w:rPr>
        <w:t xml:space="preserve"> </w:t>
      </w:r>
      <w:r>
        <w:rPr>
          <w:rFonts w:ascii="Nirmala UI" w:hAnsi="Nirmala UI" w:eastAsia="Nirmala UI" w:cs="Nirmala UI"/>
        </w:rPr>
        <w:t>සඟවා</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පූර්ව</w:t>
      </w:r>
      <w:r>
        <w:rPr>
          <w:rFonts w:ascii="Times New Roman" w:hAnsi="Times New Roman" w:eastAsia="Times New Roman" w:cs="Times New Roman"/>
        </w:rPr>
        <w:t xml:space="preserve"> </w:t>
      </w:r>
      <w:r>
        <w:rPr>
          <w:rFonts w:ascii="Nirmala UI" w:hAnsi="Nirmala UI" w:eastAsia="Nirmala UI" w:cs="Nirmala UI"/>
        </w:rPr>
        <w:t>ගිවිසුම්</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අතහැර</w:t>
      </w:r>
      <w:r>
        <w:rPr>
          <w:rFonts w:ascii="Times New Roman" w:hAnsi="Times New Roman" w:eastAsia="Times New Roman" w:cs="Times New Roman"/>
        </w:rPr>
        <w:t xml:space="preserve"> </w:t>
      </w:r>
      <w:r>
        <w:rPr>
          <w:rFonts w:ascii="Nirmala UI" w:hAnsi="Nirmala UI" w:eastAsia="Nirmala UI" w:cs="Nirmala UI"/>
        </w:rPr>
        <w:t>ඉවත</w:t>
      </w:r>
      <w:r>
        <w:rPr>
          <w:rFonts w:ascii="Times New Roman" w:hAnsi="Times New Roman" w:eastAsia="Times New Roman" w:cs="Times New Roman"/>
        </w:rPr>
        <w:t xml:space="preserve"> </w:t>
      </w:r>
      <w:r>
        <w:rPr>
          <w:rFonts w:ascii="Nirmala UI" w:hAnsi="Nirmala UI" w:eastAsia="Nirmala UI" w:cs="Nirmala UI"/>
        </w:rPr>
        <w:t>යමින්</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ලක්ෂ</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දහස</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ගිවිසුමට</w:t>
      </w:r>
      <w:r>
        <w:rPr>
          <w:rFonts w:ascii="Times New Roman" w:hAnsi="Times New Roman" w:eastAsia="Times New Roman" w:cs="Times New Roman"/>
        </w:rPr>
        <w:t xml:space="preserve"> </w:t>
      </w:r>
      <w:r>
        <w:rPr>
          <w:rFonts w:ascii="Nirmala UI" w:hAnsi="Nirmala UI" w:eastAsia="Nirmala UI" w:cs="Nirmala UI"/>
        </w:rPr>
        <w:t>ඇතුළු</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කෙළවරේ</w:t>
      </w:r>
      <w:r>
        <w:rPr>
          <w:rFonts w:ascii="Times New Roman" w:hAnsi="Times New Roman" w:eastAsia="Times New Roman" w:cs="Times New Roman"/>
        </w:rPr>
        <w:t xml:space="preserve"> </w:t>
      </w:r>
      <w:r>
        <w:rPr>
          <w:rFonts w:ascii="Nirmala UI" w:hAnsi="Nirmala UI" w:eastAsia="Nirmala UI" w:cs="Nirmala UI"/>
        </w:rPr>
        <w:t>ගල</w:t>
      </w:r>
      <w:r>
        <w:rPr>
          <w:rFonts w:ascii="Times New Roman" w:hAnsi="Times New Roman" w:eastAsia="Times New Roman" w:cs="Times New Roman"/>
        </w:rPr>
        <w:t xml:space="preserve"> </w:t>
      </w:r>
      <w:r>
        <w:rPr>
          <w:rFonts w:ascii="Nirmala UI" w:hAnsi="Nirmala UI" w:eastAsia="Nirmala UI" w:cs="Nirmala UI"/>
        </w:rPr>
        <w:t>කෙළවරේ</w:t>
      </w:r>
      <w:r>
        <w:rPr>
          <w:rFonts w:ascii="Times New Roman" w:hAnsi="Times New Roman" w:eastAsia="Times New Roman" w:cs="Times New Roman"/>
        </w:rPr>
        <w:t xml:space="preserve"> “</w:t>
      </w:r>
      <w:r>
        <w:rPr>
          <w:rFonts w:ascii="Nirmala UI" w:hAnsi="Nirmala UI" w:eastAsia="Nirmala UI" w:cs="Nirmala UI"/>
        </w:rPr>
        <w:t>මූලික</w:t>
      </w:r>
      <w:r>
        <w:rPr>
          <w:rFonts w:ascii="Times New Roman" w:hAnsi="Times New Roman" w:eastAsia="Times New Roman" w:cs="Times New Roman"/>
        </w:rPr>
        <w:t xml:space="preserve"> </w:t>
      </w:r>
      <w:r>
        <w:rPr>
          <w:rFonts w:ascii="Nirmala UI" w:hAnsi="Nirmala UI" w:eastAsia="Nirmala UI" w:cs="Nirmala UI"/>
        </w:rPr>
        <w:t>හිස</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අවබෝධ</w:t>
      </w:r>
      <w:r>
        <w:rPr>
          <w:rFonts w:ascii="Times New Roman" w:hAnsi="Times New Roman" w:eastAsia="Times New Roman" w:cs="Times New Roman"/>
        </w:rPr>
        <w:t xml:space="preserve"> </w:t>
      </w:r>
      <w:r>
        <w:rPr>
          <w:rFonts w:ascii="Nirmala UI" w:hAnsi="Nirmala UI" w:eastAsia="Nirmala UI" w:cs="Nirmala UI"/>
        </w:rPr>
        <w:t>කරගන්නා</w:t>
      </w:r>
      <w:r>
        <w:rPr>
          <w:rFonts w:ascii="Times New Roman" w:hAnsi="Times New Roman" w:eastAsia="Times New Roman" w:cs="Times New Roman"/>
        </w:rPr>
        <w:t xml:space="preserve"> </w:t>
      </w:r>
      <w:r>
        <w:rPr>
          <w:rFonts w:ascii="Nirmala UI" w:hAnsi="Nirmala UI" w:eastAsia="Nirmala UI" w:cs="Nirmala UI"/>
        </w:rPr>
        <w:t>අයට</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අගනාය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අවබෝධ</w:t>
      </w:r>
      <w:r>
        <w:rPr>
          <w:rFonts w:ascii="Times New Roman" w:hAnsi="Times New Roman" w:eastAsia="Times New Roman" w:cs="Times New Roman"/>
        </w:rPr>
        <w:t xml:space="preserve"> </w:t>
      </w:r>
      <w:r>
        <w:rPr>
          <w:rFonts w:ascii="Nirmala UI" w:hAnsi="Nirmala UI" w:eastAsia="Nirmala UI" w:cs="Nirmala UI"/>
        </w:rPr>
        <w:t>නොකරන්නන්ට</w:t>
      </w:r>
      <w:r>
        <w:rPr>
          <w:rFonts w:ascii="Times New Roman" w:hAnsi="Times New Roman" w:eastAsia="Times New Roman" w:cs="Times New Roman"/>
        </w:rPr>
        <w:t xml:space="preserve">, </w:t>
      </w:r>
      <w:r>
        <w:rPr>
          <w:rFonts w:ascii="Nirmala UI" w:hAnsi="Nirmala UI" w:eastAsia="Nirmala UI" w:cs="Nirmala UI"/>
        </w:rPr>
        <w:t>කෙළවරේ</w:t>
      </w:r>
      <w:r>
        <w:rPr>
          <w:rFonts w:ascii="Times New Roman" w:hAnsi="Times New Roman" w:eastAsia="Times New Roman" w:cs="Times New Roman"/>
        </w:rPr>
        <w:t xml:space="preserve"> </w:t>
      </w:r>
      <w:r>
        <w:rPr>
          <w:rFonts w:ascii="Nirmala UI" w:hAnsi="Nirmala UI" w:eastAsia="Nirmala UI" w:cs="Nirmala UI"/>
        </w:rPr>
        <w:t>හිස</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පත්වන</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ගල</w:t>
      </w:r>
      <w:r>
        <w:rPr>
          <w:rFonts w:ascii="Times New Roman" w:hAnsi="Times New Roman" w:eastAsia="Times New Roman" w:cs="Times New Roman"/>
        </w:rPr>
        <w:t xml:space="preserve"> </w:t>
      </w:r>
      <w:r>
        <w:rPr>
          <w:rFonts w:ascii="Nirmala UI" w:hAnsi="Nirmala UI" w:eastAsia="Nirmala UI" w:cs="Nirmala UI"/>
        </w:rPr>
        <w:t>ඔවුන්ව</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 xml:space="preserve"> </w:t>
      </w:r>
      <w:r>
        <w:rPr>
          <w:rFonts w:ascii="Nirmala UI" w:hAnsi="Nirmala UI" w:eastAsia="Nirmala UI" w:cs="Nirmala UI"/>
        </w:rPr>
        <w:t>දමනය</w:t>
      </w:r>
      <w:r>
        <w:rPr>
          <w:rFonts w:ascii="Times New Roman" w:hAnsi="Times New Roman" w:eastAsia="Times New Roman" w:cs="Times New Roman"/>
        </w:rPr>
        <w:t xml:space="preserve"> </w:t>
      </w:r>
      <w:r>
        <w:rPr>
          <w:rFonts w:ascii="Nirmala UI" w:hAnsi="Nirmala UI" w:eastAsia="Nirmala UI" w:cs="Nirmala UI"/>
        </w:rPr>
        <w:t>නොකර</w:t>
      </w:r>
      <w:r>
        <w:rPr>
          <w:rFonts w:ascii="Times New Roman" w:hAnsi="Times New Roman" w:eastAsia="Times New Roman" w:cs="Times New Roman"/>
        </w:rPr>
        <w:t xml:space="preserve">, </w:t>
      </w:r>
      <w:r>
        <w:rPr>
          <w:rFonts w:ascii="Nirmala UI" w:hAnsi="Nirmala UI" w:eastAsia="Nirmala UI" w:cs="Nirmala UI"/>
        </w:rPr>
        <w:t>උපමාත්මක</w:t>
      </w:r>
      <w:r>
        <w:rPr>
          <w:rFonts w:ascii="Times New Roman" w:hAnsi="Times New Roman" w:eastAsia="Times New Roman" w:cs="Times New Roman"/>
        </w:rPr>
        <w:t xml:space="preserve"> </w:t>
      </w:r>
      <w:r>
        <w:rPr>
          <w:rFonts w:ascii="Nirmala UI" w:hAnsi="Nirmala UI" w:eastAsia="Nirmala UI" w:cs="Nirmala UI"/>
        </w:rPr>
        <w:t>වශයෙන්</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සොහොන්</w:t>
      </w:r>
      <w:r>
        <w:rPr>
          <w:rFonts w:ascii="Times New Roman" w:hAnsi="Times New Roman" w:eastAsia="Times New Roman" w:cs="Times New Roman"/>
        </w:rPr>
        <w:t xml:space="preserve"> </w:t>
      </w:r>
      <w:r>
        <w:rPr>
          <w:rFonts w:ascii="Nirmala UI" w:hAnsi="Nirmala UI" w:eastAsia="Nirmala UI" w:cs="Nirmala UI"/>
        </w:rPr>
        <w:t>ගලද</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w:t>
      </w:r>
    </w:p>
    <w:p>
      <w:pPr>
        <w:pStyle w:val="ArticleBody"/>
        <w:jc w:val="left"/>
      </w:pPr>
      <w:r>
        <w:rPr>
          <w:rFonts w:ascii="Microsoft YaHei" w:hAnsi="Microsoft YaHei" w:eastAsia="Microsoft YaHei" w:cs="Microsoft YaHei"/>
        </w:rPr>
        <w:t>在</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第八章第十九节中</w:t>
      </w:r>
      <w:r>
        <w:rPr>
          <w:rFonts w:ascii="Times New Roman" w:hAnsi="Times New Roman" w:eastAsia="Times New Roman" w:cs="Times New Roman"/>
        </w:rPr>
        <w:t>,</w:t>
      </w:r>
      <w:r>
        <w:rPr>
          <w:rFonts w:ascii="Microsoft YaHei" w:hAnsi="Microsoft YaHei" w:eastAsia="Microsoft YaHei" w:cs="Microsoft YaHei"/>
        </w:rPr>
        <w:t>我们看到</w:t>
      </w:r>
      <w:r>
        <w:rPr>
          <w:rFonts w:ascii="Times New Roman" w:hAnsi="Times New Roman" w:eastAsia="Times New Roman" w:cs="Times New Roman"/>
        </w:rPr>
        <w:t>“</w:t>
      </w:r>
      <w:r>
        <w:rPr>
          <w:rFonts w:ascii="Microsoft YaHei" w:hAnsi="Microsoft YaHei" w:eastAsia="Microsoft YaHei" w:cs="Microsoft YaHei"/>
        </w:rPr>
        <w:t>恼怒的末期</w:t>
      </w:r>
      <w:r>
        <w:rPr>
          <w:rFonts w:ascii="Times New Roman" w:hAnsi="Times New Roman" w:eastAsia="Times New Roman" w:cs="Times New Roman"/>
        </w:rPr>
        <w:t>”,</w:t>
      </w:r>
      <w:r>
        <w:rPr>
          <w:rFonts w:ascii="Microsoft YaHei" w:hAnsi="Microsoft YaHei" w:eastAsia="Microsoft YaHei" w:cs="Microsoft YaHei"/>
        </w:rPr>
        <w:t>由此可知</w:t>
      </w:r>
      <w:r>
        <w:rPr>
          <w:rFonts w:ascii="Times New Roman" w:hAnsi="Times New Roman" w:eastAsia="Times New Roman" w:cs="Times New Roman"/>
        </w:rPr>
        <w:t>,</w:t>
      </w:r>
      <w:r>
        <w:rPr>
          <w:rFonts w:ascii="Microsoft YaHei" w:hAnsi="Microsoft YaHei" w:eastAsia="Microsoft YaHei" w:cs="Microsoft YaHei"/>
        </w:rPr>
        <w:t>也必然有</w:t>
      </w:r>
      <w:r>
        <w:rPr>
          <w:rFonts w:ascii="Times New Roman" w:hAnsi="Times New Roman" w:eastAsia="Times New Roman" w:cs="Times New Roman"/>
        </w:rPr>
        <w:t>“</w:t>
      </w:r>
      <w:r>
        <w:rPr>
          <w:rFonts w:ascii="Microsoft YaHei" w:hAnsi="Microsoft YaHei" w:eastAsia="Microsoft YaHei" w:cs="Microsoft YaHei"/>
        </w:rPr>
        <w:t>恼怒的初期终点</w:t>
      </w:r>
      <w:r>
        <w:rPr>
          <w:rFonts w:ascii="Times New Roman" w:hAnsi="Times New Roman" w:eastAsia="Times New Roman" w:cs="Times New Roman"/>
        </w:rPr>
        <w:t>”.</w:t>
      </w:r>
      <w:r>
        <w:rPr>
          <w:rFonts w:ascii="Microsoft YaHei" w:hAnsi="Microsoft YaHei" w:eastAsia="Microsoft YaHei" w:cs="Microsoft YaHei"/>
        </w:rPr>
        <w:t>自公元前</w:t>
      </w:r>
      <w:r>
        <w:rPr>
          <w:rFonts w:ascii="Times New Roman" w:hAnsi="Times New Roman" w:eastAsia="Times New Roman" w:cs="Times New Roman"/>
        </w:rPr>
        <w:t>677</w:t>
      </w:r>
      <w:r>
        <w:rPr>
          <w:rFonts w:ascii="Microsoft YaHei" w:hAnsi="Microsoft YaHei" w:eastAsia="Microsoft YaHei" w:cs="Microsoft YaHei"/>
        </w:rPr>
        <w:t>年直到</w:t>
      </w:r>
      <w:r>
        <w:rPr>
          <w:rFonts w:ascii="Times New Roman" w:hAnsi="Times New Roman" w:eastAsia="Times New Roman" w:cs="Times New Roman"/>
        </w:rPr>
        <w:t>1844</w:t>
      </w:r>
      <w:r>
        <w:rPr>
          <w:rFonts w:ascii="Microsoft YaHei" w:hAnsi="Microsoft YaHei" w:eastAsia="Microsoft YaHei" w:cs="Microsoft YaHei"/>
        </w:rPr>
        <w:t>年</w:t>
      </w:r>
      <w:r>
        <w:rPr>
          <w:rFonts w:ascii="Times New Roman" w:hAnsi="Times New Roman" w:eastAsia="Times New Roman" w:cs="Times New Roman"/>
        </w:rPr>
        <w:t>10</w:t>
      </w:r>
      <w:r>
        <w:rPr>
          <w:rFonts w:ascii="Microsoft YaHei" w:hAnsi="Microsoft YaHei" w:eastAsia="Microsoft YaHei" w:cs="Microsoft YaHei"/>
        </w:rPr>
        <w:t>月</w:t>
      </w:r>
      <w:r>
        <w:rPr>
          <w:rFonts w:ascii="Times New Roman" w:hAnsi="Times New Roman" w:eastAsia="Times New Roman" w:cs="Times New Roman"/>
        </w:rPr>
        <w:t>22</w:t>
      </w:r>
      <w:r>
        <w:rPr>
          <w:rFonts w:ascii="Microsoft YaHei" w:hAnsi="Microsoft YaHei" w:eastAsia="Microsoft YaHei" w:cs="Microsoft YaHei"/>
        </w:rPr>
        <w:t>日这一段时期</w:t>
      </w:r>
      <w:r>
        <w:rPr>
          <w:rFonts w:ascii="Times New Roman" w:hAnsi="Times New Roman" w:eastAsia="Times New Roman" w:cs="Times New Roman"/>
        </w:rPr>
        <w:t>,</w:t>
      </w:r>
      <w:r>
        <w:rPr>
          <w:rFonts w:ascii="Microsoft YaHei" w:hAnsi="Microsoft YaHei" w:eastAsia="Microsoft YaHei" w:cs="Microsoft YaHei"/>
        </w:rPr>
        <w:t>代表圣所（并其军旅）被践踏的时期</w:t>
      </w:r>
      <w:r>
        <w:rPr>
          <w:rFonts w:ascii="Times New Roman" w:hAnsi="Times New Roman" w:eastAsia="Times New Roman" w:cs="Times New Roman"/>
        </w:rPr>
        <w:t>.</w:t>
      </w:r>
      <w:r>
        <w:rPr>
          <w:rFonts w:ascii="Microsoft YaHei" w:hAnsi="Microsoft YaHei" w:eastAsia="Microsoft YaHei" w:cs="Microsoft YaHei"/>
        </w:rPr>
        <w:t>但</w:t>
      </w:r>
      <w:r>
        <w:rPr>
          <w:rFonts w:ascii="Times New Roman" w:hAnsi="Times New Roman" w:eastAsia="Times New Roman" w:cs="Times New Roman"/>
        </w:rPr>
        <w:t xml:space="preserve"> according to «</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第十一章第三十六节</w:t>
      </w:r>
      <w:r>
        <w:rPr>
          <w:rFonts w:ascii="Times New Roman" w:hAnsi="Times New Roman" w:eastAsia="Times New Roman" w:cs="Times New Roman"/>
        </w:rPr>
        <w:t>,</w:t>
      </w:r>
      <w:r>
        <w:rPr>
          <w:rFonts w:ascii="Microsoft YaHei" w:hAnsi="Microsoft YaHei" w:eastAsia="Microsoft YaHei" w:cs="Microsoft YaHei"/>
        </w:rPr>
        <w:t>教皇权却要亨通</w:t>
      </w:r>
      <w:r>
        <w:rPr>
          <w:rFonts w:ascii="Times New Roman" w:hAnsi="Times New Roman" w:eastAsia="Times New Roman" w:cs="Times New Roman"/>
        </w:rPr>
        <w:t>,</w:t>
      </w:r>
      <w:r>
        <w:rPr>
          <w:rFonts w:ascii="Microsoft YaHei" w:hAnsi="Microsoft YaHei" w:eastAsia="Microsoft YaHei" w:cs="Microsoft YaHei"/>
        </w:rPr>
        <w:t>直到恼怒完毕</w:t>
      </w:r>
      <w:r>
        <w:rPr>
          <w:rFonts w:ascii="Times New Roman" w:hAnsi="Times New Roman" w:eastAsia="Times New Roman" w:cs="Times New Roman"/>
        </w:rPr>
        <w:t>.</w:t>
      </w:r>
      <w:r>
        <w:rPr>
          <w:rFonts w:ascii="Microsoft YaHei" w:hAnsi="Microsoft YaHei" w:eastAsia="Microsoft YaHei" w:cs="Microsoft YaHei"/>
        </w:rPr>
        <w:t>若第八章中恼怒的终点代表一段时期的结束</w:t>
      </w:r>
      <w:r>
        <w:rPr>
          <w:rFonts w:ascii="Times New Roman" w:hAnsi="Times New Roman" w:eastAsia="Times New Roman" w:cs="Times New Roman"/>
        </w:rPr>
        <w:t>,</w:t>
      </w:r>
      <w:r>
        <w:rPr>
          <w:rFonts w:ascii="Microsoft YaHei" w:hAnsi="Microsoft YaHei" w:eastAsia="Microsoft YaHei" w:cs="Microsoft YaHei"/>
        </w:rPr>
        <w:t>那么第十一章中恼怒的终点</w:t>
      </w:r>
      <w:r>
        <w:rPr>
          <w:rFonts w:ascii="Times New Roman" w:hAnsi="Times New Roman" w:eastAsia="Times New Roman" w:cs="Times New Roman"/>
        </w:rPr>
        <w:t>,</w:t>
      </w:r>
      <w:r>
        <w:rPr>
          <w:rFonts w:ascii="Microsoft YaHei" w:hAnsi="Microsoft YaHei" w:eastAsia="Microsoft YaHei" w:cs="Microsoft YaHei"/>
        </w:rPr>
        <w:t>也同样代表一段时期的结束</w:t>
      </w:r>
      <w:r>
        <w:rPr>
          <w:rFonts w:ascii="Times New Roman" w:hAnsi="Times New Roman" w:eastAsia="Times New Roman" w:cs="Times New Roman"/>
        </w:rPr>
        <w:t>.</w:t>
      </w:r>
      <w:r>
        <w:rPr>
          <w:rFonts w:ascii="Microsoft YaHei" w:hAnsi="Microsoft YaHei" w:eastAsia="Microsoft YaHei" w:cs="Microsoft YaHei"/>
        </w:rPr>
        <w:t>这正是</w:t>
      </w:r>
      <w:r>
        <w:rPr>
          <w:rFonts w:ascii="Times New Roman" w:hAnsi="Times New Roman" w:eastAsia="Times New Roman" w:cs="Times New Roman"/>
        </w:rPr>
        <w:t>«</w:t>
      </w:r>
      <w:r>
        <w:rPr>
          <w:rFonts w:ascii="Microsoft YaHei" w:hAnsi="Microsoft YaHei" w:eastAsia="Microsoft YaHei" w:cs="Microsoft YaHei"/>
        </w:rPr>
        <w:t>圣经</w:t>
      </w:r>
      <w:r>
        <w:rPr>
          <w:rFonts w:ascii="Times New Roman" w:hAnsi="Times New Roman" w:eastAsia="Times New Roman" w:cs="Times New Roman"/>
        </w:rPr>
        <w:t>»</w:t>
      </w:r>
      <w:r>
        <w:rPr>
          <w:rFonts w:ascii="Microsoft YaHei" w:hAnsi="Microsoft YaHei" w:eastAsia="Microsoft YaHei" w:cs="Microsoft YaHei"/>
        </w:rPr>
        <w:t>所清楚教导的</w:t>
      </w:r>
      <w:r>
        <w:rPr>
          <w:rFonts w:ascii="Times New Roman" w:hAnsi="Times New Roman" w:eastAsia="Times New Roman" w:cs="Times New Roman"/>
        </w:rPr>
        <w:t>,</w:t>
      </w:r>
      <w:r>
        <w:rPr>
          <w:rFonts w:ascii="Microsoft YaHei" w:hAnsi="Microsoft YaHei" w:eastAsia="Microsoft YaHei" w:cs="Microsoft YaHei"/>
        </w:rPr>
        <w:t>尽管这真理已被那些与死亡立约之人用谎言遮蔽了</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terme de ces deux indignations représente la fin d’une même période de temps, car toutes deux constituaient l’accomplissement de la même malédiction de deux mille cinq cent vingt années de dispersion, de captivité et d’esclavage. Le royaume du Nord subit d’abord la dispersion, la captivité et l’esclavage des « sept temps », lorsque, en 723 av. J.-C., le roi d’Assyrie les emmena captifs. Le royaume du Sud subit le même sort en 677 av. J.-C. Jérémie confirme ce fait.</w:t>
      </w:r>
    </w:p>
    <w:p>
      <w:pPr>
        <w:pStyle w:val="ArticleScripture"/>
        <w:jc w:val="left"/>
      </w:pPr>
      <w:r>
        <w:rPr>
          <w:rFonts w:ascii="Times New Roman" w:hAnsi="Times New Roman" w:eastAsia="Times New Roman" w:cs="Times New Roman"/>
        </w:rPr>
        <w:t>Israël est une brebis dispersée; les lions l’ont chassée: d’abord le roi d’Assyrie l’a dévorée; et enfin ce Nebucadnetsar, roi de Babylone, lui a brisé les os. Jérémie 50:17.</w:t>
      </w:r>
    </w:p>
    <w:p>
      <w:pPr>
        <w:pStyle w:val="ArticleBody"/>
        <w:jc w:val="left"/>
      </w:pPr>
      <w:r>
        <w:rPr>
          <w:rFonts w:ascii="Myanmar Text" w:hAnsi="Myanmar Text" w:eastAsia="Myanmar Text" w:cs="Myanmar Text"/>
        </w:rPr>
        <w:t>ယေရမိသည်</w:t>
      </w:r>
      <w:r>
        <w:rPr>
          <w:rFonts w:ascii="Times New Roman" w:hAnsi="Times New Roman" w:eastAsia="Times New Roman" w:cs="Times New Roman"/>
        </w:rPr>
        <w:t xml:space="preserve"> </w:t>
      </w:r>
      <w:r>
        <w:rPr>
          <w:rFonts w:ascii="Myanmar Text" w:hAnsi="Myanmar Text" w:eastAsia="Myanmar Text" w:cs="Myanmar Text"/>
        </w:rPr>
        <w:t>တဖြည်းဖြည်း</w:t>
      </w:r>
      <w:r>
        <w:rPr>
          <w:rFonts w:ascii="Times New Roman" w:hAnsi="Times New Roman" w:eastAsia="Times New Roman" w:cs="Times New Roman"/>
        </w:rPr>
        <w:t xml:space="preserve"> </w:t>
      </w:r>
      <w:r>
        <w:rPr>
          <w:rFonts w:ascii="Myanmar Text" w:hAnsi="Myanmar Text" w:eastAsia="Myanmar Text" w:cs="Myanmar Text"/>
        </w:rPr>
        <w:t>တိုးပွားလာသော</w:t>
      </w:r>
      <w:r>
        <w:rPr>
          <w:rFonts w:ascii="Times New Roman" w:hAnsi="Times New Roman" w:eastAsia="Times New Roman" w:cs="Times New Roman"/>
        </w:rPr>
        <w:t xml:space="preserve"> </w:t>
      </w:r>
      <w:r>
        <w:rPr>
          <w:rFonts w:ascii="Myanmar Text" w:hAnsi="Myanmar Text" w:eastAsia="Myanmar Text" w:cs="Myanmar Text"/>
        </w:rPr>
        <w:t>တရားစီရင်ခြင်းကို</w:t>
      </w:r>
      <w:r>
        <w:rPr>
          <w:rFonts w:ascii="Times New Roman" w:hAnsi="Times New Roman" w:eastAsia="Times New Roman" w:cs="Times New Roman"/>
        </w:rPr>
        <w:t xml:space="preserve"> </w:t>
      </w:r>
      <w:r>
        <w:rPr>
          <w:rFonts w:ascii="Myanmar Text" w:hAnsi="Myanmar Text" w:eastAsia="Myanmar Text" w:cs="Myanmar Text"/>
        </w:rPr>
        <w:t>ဖော်ပြလျက်ရှိသည်။</w:t>
      </w:r>
      <w:r>
        <w:rPr>
          <w:rFonts w:ascii="Times New Roman" w:hAnsi="Times New Roman" w:eastAsia="Times New Roman" w:cs="Times New Roman"/>
        </w:rPr>
        <w:t xml:space="preserve"> </w:t>
      </w:r>
      <w:r>
        <w:rPr>
          <w:rFonts w:ascii="Myanmar Text" w:hAnsi="Myanmar Text" w:eastAsia="Myanmar Text" w:cs="Myanmar Text"/>
        </w:rPr>
        <w:t>အာရှုရိတို့သည်</w:t>
      </w:r>
      <w:r>
        <w:rPr>
          <w:rFonts w:ascii="Times New Roman" w:hAnsi="Times New Roman" w:eastAsia="Times New Roman" w:cs="Times New Roman"/>
        </w:rPr>
        <w:t xml:space="preserve"> </w:t>
      </w:r>
      <w:r>
        <w:rPr>
          <w:rFonts w:ascii="Myanmar Text" w:hAnsi="Myanmar Text" w:eastAsia="Myanmar Text" w:cs="Myanmar Text"/>
        </w:rPr>
        <w:t>မြောက်ပိုင်းနိုင်ငံကို</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723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ဖယ်ရှားသွားကြသည်။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မြို့တော်ဖြစ်သော</w:t>
      </w:r>
      <w:r>
        <w:rPr>
          <w:rFonts w:ascii="Times New Roman" w:hAnsi="Times New Roman" w:eastAsia="Times New Roman" w:cs="Times New Roman"/>
        </w:rPr>
        <w:t xml:space="preserve"> </w:t>
      </w:r>
      <w:r>
        <w:rPr>
          <w:rFonts w:ascii="Myanmar Text" w:hAnsi="Myanmar Text" w:eastAsia="Myanmar Text" w:cs="Myanmar Text"/>
        </w:rPr>
        <w:t>ဗာဗုလုန်သို့</w:t>
      </w:r>
      <w:r>
        <w:rPr>
          <w:rFonts w:ascii="Times New Roman" w:hAnsi="Times New Roman" w:eastAsia="Times New Roman" w:cs="Times New Roman"/>
        </w:rPr>
        <w:t xml:space="preserve"> </w:t>
      </w:r>
      <w:r>
        <w:rPr>
          <w:rFonts w:ascii="Myanmar Text" w:hAnsi="Myanmar Text" w:eastAsia="Myanmar Text" w:cs="Myanmar Text"/>
        </w:rPr>
        <w:t>မနာရှေကို</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677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ခေါ်ဆောင်သွားကြသည်။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နေဗုခဒ်နေဇာသည်</w:t>
      </w:r>
      <w:r>
        <w:rPr>
          <w:rFonts w:ascii="Times New Roman" w:hAnsi="Times New Roman" w:eastAsia="Times New Roman" w:cs="Times New Roman"/>
        </w:rPr>
        <w:t xml:space="preserve"> </w:t>
      </w:r>
      <w:r>
        <w:rPr>
          <w:rFonts w:ascii="Myanmar Text" w:hAnsi="Myanmar Text" w:eastAsia="Myanmar Text" w:cs="Myanmar Text"/>
        </w:rPr>
        <w:t>ယောယကိမ်ကို</w:t>
      </w:r>
      <w:r>
        <w:rPr>
          <w:rFonts w:ascii="Times New Roman" w:hAnsi="Times New Roman" w:eastAsia="Times New Roman" w:cs="Times New Roman"/>
        </w:rPr>
        <w:t xml:space="preserve"> </w:t>
      </w:r>
      <w:r>
        <w:rPr>
          <w:rFonts w:ascii="Myanmar Text" w:hAnsi="Myanmar Text" w:eastAsia="Myanmar Text" w:cs="Myanmar Text"/>
        </w:rPr>
        <w:t>ခေါ်ဆောင်သွား၍</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606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အနှစ်ခုနစ်ဆယ်သော</w:t>
      </w:r>
      <w:r>
        <w:rPr>
          <w:rFonts w:ascii="Times New Roman" w:hAnsi="Times New Roman" w:eastAsia="Times New Roman" w:cs="Times New Roman"/>
        </w:rPr>
        <w:t xml:space="preserve"> </w:t>
      </w:r>
      <w:r>
        <w:rPr>
          <w:rFonts w:ascii="Myanmar Text" w:hAnsi="Myanmar Text" w:eastAsia="Myanmar Text" w:cs="Myanmar Text"/>
        </w:rPr>
        <w:t>သိမ်းသွားခံရခြင်းကာလ၏</w:t>
      </w:r>
      <w:r>
        <w:rPr>
          <w:rFonts w:ascii="Times New Roman" w:hAnsi="Times New Roman" w:eastAsia="Times New Roman" w:cs="Times New Roman"/>
        </w:rPr>
        <w:t xml:space="preserve"> </w:t>
      </w:r>
      <w:r>
        <w:rPr>
          <w:rFonts w:ascii="Myanmar Text" w:hAnsi="Myanmar Text" w:eastAsia="Myanmar Text" w:cs="Myanmar Text"/>
        </w:rPr>
        <w:t>အစကို</w:t>
      </w:r>
      <w:r>
        <w:rPr>
          <w:rFonts w:ascii="Times New Roman" w:hAnsi="Times New Roman" w:eastAsia="Times New Roman" w:cs="Times New Roman"/>
        </w:rPr>
        <w:t xml:space="preserve"> </w:t>
      </w:r>
      <w:r>
        <w:rPr>
          <w:rFonts w:ascii="Myanmar Text" w:hAnsi="Myanmar Text" w:eastAsia="Myanmar Text" w:cs="Myanmar Text"/>
        </w:rPr>
        <w:t>မှတ်သားစေသည်။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နေဗုခဒ်နေဇာသည်</w:t>
      </w:r>
      <w:r>
        <w:rPr>
          <w:rFonts w:ascii="Times New Roman" w:hAnsi="Times New Roman" w:eastAsia="Times New Roman" w:cs="Times New Roman"/>
        </w:rPr>
        <w:t xml:space="preserve"> </w:t>
      </w:r>
      <w:r>
        <w:rPr>
          <w:rFonts w:ascii="Myanmar Text" w:hAnsi="Myanmar Text" w:eastAsia="Myanmar Text" w:cs="Myanmar Text"/>
        </w:rPr>
        <w:t>ဇေဒကိယကို</w:t>
      </w:r>
      <w:r>
        <w:rPr>
          <w:rFonts w:ascii="Times New Roman" w:hAnsi="Times New Roman" w:eastAsia="Times New Roman" w:cs="Times New Roman"/>
        </w:rPr>
        <w:t xml:space="preserve"> </w:t>
      </w:r>
      <w:r>
        <w:rPr>
          <w:rFonts w:ascii="Myanmar Text" w:hAnsi="Myanmar Text" w:eastAsia="Myanmar Text" w:cs="Myanmar Text"/>
        </w:rPr>
        <w:t>ခေါ်ဆောင်သွားပြီး</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586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ယေရုရှလင်မြို့ကို</w:t>
      </w:r>
      <w:r>
        <w:rPr>
          <w:rFonts w:ascii="Times New Roman" w:hAnsi="Times New Roman" w:eastAsia="Times New Roman" w:cs="Times New Roman"/>
        </w:rPr>
        <w:t xml:space="preserve"> </w:t>
      </w:r>
      <w:r>
        <w:rPr>
          <w:rFonts w:ascii="Myanmar Text" w:hAnsi="Myanmar Text" w:eastAsia="Myanmar Text" w:cs="Myanmar Text"/>
        </w:rPr>
        <w:t>ဖျက်ဆီးသွားသည်။</w:t>
      </w:r>
    </w:p>
    <w:p>
      <w:pPr>
        <w:pStyle w:val="ArticleBody"/>
        <w:jc w:val="left"/>
      </w:pP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भोगनी</w:t>
      </w:r>
      <w:r>
        <w:rPr>
          <w:rFonts w:ascii="Times New Roman" w:hAnsi="Times New Roman" w:eastAsia="Times New Roman" w:cs="Times New Roman"/>
        </w:rPr>
        <w:t xml:space="preserve"> </w:t>
      </w:r>
      <w:r>
        <w:rPr>
          <w:rFonts w:ascii="Nirmala UI" w:hAnsi="Nirmala UI" w:eastAsia="Nirmala UI" w:cs="Nirmala UI"/>
        </w:rPr>
        <w:t>पड़ेगी।</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निम्नलिखित</w:t>
      </w:r>
      <w:r>
        <w:rPr>
          <w:rFonts w:ascii="Times New Roman" w:hAnsi="Times New Roman" w:eastAsia="Times New Roman" w:cs="Times New Roman"/>
        </w:rPr>
        <w:t xml:space="preserve"> </w:t>
      </w: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 “</w:t>
      </w:r>
      <w:r>
        <w:rPr>
          <w:rFonts w:ascii="Nirmala UI" w:hAnsi="Nirmala UI" w:eastAsia="Nirmala UI" w:cs="Nirmala UI"/>
        </w:rPr>
        <w:t>शोमरोन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C’est pourquoi ainsi parle le Seigneur, l’Éternel d’Israël : Voici, je vais faire venir sur Jérusalem et sur Juda un malheur tel que les deux oreilles de quiconque en entendra parler en tinteront. J’étendrai sur Jérusalem le cordeau de Samarie et le fil à plomb de la maison d’Achab ; et j’essuierai Jérusalem comme on essuie un plat, en l’essuyant et en le retournant sens dessus dessous. J’abandonnerai le reste de mon héritage, et je les livrerai entre les mains de leurs ennemis ; ils deviendront une proie et un butin pour tous leurs ennemis ; parce qu’ils ont fait ce qui est mal à mes yeux et qu’ils m’ont irrité, depuis le jour où leurs pères sont sortis d’Égypte jusqu’à ce jour. 2 Rois 21:12–15.</w:t>
      </w:r>
    </w:p>
    <w:p>
      <w:pPr>
        <w:pStyle w:val="ArticleBody"/>
        <w:jc w:val="left"/>
      </w:pPr>
      <w:r>
        <w:rPr>
          <w:rFonts w:ascii="Nirmala UI" w:hAnsi="Nirmala UI" w:eastAsia="Nirmala UI" w:cs="Nirmala UI"/>
        </w:rPr>
        <w:t>জাস্ট</w:t>
      </w:r>
      <w:r>
        <w:rPr>
          <w:rFonts w:ascii="Times New Roman" w:hAnsi="Times New Roman" w:eastAsia="Times New Roman" w:cs="Times New Roman"/>
        </w:rPr>
        <w:t xml:space="preserve"> </w:t>
      </w:r>
      <w:r>
        <w:rPr>
          <w:rFonts w:ascii="Nirmala UI" w:hAnsi="Nirmala UI" w:eastAsia="Nirmala UI" w:cs="Nirmala UI"/>
        </w:rPr>
        <w:t>উদ্ধৃত</w:t>
      </w:r>
      <w:r>
        <w:rPr>
          <w:rFonts w:ascii="Times New Roman" w:hAnsi="Times New Roman" w:eastAsia="Times New Roman" w:cs="Times New Roman"/>
        </w:rPr>
        <w:t xml:space="preserve"> </w:t>
      </w:r>
      <w:r>
        <w:rPr>
          <w:rFonts w:ascii="Nirmala UI" w:hAnsi="Nirmala UI" w:eastAsia="Nirmala UI" w:cs="Nirmala UI"/>
        </w:rPr>
        <w:t>পদসমূহে</w:t>
      </w:r>
      <w:r>
        <w:rPr>
          <w:rFonts w:ascii="Times New Roman" w:hAnsi="Times New Roman" w:eastAsia="Times New Roman" w:cs="Times New Roman"/>
        </w:rPr>
        <w:t xml:space="preserve"> </w:t>
      </w:r>
      <w:r>
        <w:rPr>
          <w:rFonts w:ascii="Nirmala UI" w:hAnsi="Nirmala UI" w:eastAsia="Nirmala UI" w:cs="Nirmala UI"/>
        </w:rPr>
        <w:t>দুটি</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অভিব্যক্তি</w:t>
      </w:r>
      <w:r>
        <w:rPr>
          <w:rFonts w:ascii="Times New Roman" w:hAnsi="Times New Roman" w:eastAsia="Times New Roman" w:cs="Times New Roman"/>
        </w:rPr>
        <w:t xml:space="preserve"> </w:t>
      </w:r>
      <w:r>
        <w:rPr>
          <w:rFonts w:ascii="Nirmala UI" w:hAnsi="Nirmala UI" w:eastAsia="Nirmala UI" w:cs="Nirmala UI"/>
        </w:rPr>
        <w:t>রয়েছে</w:t>
      </w:r>
      <w:r>
        <w:rPr>
          <w:rFonts w:ascii="Times New Roman" w:hAnsi="Times New Roman" w:eastAsia="Times New Roman" w:cs="Times New Roman"/>
        </w:rPr>
        <w:t xml:space="preserve">, </w:t>
      </w:r>
      <w:r>
        <w:rPr>
          <w:rFonts w:ascii="Nirmala UI" w:hAnsi="Nirmala UI" w:eastAsia="Nirmala UI" w:cs="Nirmala UI"/>
        </w:rPr>
        <w:t>যেগুলি</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বিবেচনা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প্রথমটি</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কানের</w:t>
      </w:r>
      <w:r>
        <w:rPr>
          <w:rFonts w:ascii="Times New Roman" w:hAnsi="Times New Roman" w:eastAsia="Times New Roman" w:cs="Times New Roman"/>
        </w:rPr>
        <w:t xml:space="preserve"> </w:t>
      </w:r>
      <w:r>
        <w:rPr>
          <w:rFonts w:ascii="Nirmala UI" w:hAnsi="Nirmala UI" w:eastAsia="Nirmala UI" w:cs="Nirmala UI"/>
        </w:rPr>
        <w:t>ঝিনঝিন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অন্যটি</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ওলনদড়ি।</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পদসমূহে</w:t>
      </w:r>
      <w:r>
        <w:rPr>
          <w:rFonts w:ascii="Times New Roman" w:hAnsi="Times New Roman" w:eastAsia="Times New Roman" w:cs="Times New Roman"/>
        </w:rPr>
        <w:t xml:space="preserve"> </w:t>
      </w:r>
      <w:r>
        <w:rPr>
          <w:rFonts w:ascii="Nirmala UI" w:hAnsi="Nirmala UI" w:eastAsia="Nirmala UI" w:cs="Nirmala UI"/>
        </w:rPr>
        <w:t>শমরিয়ার</w:t>
      </w:r>
      <w:r>
        <w:rPr>
          <w:rFonts w:ascii="Times New Roman" w:hAnsi="Times New Roman" w:eastAsia="Times New Roman" w:cs="Times New Roman"/>
        </w:rPr>
        <w:t xml:space="preserve"> </w:t>
      </w:r>
      <w:r>
        <w:rPr>
          <w:rFonts w:ascii="Nirmala UI" w:hAnsi="Nirmala UI" w:eastAsia="Nirmala UI" w:cs="Nirmala UI"/>
        </w:rPr>
        <w:t>মাপকাঠিকেও</w:t>
      </w:r>
      <w:r>
        <w:rPr>
          <w:rFonts w:ascii="Times New Roman" w:hAnsi="Times New Roman" w:eastAsia="Times New Roman" w:cs="Times New Roman"/>
        </w:rPr>
        <w:t xml:space="preserve"> </w:t>
      </w:r>
      <w:r>
        <w:rPr>
          <w:rFonts w:ascii="Nirmala UI" w:hAnsi="Nirmala UI" w:eastAsia="Nirmala UI" w:cs="Nirmala UI"/>
        </w:rPr>
        <w:t>আহাবের</w:t>
      </w:r>
      <w:r>
        <w:rPr>
          <w:rFonts w:ascii="Times New Roman" w:hAnsi="Times New Roman" w:eastAsia="Times New Roman" w:cs="Times New Roman"/>
        </w:rPr>
        <w:t xml:space="preserve"> </w:t>
      </w:r>
      <w:r>
        <w:rPr>
          <w:rFonts w:ascii="Nirmala UI" w:hAnsi="Nirmala UI" w:eastAsia="Nirmala UI" w:cs="Nirmala UI"/>
        </w:rPr>
        <w:t>গৃহের</w:t>
      </w:r>
      <w:r>
        <w:rPr>
          <w:rFonts w:ascii="Times New Roman" w:hAnsi="Times New Roman" w:eastAsia="Times New Roman" w:cs="Times New Roman"/>
        </w:rPr>
        <w:t xml:space="preserve"> </w:t>
      </w:r>
      <w:r>
        <w:rPr>
          <w:rFonts w:ascii="Nirmala UI" w:hAnsi="Nirmala UI" w:eastAsia="Nirmala UI" w:cs="Nirmala UI"/>
        </w:rPr>
        <w:t>ওলনদড়ি</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মাপকাঠি</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ওলনদড়ি</w:t>
      </w:r>
      <w:r>
        <w:rPr>
          <w:rFonts w:ascii="Times New Roman" w:hAnsi="Times New Roman" w:eastAsia="Times New Roman" w:cs="Times New Roman"/>
        </w:rPr>
        <w:t>—</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বিচারকার্যের</w:t>
      </w:r>
      <w:r>
        <w:rPr>
          <w:rFonts w:ascii="Times New Roman" w:hAnsi="Times New Roman" w:eastAsia="Times New Roman" w:cs="Times New Roman"/>
        </w:rPr>
        <w:t xml:space="preserve"> </w:t>
      </w:r>
      <w:r>
        <w:rPr>
          <w:rFonts w:ascii="Nirmala UI" w:hAnsi="Nirmala UI" w:eastAsia="Nirmala UI" w:cs="Nirmala UI"/>
        </w:rPr>
        <w:t>উপকরণ</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নির্মাণপ্রক্রিয়ায়</w:t>
      </w:r>
      <w:r>
        <w:rPr>
          <w:rFonts w:ascii="Times New Roman" w:hAnsi="Times New Roman" w:eastAsia="Times New Roman" w:cs="Times New Roman"/>
        </w:rPr>
        <w:t xml:space="preserve"> </w:t>
      </w:r>
      <w:r>
        <w:rPr>
          <w:rFonts w:ascii="Nirmala UI" w:hAnsi="Nirmala UI" w:eastAsia="Nirmala UI" w:cs="Nirmala UI"/>
        </w:rPr>
        <w:t>ব্যবহৃত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উক্ত</w:t>
      </w:r>
      <w:r>
        <w:rPr>
          <w:rFonts w:ascii="Times New Roman" w:hAnsi="Times New Roman" w:eastAsia="Times New Roman" w:cs="Times New Roman"/>
        </w:rPr>
        <w:t xml:space="preserve"> </w:t>
      </w:r>
      <w:r>
        <w:rPr>
          <w:rFonts w:ascii="Nirmala UI" w:hAnsi="Nirmala UI" w:eastAsia="Nirmala UI" w:cs="Nirmala UI"/>
        </w:rPr>
        <w:t>পদসমূহে</w:t>
      </w:r>
      <w:r>
        <w:rPr>
          <w:rFonts w:ascii="Times New Roman" w:hAnsi="Times New Roman" w:eastAsia="Times New Roman" w:cs="Times New Roman"/>
        </w:rPr>
        <w:t xml:space="preserve"> </w:t>
      </w:r>
      <w:r>
        <w:rPr>
          <w:rFonts w:ascii="Nirmala UI" w:hAnsi="Nirmala UI" w:eastAsia="Nirmala UI" w:cs="Nirmala UI"/>
        </w:rPr>
        <w:t>এগুলি</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কার্যকর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শমরিয়া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আহাবের</w:t>
      </w:r>
      <w:r>
        <w:rPr>
          <w:rFonts w:ascii="Times New Roman" w:hAnsi="Times New Roman" w:eastAsia="Times New Roman" w:cs="Times New Roman"/>
        </w:rPr>
        <w:t xml:space="preserve"> </w:t>
      </w:r>
      <w:r>
        <w:rPr>
          <w:rFonts w:ascii="Nirmala UI" w:hAnsi="Nirmala UI" w:eastAsia="Nirmala UI" w:cs="Nirmala UI"/>
        </w:rPr>
        <w:t>গৃহের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যিরূশালেমের</w:t>
      </w:r>
      <w:r>
        <w:rPr>
          <w:rFonts w:ascii="Times New Roman" w:hAnsi="Times New Roman" w:eastAsia="Times New Roman" w:cs="Times New Roman"/>
        </w:rPr>
        <w:t xml:space="preserve"> </w:t>
      </w:r>
      <w:r>
        <w:rPr>
          <w:rFonts w:ascii="Nirmala UI" w:hAnsi="Nirmala UI" w:eastAsia="Nirmala UI" w:cs="Nirmala UI"/>
        </w:rPr>
        <w:t>উপরও</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সতর্কবাণী</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ইতিমধ্যেই</w:t>
      </w:r>
      <w:r>
        <w:rPr>
          <w:rFonts w:ascii="Times New Roman" w:hAnsi="Times New Roman" w:eastAsia="Times New Roman" w:cs="Times New Roman"/>
        </w:rPr>
        <w:t xml:space="preserve"> </w:t>
      </w:r>
      <w:r>
        <w:rPr>
          <w:rFonts w:ascii="Nirmala UI" w:hAnsi="Nirmala UI" w:eastAsia="Nirmala UI" w:cs="Nirmala UI"/>
        </w:rPr>
        <w:t>আক্রান্ত</w:t>
      </w:r>
      <w:r>
        <w:rPr>
          <w:rFonts w:ascii="Times New Roman" w:hAnsi="Times New Roman" w:eastAsia="Times New Roman" w:cs="Times New Roman"/>
        </w:rPr>
        <w:t xml:space="preserve">, </w:t>
      </w:r>
      <w:r>
        <w:rPr>
          <w:rFonts w:ascii="Nirmala UI" w:hAnsi="Nirmala UI" w:eastAsia="Nirmala UI" w:cs="Nirmala UI"/>
        </w:rPr>
        <w:t>পরাজিত</w:t>
      </w:r>
      <w:r>
        <w:rPr>
          <w:rFonts w:ascii="Times New Roman" w:hAnsi="Times New Roman" w:eastAsia="Times New Roman" w:cs="Times New Roman"/>
        </w:rPr>
        <w:t xml:space="preserve">, </w:t>
      </w:r>
      <w:r>
        <w:rPr>
          <w:rFonts w:ascii="Nirmala UI" w:hAnsi="Nirmala UI" w:eastAsia="Nirmala UI" w:cs="Nirmala UI"/>
        </w:rPr>
        <w:t>ধ্বংসপ্রাপ্ত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দাসত্বে</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যাওয়া</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বিচারের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সকলের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ঝিনঝিনানি</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সতর্কবাণী</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ওলনদড়ি</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কানের</w:t>
      </w:r>
      <w:r>
        <w:rPr>
          <w:rFonts w:ascii="Times New Roman" w:hAnsi="Times New Roman" w:eastAsia="Times New Roman" w:cs="Times New Roman"/>
        </w:rPr>
        <w:t xml:space="preserve"> </w:t>
      </w:r>
      <w:r>
        <w:rPr>
          <w:rFonts w:ascii="Nirmala UI" w:hAnsi="Nirmala UI" w:eastAsia="Nirmala UI" w:cs="Nirmala UI"/>
        </w:rPr>
        <w:t>ঝিনঝিন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শাস্ত্রে</w:t>
      </w:r>
      <w:r>
        <w:rPr>
          <w:rFonts w:ascii="Times New Roman" w:hAnsi="Times New Roman" w:eastAsia="Times New Roman" w:cs="Times New Roman"/>
        </w:rPr>
        <w:t xml:space="preserve"> </w:t>
      </w:r>
      <w:r>
        <w:rPr>
          <w:rFonts w:ascii="Nirmala UI" w:hAnsi="Nirmala UI" w:eastAsia="Nirmala UI" w:cs="Nirmala UI"/>
        </w:rPr>
        <w:t>প্রত্যেকটি</w:t>
      </w:r>
      <w:r>
        <w:rPr>
          <w:rFonts w:ascii="Times New Roman" w:hAnsi="Times New Roman" w:eastAsia="Times New Roman" w:cs="Times New Roman"/>
        </w:rPr>
        <w:t xml:space="preserve"> </w:t>
      </w:r>
      <w:r>
        <w:rPr>
          <w:rFonts w:ascii="Nirmala UI" w:hAnsi="Nirmala UI" w:eastAsia="Nirmala UI" w:cs="Nirmala UI"/>
        </w:rPr>
        <w:t>তিনবার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পাওয়া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ক্ষেত্রে</w:t>
      </w:r>
      <w:r>
        <w:rPr>
          <w:rFonts w:ascii="Times New Roman" w:hAnsi="Times New Roman" w:eastAsia="Times New Roman" w:cs="Times New Roman"/>
        </w:rPr>
        <w:t xml:space="preserve">, </w:t>
      </w:r>
      <w:r>
        <w:rPr>
          <w:rFonts w:ascii="Nirmala UI" w:hAnsi="Nirmala UI" w:eastAsia="Nirmala UI" w:cs="Nirmala UI"/>
        </w:rPr>
        <w:t>এগুলি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ক্রোধকেই</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w:t>
      </w:r>
    </w:p>
    <w:p>
      <w:pPr>
        <w:pStyle w:val="ArticleScripture"/>
        <w:jc w:val="left"/>
      </w:pPr>
      <w:r>
        <w:rPr>
          <w:rFonts w:ascii="Microsoft YaHei" w:hAnsi="Microsoft YaHei" w:eastAsia="Microsoft YaHei" w:cs="Microsoft YaHei"/>
        </w:rPr>
        <w:t>從前耶和華來站著</w:t>
      </w:r>
      <w:r>
        <w:rPr>
          <w:rFonts w:ascii="Times New Roman" w:hAnsi="Times New Roman" w:eastAsia="Times New Roman" w:cs="Times New Roman"/>
        </w:rPr>
        <w:t>,</w:t>
      </w:r>
      <w:r>
        <w:rPr>
          <w:rFonts w:ascii="Microsoft YaHei" w:hAnsi="Microsoft YaHei" w:eastAsia="Microsoft YaHei" w:cs="Microsoft YaHei"/>
        </w:rPr>
        <w:t>像前幾次一樣呼喚說：「撒母耳！撒母耳！」撒母耳回答說：「請說</w:t>
      </w:r>
      <w:r>
        <w:rPr>
          <w:rFonts w:ascii="Times New Roman" w:hAnsi="Times New Roman" w:eastAsia="Times New Roman" w:cs="Times New Roman"/>
        </w:rPr>
        <w:t>,</w:t>
      </w:r>
      <w:r>
        <w:rPr>
          <w:rFonts w:ascii="Microsoft YaHei" w:hAnsi="Microsoft YaHei" w:eastAsia="Microsoft YaHei" w:cs="Microsoft YaHei"/>
        </w:rPr>
        <w:t>僕人敬聽</w:t>
      </w:r>
      <w:r>
        <w:rPr>
          <w:rFonts w:ascii="Times New Roman" w:hAnsi="Times New Roman" w:eastAsia="Times New Roman" w:cs="Times New Roman"/>
        </w:rPr>
        <w:t>.</w:t>
      </w:r>
      <w:r>
        <w:rPr>
          <w:rFonts w:ascii="Microsoft YaHei" w:hAnsi="Microsoft YaHei" w:eastAsia="Microsoft YaHei" w:cs="Microsoft YaHei"/>
        </w:rPr>
        <w:t>」耶和華對撒母耳說：「看哪</w:t>
      </w:r>
      <w:r>
        <w:rPr>
          <w:rFonts w:ascii="Times New Roman" w:hAnsi="Times New Roman" w:eastAsia="Times New Roman" w:cs="Times New Roman"/>
        </w:rPr>
        <w:t>,</w:t>
      </w:r>
      <w:r>
        <w:rPr>
          <w:rFonts w:ascii="Microsoft YaHei" w:hAnsi="Microsoft YaHei" w:eastAsia="Microsoft YaHei" w:cs="Microsoft YaHei"/>
        </w:rPr>
        <w:t>我在以色列中必行一件事</w:t>
      </w:r>
      <w:r>
        <w:rPr>
          <w:rFonts w:ascii="Times New Roman" w:hAnsi="Times New Roman" w:eastAsia="Times New Roman" w:cs="Times New Roman"/>
        </w:rPr>
        <w:t>,</w:t>
      </w:r>
      <w:r>
        <w:rPr>
          <w:rFonts w:ascii="Microsoft YaHei" w:hAnsi="Microsoft YaHei" w:eastAsia="Microsoft YaHei" w:cs="Microsoft YaHei"/>
        </w:rPr>
        <w:t>凡聽見的人</w:t>
      </w:r>
      <w:r>
        <w:rPr>
          <w:rFonts w:ascii="Times New Roman" w:hAnsi="Times New Roman" w:eastAsia="Times New Roman" w:cs="Times New Roman"/>
        </w:rPr>
        <w:t>,</w:t>
      </w:r>
      <w:r>
        <w:rPr>
          <w:rFonts w:ascii="Microsoft YaHei" w:hAnsi="Microsoft YaHei" w:eastAsia="Microsoft YaHei" w:cs="Microsoft YaHei"/>
        </w:rPr>
        <w:t>兩耳都必發鳴</w:t>
      </w:r>
      <w:r>
        <w:rPr>
          <w:rFonts w:ascii="Times New Roman" w:hAnsi="Times New Roman" w:eastAsia="Times New Roman" w:cs="Times New Roman"/>
        </w:rPr>
        <w:t>.</w:t>
      </w:r>
      <w:r>
        <w:rPr>
          <w:rFonts w:ascii="Microsoft YaHei" w:hAnsi="Microsoft YaHei" w:eastAsia="Microsoft YaHei" w:cs="Microsoft YaHei"/>
        </w:rPr>
        <w:t>到那日</w:t>
      </w:r>
      <w:r>
        <w:rPr>
          <w:rFonts w:ascii="Times New Roman" w:hAnsi="Times New Roman" w:eastAsia="Times New Roman" w:cs="Times New Roman"/>
        </w:rPr>
        <w:t>,</w:t>
      </w:r>
      <w:r>
        <w:rPr>
          <w:rFonts w:ascii="Microsoft YaHei" w:hAnsi="Microsoft YaHei" w:eastAsia="Microsoft YaHei" w:cs="Microsoft YaHei"/>
        </w:rPr>
        <w:t>我必向以利應驗我論他家的話</w:t>
      </w:r>
      <w:r>
        <w:rPr>
          <w:rFonts w:ascii="Times New Roman" w:hAnsi="Times New Roman" w:eastAsia="Times New Roman" w:cs="Times New Roman"/>
        </w:rPr>
        <w:t>;</w:t>
      </w:r>
      <w:r>
        <w:rPr>
          <w:rFonts w:ascii="Microsoft YaHei" w:hAnsi="Microsoft YaHei" w:eastAsia="Microsoft YaHei" w:cs="Microsoft YaHei"/>
        </w:rPr>
        <w:t>我既開始</w:t>
      </w:r>
      <w:r>
        <w:rPr>
          <w:rFonts w:ascii="Times New Roman" w:hAnsi="Times New Roman" w:eastAsia="Times New Roman" w:cs="Times New Roman"/>
        </w:rPr>
        <w:t>,</w:t>
      </w:r>
      <w:r>
        <w:rPr>
          <w:rFonts w:ascii="Microsoft YaHei" w:hAnsi="Microsoft YaHei" w:eastAsia="Microsoft YaHei" w:cs="Microsoft YaHei"/>
        </w:rPr>
        <w:t>也必成終</w:t>
      </w:r>
      <w:r>
        <w:rPr>
          <w:rFonts w:ascii="Times New Roman" w:hAnsi="Times New Roman" w:eastAsia="Times New Roman" w:cs="Times New Roman"/>
        </w:rPr>
        <w:t>.</w:t>
      </w:r>
      <w:r>
        <w:rPr>
          <w:rFonts w:ascii="Microsoft YaHei" w:hAnsi="Microsoft YaHei" w:eastAsia="Microsoft YaHei" w:cs="Microsoft YaHei"/>
        </w:rPr>
        <w:t>」撒母耳記上</w:t>
      </w:r>
      <w:r>
        <w:rPr>
          <w:rFonts w:ascii="Times New Roman" w:hAnsi="Times New Roman" w:eastAsia="Times New Roman" w:cs="Times New Roman"/>
        </w:rPr>
        <w:t xml:space="preserve"> 3:10–12</w:t>
      </w:r>
    </w:p>
    <w:p>
      <w:pPr>
        <w:pStyle w:val="ArticleBody"/>
        <w:jc w:val="left"/>
      </w:pPr>
      <w:r>
        <w:rPr>
          <w:rFonts w:ascii="Times New Roman" w:hAnsi="Times New Roman" w:eastAsia="Times New Roman" w:cs="Times New Roman"/>
        </w:rPr>
        <w:t>Ny fanonganana ny tranon’i Ely no faminaniana izay hampaneno ny sofin’izay rehetra mandre azy. Ny fanenoan’ny sofina, tamin’ny andron’i Samoela, dia maneho ny fandalovan’ny tranon’i Ely. Ny fahatanterahan’ny faminaniana nomena an’i Samoela dia ny fanonganana ny tranon’i Ely sy ny fanorenana an’i Samoela ho mpaminany. I Samoela dia tandindon’ny vahoaka iray izay, araka ny lazain’i Petera, fahiny dia tsy vahoakan’Andriamanitra, fa ankehitriny kosa dia vahoakany; satria rehefa naorina ho mpaminany i Samoela, dia rava ny tranon’i Ely. Jeremia koa dia manambara fitsarana hanohitra ny mpitarika tao Jerosalema izay mampaneno ny sofina.</w:t>
      </w:r>
    </w:p>
    <w:p>
      <w:pPr>
        <w:pStyle w:val="ArticleScripture"/>
        <w:jc w:val="left"/>
      </w:pPr>
      <w:r>
        <w:rPr>
          <w:rFonts w:ascii="Times New Roman" w:hAnsi="Times New Roman" w:eastAsia="Times New Roman" w:cs="Times New Roman"/>
        </w:rPr>
        <w:t>Et dis : Écoutez la parole de l’Éternel, rois de Juda, et habitants de Jérusalem ! Ainsi parle l’Éternel des armées, le Dieu d’Israël : Voici, je vais faire venir sur ce lieu un malheur tel que les oreilles de quiconque en entendra parler en tinteront. Jérémie 19:3.</w:t>
      </w:r>
    </w:p>
    <w:p>
      <w:pPr>
        <w:pStyle w:val="ArticleBody"/>
        <w:jc w:val="left"/>
      </w:pPr>
      <w:r>
        <w:rPr>
          <w:rFonts w:ascii="Times New Roman" w:hAnsi="Times New Roman" w:eastAsia="Times New Roman" w:cs="Times New Roman"/>
        </w:rPr>
        <w:t>Li refere de tri tuileschi che fan stgilaiver las ureglias èn tuts colliads cun in pievel da l’allianza che ha fatg in’allianza cun la mort e che suenter vegn invadì, conquistà, destruì, sparpaglià e manà en sclavitid. Las ureglias che stgiliveschan èn in simbol dal giudicament da l’indignaziun da Dieu, e il simbol da quel giudicament vegn er represchentà trais giadas en las Scrittiras cun il pled «fil a piomb». Nus l’avain gia legì en il segund Cudesch dals Retgs ed en Jesaja, ma i dat anc in’autra referenza al «fil a piomb» en las Scrittiras, ed en quella referenza il pled fil a piomb è translà d’in auter pled ebraic che en las duas referenzas precedentas.</w:t>
      </w:r>
    </w:p>
    <w:p>
      <w:pPr>
        <w:pStyle w:val="ArticleScripture"/>
        <w:jc w:val="left"/>
      </w:pPr>
      <w:r>
        <w:rPr>
          <w:rFonts w:ascii="Times New Roman" w:hAnsi="Times New Roman" w:eastAsia="Times New Roman" w:cs="Times New Roman"/>
        </w:rPr>
        <w:t>Den engel som talade med mig kom tillbaka och väckte mig, såsom en man väcks ur sin sömn. Och han sade till mig: Vad ser du? Jag svarade: Jag har sett, och se, en ljusstake helt av guld, med en skål upptill, och sju lampor på den, och sju rör till de sju lamporna som är upptill på den. Och två olivträd stod bredvid den, ett på högra sidan om skålen och det andra på dess vänstra sida. Då tog jag till orda och sade till ängeln som talade med mig: Vad är detta, min herre? Ängeln som talade med mig svarade och sade till mig: Vet du inte vad detta är? Jag sade: Nej, min herre. Då svarade han och sade till mig: Detta är Herrens ord till Serubbabel: Inte genom styrka, inte genom kraft, utan genom min Ande, säger Herren Sebaot. Vem är du, du stora berg? Inför Serubbabel skall du bli till en slätt. Och han skall föra fram huvudstenen under jubelrop: Nåd, nåd över den! Och Herrens ord kom vidare till mig och sade: Serubbabels händer har grundlagt detta hus, och hans händer skall också fullborda det. Då skall du inse att Herren Sebaot har sänt mig till er. Ty vem föraktar den ringa begynnelsens dag? De skall glädja sig när de ser lodsänket i Serubbabels hand, dessa sju; de är Herrens ögon, som far omkring över hela jorden. Sedan tog jag till orda och sade till honom: Vad är dessa två olivträd på ljusstakens högra sida och på dess vänstra sida? Och jag tog åter till orda och sade till honom: Vad är dessa två olivkvistar, som genom de två gyllene rören tömmer ut den gyllene oljan ur sig själva? Han svarade mig och sade: Vet du inte vad detta är? Jag sade: Nej, min herre. Då sade han: Dessa är de två smorda, som står inför hela jordens Herre. Sakarja 4:1–14.</w:t>
      </w:r>
    </w:p>
    <w:p>
      <w:pPr>
        <w:pStyle w:val="ArticleBody"/>
        <w:jc w:val="left"/>
      </w:pPr>
      <w:r>
        <w:rPr>
          <w:rFonts w:ascii="Times New Roman" w:hAnsi="Times New Roman" w:eastAsia="Times New Roman" w:cs="Times New Roman"/>
        </w:rPr>
        <w:t>Маънои калимае, ки дар Дуюм Подшоҳон ва Ишаъё бисту ҳашт ба «шоқул» тарҷума шудааст, «mishqâl» аст ва он маънои вазнро дорад. Дар ҳар ду порча ба хат вазн (шоқул) илова карда мешуд. Вазн ҳамон чизест, ки дар тарозу истифода мешавад ва рамзи доварист. Хат бо вазн хатти доварист. Хатти Сомария давраи «ҳафт замон», ё ду ҳазору панҷсаду бист сол буд. Ҳамон давраи вақт мебоист бар подшоҳии ҷанубӣ низ гузошта мешуд, ки бар подшоҳии шимолӣ оварда шуда буд. Поёни ҳар яке аз ин хатҳо дар китоби Дониёл ё ҳамчун анҷоми хашми охирин, ё ҳамчун анҷоми хашми аввалин муайян шудааст. Ин давра дар Дониёл ҳамчун даврае тасвир шудааст, ки дар он Ерусалим ва лашкар бояд аз ҷониби ду қудрати вайронкунанда — бутпарастӣ ва папизм — поймол карда мешуданд. Ҳар ду давра аз он вақт оғоз мегардиданд, ки пойтахтҳои мутаносиби онҳо мавриди ҳамла қарор гирифта, фатҳ ва вайрон карда шуда, шаҳрвандонашон ба асорат бурда мешуданд.</w:t>
      </w:r>
    </w:p>
    <w:p>
      <w:pPr>
        <w:pStyle w:val="ArticleBody"/>
        <w:jc w:val="left"/>
      </w:pPr>
      <w:r>
        <w:rPr>
          <w:rFonts w:ascii="Times New Roman" w:hAnsi="Times New Roman" w:eastAsia="Times New Roman" w:cs="Times New Roman"/>
        </w:rPr>
        <w:t>Pero en Zacarías, la palabra «plomada» se forma por la combinación de dos palabras hebreas. La primera palabra es «’eben», y significa «construir», y también significa «piedra». Significa «piedra de edificación». Esa palabra se combina luego con la palabra hebrea «bedîyl», que significa «dividir o separar». La «plomada» en Zacarías es la piedra sobre la cual se edifica y que produce una separación y una división. La división es entre dos clases de adoradores: una clase que se regocija cuando ve la piedra, la hace cabeza de su esquina, y edifica sobre ella; y la otra, que no la ve, la rechaza, tropieza sobre ella y finalmente es aplastada por ella, que entonces viene a ser su lápida o piedra sepulcral. Una clase hace un pacto con la vida; la otra, un pacto de muerte.</w:t>
      </w:r>
    </w:p>
    <w:p>
      <w:pPr>
        <w:pStyle w:val="ArticleBody"/>
        <w:jc w:val="left"/>
      </w:pPr>
      <w:r>
        <w:rPr>
          <w:rFonts w:ascii="Ebrima" w:hAnsi="Ebrima" w:eastAsia="Ebrima" w:cs="Ebrima"/>
        </w:rPr>
        <w:t>በዘካርያስ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በጥንት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ኢየሩሳሌምን</w:t>
      </w:r>
      <w:r>
        <w:rPr>
          <w:rFonts w:ascii="Times New Roman" w:hAnsi="Times New Roman" w:eastAsia="Times New Roman" w:cs="Times New Roman"/>
        </w:rPr>
        <w:t xml:space="preserve"> </w:t>
      </w:r>
      <w:r>
        <w:rPr>
          <w:rFonts w:ascii="Ebrima" w:hAnsi="Ebrima" w:eastAsia="Ebrima" w:cs="Ebrima"/>
        </w:rPr>
        <w:t>ዳግመኛ</w:t>
      </w:r>
      <w:r>
        <w:rPr>
          <w:rFonts w:ascii="Times New Roman" w:hAnsi="Times New Roman" w:eastAsia="Times New Roman" w:cs="Times New Roman"/>
        </w:rPr>
        <w:t xml:space="preserve"> </w:t>
      </w:r>
      <w:r>
        <w:rPr>
          <w:rFonts w:ascii="Ebrima" w:hAnsi="Ebrima" w:eastAsia="Ebrima" w:cs="Ebrima"/>
        </w:rPr>
        <w:t>ለመሥራትና</w:t>
      </w:r>
      <w:r>
        <w:rPr>
          <w:rFonts w:ascii="Times New Roman" w:hAnsi="Times New Roman" w:eastAsia="Times New Roman" w:cs="Times New Roman"/>
        </w:rPr>
        <w:t xml:space="preserve"> </w:t>
      </w:r>
      <w:r>
        <w:rPr>
          <w:rFonts w:ascii="Ebrima" w:hAnsi="Ebrima" w:eastAsia="Ebrima" w:cs="Ebrima"/>
        </w:rPr>
        <w:t>ለመመለስ</w:t>
      </w:r>
      <w:r>
        <w:rPr>
          <w:rFonts w:ascii="Times New Roman" w:hAnsi="Times New Roman" w:eastAsia="Times New Roman" w:cs="Times New Roman"/>
        </w:rPr>
        <w:t xml:space="preserve"> </w:t>
      </w:r>
      <w:r>
        <w:rPr>
          <w:rFonts w:ascii="Ebrima" w:hAnsi="Ebrima" w:eastAsia="Ebrima" w:cs="Ebrima"/>
        </w:rPr>
        <w:t>ከባቢሎን</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ተመልሳ</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ዘሩባቤል</w:t>
      </w:r>
      <w:r>
        <w:rPr>
          <w:rFonts w:ascii="Times New Roman" w:hAnsi="Times New Roman" w:eastAsia="Times New Roman" w:cs="Times New Roman"/>
        </w:rPr>
        <w:t xml:space="preserve"> </w:t>
      </w:r>
      <w:r>
        <w:rPr>
          <w:rFonts w:ascii="Ebrima" w:hAnsi="Ebrima" w:eastAsia="Ebrima" w:cs="Ebrima"/>
        </w:rPr>
        <w:t>ገዥ</w:t>
      </w:r>
      <w:r>
        <w:rPr>
          <w:rFonts w:ascii="Times New Roman" w:hAnsi="Times New Roman" w:eastAsia="Times New Roman" w:cs="Times New Roman"/>
        </w:rPr>
        <w:t xml:space="preserve"> </w:t>
      </w:r>
      <w:r>
        <w:rPr>
          <w:rFonts w:ascii="Ebrima" w:hAnsi="Ebrima" w:eastAsia="Ebrima" w:cs="Ebrima"/>
        </w:rPr>
        <w:t>ሆኖ</w:t>
      </w:r>
      <w:r>
        <w:rPr>
          <w:rFonts w:ascii="Times New Roman" w:hAnsi="Times New Roman" w:eastAsia="Times New Roman" w:cs="Times New Roman"/>
        </w:rPr>
        <w:t xml:space="preserve"> </w:t>
      </w:r>
      <w:r>
        <w:rPr>
          <w:rFonts w:ascii="Ebrima" w:hAnsi="Ebrima" w:eastAsia="Ebrima" w:cs="Ebrima"/>
        </w:rPr>
        <w:t>ተሾመ፣</w:t>
      </w:r>
      <w:r>
        <w:rPr>
          <w:rFonts w:ascii="Times New Roman" w:hAnsi="Times New Roman" w:eastAsia="Times New Roman" w:cs="Times New Roman"/>
        </w:rPr>
        <w:t xml:space="preserve"> </w:t>
      </w:r>
      <w:r>
        <w:rPr>
          <w:rFonts w:ascii="Ebrima" w:hAnsi="Ebrima" w:eastAsia="Ebrima" w:cs="Ebrima"/>
        </w:rPr>
        <w:t>ሥራውንም</w:t>
      </w:r>
      <w:r>
        <w:rPr>
          <w:rFonts w:ascii="Times New Roman" w:hAnsi="Times New Roman" w:eastAsia="Times New Roman" w:cs="Times New Roman"/>
        </w:rPr>
        <w:t xml:space="preserve"> </w:t>
      </w:r>
      <w:r>
        <w:rPr>
          <w:rFonts w:ascii="Ebrima" w:hAnsi="Ebrima" w:eastAsia="Ebrima" w:cs="Ebrima"/>
        </w:rPr>
        <w:t>እንዲቆጣጠር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በሥራው</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የመሠረት</w:t>
      </w:r>
      <w:r>
        <w:rPr>
          <w:rFonts w:ascii="Times New Roman" w:hAnsi="Times New Roman" w:eastAsia="Times New Roman" w:cs="Times New Roman"/>
        </w:rPr>
        <w:t xml:space="preserve"> </w:t>
      </w:r>
      <w:r>
        <w:rPr>
          <w:rFonts w:ascii="Ebrima" w:hAnsi="Ebrima" w:eastAsia="Ebrima" w:cs="Ebrima"/>
        </w:rPr>
        <w:t>ድንጋዩን</w:t>
      </w:r>
      <w:r>
        <w:rPr>
          <w:rFonts w:ascii="Times New Roman" w:hAnsi="Times New Roman" w:eastAsia="Times New Roman" w:cs="Times New Roman"/>
        </w:rPr>
        <w:t xml:space="preserve"> </w:t>
      </w:r>
      <w:r>
        <w:rPr>
          <w:rFonts w:ascii="Ebrima" w:hAnsi="Ebrima" w:eastAsia="Ebrima" w:cs="Ebrima"/>
        </w:rPr>
        <w:t>አኖረ፣</w:t>
      </w:r>
      <w:r>
        <w:rPr>
          <w:rFonts w:ascii="Times New Roman" w:hAnsi="Times New Roman" w:eastAsia="Times New Roman" w:cs="Times New Roman"/>
        </w:rPr>
        <w:t xml:space="preserve"> </w:t>
      </w:r>
      <w:r>
        <w:rPr>
          <w:rFonts w:ascii="Ebrima" w:hAnsi="Ebrima" w:eastAsia="Ebrima" w:cs="Ebrima"/>
        </w:rPr>
        <w:t>በሥራው</w:t>
      </w:r>
      <w:r>
        <w:rPr>
          <w:rFonts w:ascii="Times New Roman" w:hAnsi="Times New Roman" w:eastAsia="Times New Roman" w:cs="Times New Roman"/>
        </w:rPr>
        <w:t xml:space="preserve"> </w:t>
      </w:r>
      <w:r>
        <w:rPr>
          <w:rFonts w:ascii="Ebrima" w:hAnsi="Ebrima" w:eastAsia="Ebrima" w:cs="Ebrima"/>
        </w:rPr>
        <w:t>መጨረሻም</w:t>
      </w:r>
      <w:r>
        <w:rPr>
          <w:rFonts w:ascii="Times New Roman" w:hAnsi="Times New Roman" w:eastAsia="Times New Roman" w:cs="Times New Roman"/>
        </w:rPr>
        <w:t xml:space="preserve"> </w:t>
      </w:r>
      <w:r>
        <w:rPr>
          <w:rFonts w:ascii="Ebrima" w:hAnsi="Ebrima" w:eastAsia="Ebrima" w:cs="Ebrima"/>
        </w:rPr>
        <w:t>የራስ</w:t>
      </w:r>
      <w:r>
        <w:rPr>
          <w:rFonts w:ascii="Times New Roman" w:hAnsi="Times New Roman" w:eastAsia="Times New Roman" w:cs="Times New Roman"/>
        </w:rPr>
        <w:t xml:space="preserve"> </w:t>
      </w:r>
      <w:r>
        <w:rPr>
          <w:rFonts w:ascii="Ebrima" w:hAnsi="Ebrima" w:eastAsia="Ebrima" w:cs="Ebrima"/>
        </w:rPr>
        <w:t>ድንጋዩን፣</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የማጠናቀቂያ</w:t>
      </w:r>
      <w:r>
        <w:rPr>
          <w:rFonts w:ascii="Times New Roman" w:hAnsi="Times New Roman" w:eastAsia="Times New Roman" w:cs="Times New Roman"/>
        </w:rPr>
        <w:t xml:space="preserve"> </w:t>
      </w:r>
      <w:r>
        <w:rPr>
          <w:rFonts w:ascii="Ebrima" w:hAnsi="Ebrima" w:eastAsia="Ebrima" w:cs="Ebrima"/>
        </w:rPr>
        <w:t>ድንጋዩን</w:t>
      </w:r>
      <w:r>
        <w:rPr>
          <w:rFonts w:ascii="Times New Roman" w:hAnsi="Times New Roman" w:eastAsia="Times New Roman" w:cs="Times New Roman"/>
        </w:rPr>
        <w:t xml:space="preserve"> </w:t>
      </w:r>
      <w:r>
        <w:rPr>
          <w:rFonts w:ascii="Ebrima" w:hAnsi="Ebrima" w:eastAsia="Ebrima" w:cs="Ebrima"/>
        </w:rPr>
        <w:t>አኖረ።</w:t>
      </w:r>
      <w:r>
        <w:rPr>
          <w:rFonts w:ascii="Times New Roman" w:hAnsi="Times New Roman" w:eastAsia="Times New Roman" w:cs="Times New Roman"/>
        </w:rPr>
        <w:t xml:space="preserve"> </w:t>
      </w:r>
      <w:r>
        <w:rPr>
          <w:rFonts w:ascii="Ebrima" w:hAnsi="Ebrima" w:eastAsia="Ebrima" w:cs="Ebrima"/>
        </w:rPr>
        <w:t>ዘሩባቤል</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የባቢሎን</w:t>
      </w:r>
      <w:r>
        <w:rPr>
          <w:rFonts w:ascii="Times New Roman" w:hAnsi="Times New Roman" w:eastAsia="Times New Roman" w:cs="Times New Roman"/>
        </w:rPr>
        <w:t xml:space="preserve"> </w:t>
      </w:r>
      <w:r>
        <w:rPr>
          <w:rFonts w:ascii="Ebrima" w:hAnsi="Ebrima" w:eastAsia="Ebrima" w:cs="Ebrima"/>
        </w:rPr>
        <w:t>ዘር</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ትንቢቶቹ</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የመጨረሻዎቹን</w:t>
      </w:r>
      <w:r>
        <w:rPr>
          <w:rFonts w:ascii="Times New Roman" w:hAnsi="Times New Roman" w:eastAsia="Times New Roman" w:cs="Times New Roman"/>
        </w:rPr>
        <w:t xml:space="preserve"> </w:t>
      </w:r>
      <w:r>
        <w:rPr>
          <w:rFonts w:ascii="Ebrima" w:hAnsi="Ebrima" w:eastAsia="Ebrima" w:cs="Ebrima"/>
        </w:rPr>
        <w:t>ቀኖች</w:t>
      </w:r>
      <w:r>
        <w:rPr>
          <w:rFonts w:ascii="Times New Roman" w:hAnsi="Times New Roman" w:eastAsia="Times New Roman" w:cs="Times New Roman"/>
        </w:rPr>
        <w:t xml:space="preserve"> </w:t>
      </w:r>
      <w:r>
        <w:rPr>
          <w:rFonts w:ascii="Ebrima" w:hAnsi="Ebrima" w:eastAsia="Ebrima" w:cs="Ebrima"/>
        </w:rPr>
        <w:t>እየጠቆሙ</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የዘሩባቤልም</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የመሠረት</w:t>
      </w:r>
      <w:r>
        <w:rPr>
          <w:rFonts w:ascii="Times New Roman" w:hAnsi="Times New Roman" w:eastAsia="Times New Roman" w:cs="Times New Roman"/>
        </w:rPr>
        <w:t xml:space="preserve"> </w:t>
      </w:r>
      <w:r>
        <w:rPr>
          <w:rFonts w:ascii="Ebrima" w:hAnsi="Ebrima" w:eastAsia="Ebrima" w:cs="Ebrima"/>
        </w:rPr>
        <w:t>ድንጋዩ</w:t>
      </w:r>
      <w:r>
        <w:rPr>
          <w:rFonts w:ascii="Times New Roman" w:hAnsi="Times New Roman" w:eastAsia="Times New Roman" w:cs="Times New Roman"/>
        </w:rPr>
        <w:t xml:space="preserve"> </w:t>
      </w:r>
      <w:r>
        <w:rPr>
          <w:rFonts w:ascii="Ebrima" w:hAnsi="Ebrima" w:eastAsia="Ebrima" w:cs="Ebrima"/>
        </w:rPr>
        <w:t>ተቀመጠ፤</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የራስ</w:t>
      </w:r>
      <w:r>
        <w:rPr>
          <w:rFonts w:ascii="Times New Roman" w:hAnsi="Times New Roman" w:eastAsia="Times New Roman" w:cs="Times New Roman"/>
        </w:rPr>
        <w:t xml:space="preserve"> </w:t>
      </w:r>
      <w:r>
        <w:rPr>
          <w:rFonts w:ascii="Ebrima" w:hAnsi="Ebrima" w:eastAsia="Ebrima" w:cs="Ebrima"/>
        </w:rPr>
        <w:t>ድንጋዩ፣</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የማጠናቀቂያ</w:t>
      </w:r>
      <w:r>
        <w:rPr>
          <w:rFonts w:ascii="Times New Roman" w:hAnsi="Times New Roman" w:eastAsia="Times New Roman" w:cs="Times New Roman"/>
        </w:rPr>
        <w:t xml:space="preserve"> </w:t>
      </w:r>
      <w:r>
        <w:rPr>
          <w:rFonts w:ascii="Ebrima" w:hAnsi="Ebrima" w:eastAsia="Ebrima" w:cs="Ebrima"/>
        </w:rPr>
        <w:t>ድንጋዩ</w:t>
      </w:r>
      <w:r>
        <w:rPr>
          <w:rFonts w:ascii="Times New Roman" w:hAnsi="Times New Roman" w:eastAsia="Times New Roman" w:cs="Times New Roman"/>
        </w:rPr>
        <w:t xml:space="preserve"> </w:t>
      </w:r>
      <w:r>
        <w:rPr>
          <w:rFonts w:ascii="Ebrima" w:hAnsi="Ebrima" w:eastAsia="Ebrima" w:cs="Ebrima"/>
        </w:rPr>
        <w:t>በሚቀመጥበት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የሦስተኛው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በሁለተኛው</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የመንፈስ</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መፍሰስ</w:t>
      </w:r>
      <w:r>
        <w:rPr>
          <w:rFonts w:ascii="Times New Roman" w:hAnsi="Times New Roman" w:eastAsia="Times New Roman" w:cs="Times New Roman"/>
        </w:rPr>
        <w:t xml:space="preserve"> </w:t>
      </w:r>
      <w:r>
        <w:rPr>
          <w:rFonts w:ascii="Ebrima" w:hAnsi="Ebrima" w:eastAsia="Ebrima" w:cs="Ebrima"/>
        </w:rPr>
        <w:t>መገለጥ</w:t>
      </w:r>
      <w:r>
        <w:rPr>
          <w:rFonts w:ascii="Times New Roman" w:hAnsi="Times New Roman" w:eastAsia="Times New Roman" w:cs="Times New Roman"/>
        </w:rPr>
        <w:t xml:space="preserve"> </w:t>
      </w:r>
      <w:r>
        <w:rPr>
          <w:rFonts w:ascii="Ebrima" w:hAnsi="Ebrima" w:eastAsia="Ebrima" w:cs="Ebrima"/>
        </w:rPr>
        <w:t>በዘሩባቤል</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የባቢሎን</w:t>
      </w:r>
      <w:r>
        <w:rPr>
          <w:rFonts w:ascii="Times New Roman" w:hAnsi="Times New Roman" w:eastAsia="Times New Roman" w:cs="Times New Roman"/>
        </w:rPr>
        <w:t xml:space="preserve"> </w:t>
      </w:r>
      <w:r>
        <w:rPr>
          <w:rFonts w:ascii="Ebrima" w:hAnsi="Ebrima" w:eastAsia="Ebrima" w:cs="Ebrima"/>
        </w:rPr>
        <w:t>ዘር</w:t>
      </w:r>
      <w:r>
        <w:rPr>
          <w:rFonts w:ascii="Times New Roman" w:hAnsi="Times New Roman" w:eastAsia="Times New Roman" w:cs="Times New Roman"/>
        </w:rPr>
        <w:t xml:space="preserve">) </w:t>
      </w:r>
      <w:r>
        <w:rPr>
          <w:rFonts w:ascii="Ebrima" w:hAnsi="Ebrima" w:eastAsia="Ebrima" w:cs="Ebrima"/>
        </w:rPr>
        <w:t>ይወከላል፥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ዘር</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እንዲወጣ</w:t>
      </w:r>
      <w:r>
        <w:rPr>
          <w:rFonts w:ascii="Times New Roman" w:hAnsi="Times New Roman" w:eastAsia="Times New Roman" w:cs="Times New Roman"/>
        </w:rPr>
        <w:t xml:space="preserve"> </w:t>
      </w:r>
      <w:r>
        <w:rPr>
          <w:rFonts w:ascii="Ebrima" w:hAnsi="Ebrima" w:eastAsia="Ebrima" w:cs="Ebrima"/>
        </w:rPr>
        <w:t>የሚጠራውን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ይወክላልና።</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የተከሰተውን</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በመጨረሻው</w:t>
      </w:r>
      <w:r>
        <w:rPr>
          <w:rFonts w:ascii="Times New Roman" w:hAnsi="Times New Roman" w:eastAsia="Times New Roman" w:cs="Times New Roman"/>
        </w:rPr>
        <w:t xml:space="preserve"> </w:t>
      </w:r>
      <w:r>
        <w:rPr>
          <w:rFonts w:ascii="Ebrima" w:hAnsi="Ebrima" w:eastAsia="Ebrima" w:cs="Ebrima"/>
        </w:rPr>
        <w:t>የታላቁ</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እንቅስቃሴ</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ሊፈጸም</w:t>
      </w:r>
      <w:r>
        <w:rPr>
          <w:rFonts w:ascii="Times New Roman" w:hAnsi="Times New Roman" w:eastAsia="Times New Roman" w:cs="Times New Roman"/>
        </w:rPr>
        <w:t xml:space="preserve"> </w:t>
      </w:r>
      <w:r>
        <w:rPr>
          <w:rFonts w:ascii="Ebrima" w:hAnsi="Ebrima" w:eastAsia="Ebrima" w:cs="Ebrima"/>
        </w:rPr>
        <w:t>ቀርቦአል።</w:t>
      </w:r>
    </w:p>
    <w:p>
      <w:pPr>
        <w:pStyle w:val="ArticleBody"/>
        <w:jc w:val="left"/>
      </w:pPr>
      <w:r>
        <w:rPr>
          <w:rFonts w:ascii="Times New Roman" w:hAnsi="Times New Roman" w:eastAsia="Times New Roman" w:cs="Times New Roman"/>
        </w:rPr>
        <w:t>Ang dalawang punong olibo, ang dalawang sanga ng olibo, at ang dalawang pinahiran ng langis na kumakatawan sa mga sisidlang pinagbubuhusan ng langis ng dalawang gintong tubo:</w:t>
      </w:r>
    </w:p>
    <w:p>
      <w:pPr>
        <w:pStyle w:val="ArticleScripture"/>
        <w:jc w:val="left"/>
      </w:pPr>
      <w:r>
        <w:rPr>
          <w:rFonts w:ascii="Times New Roman" w:hAnsi="Times New Roman" w:eastAsia="Times New Roman" w:cs="Times New Roman"/>
        </w:rPr>
        <w:t>«Οι κεχρισμένοι, οι ιστάμενοι παρά τω Κυρίω πάσης της γης, κατέχουν τη θέση που άλλοτε είχε δοθεί στον Σατανά ως επισκιάζον Χερουβείμ. Διά των αγίων όντων που περιβάλλουν τον θρόνο Του, ο Κύριος διατηρεί αδιάκοπη επικοινωνία με τους κατοίκους της γης. Το χρυσούν έλαιον παριστά τη χάρη με την οποία ο Θεός τροφοδοτεί διαρκώς τους λύχνους των πιστών, ώστε να μη τρεμοσβήνουν και σβήσουν. Εάν το άγιο αυτό έλαιον δεν εξεχεόταν από τον ουρανό διά των μηνυμάτων του Πνεύματος του Θεού, οι δυνάμεις του κακού θα ασκούσαν πλήρη έλεγχο επί των ανθρώπων.»</w:t>
      </w:r>
    </w:p>
    <w:p>
      <w:pPr>
        <w:pStyle w:val="ArticleScripture"/>
        <w:jc w:val="left"/>
      </w:pPr>
      <w:r>
        <w:rPr>
          <w:rFonts w:ascii="Times New Roman" w:hAnsi="Times New Roman" w:eastAsia="Times New Roman" w:cs="Times New Roman"/>
        </w:rPr>
        <w:t>“Mlaku wa Xikwembu wu tluriwa ku xiximiwa loko hi nga amukeli marungula lawa a hi rhumelaka wona. Hi ndlela leyi, hi ala mafurha ya nsuku lawa a a ta ma chulula emimoyeni ya hina leswaku ma hangalasiwa eka lava nga emunyameni. Loko xirilo xi ta fika, ‘Vonani, muteki u ta; humani mi ya n’wi hlanganisa,’ lava nga amukelangiki mafurha yo kwetsima, lava nga hlayisangiki tintswalo ta Kriste etimbilwini ta vona, va ta kuma, ku fana ni tinhwanyana to humbuka, leswaku a va lunghekanga ku ya hlangana ni Hosi ya vona. Eka vona hi voxe a va na matimba yo kuma mafurha, kutani vutomi bya vona byi onhakile. Kambe loko Moya wo Kwetsima wa Xikwembu wu kombeliwa, loko hi khongotela, hilaha Muxe a endleke hakona, ‘Ndzi komba ku vangama ka wena,’ rirhandzu ra Xikwembu ri ta chuluriwa etimbilwini ta hina. Hi ku tirhisa timpompi ta nsuku, mafurha ya nsuku ma ta hundziseriwa eka hina. ‘A hi hi matimba, kumbe hi vukulukumba, kambe hi Moya wa mina, ku vula HOSI ya mavandla.’ Hi ku amukela miseve yo vangama ya Dyambu ra Ku lulama, vana va Xikwembu va voninga kukota timboni emisaveni.” Review and Herald, July 20, 1897.</w:t>
      </w:r>
    </w:p>
    <w:p>
      <w:pPr>
        <w:pStyle w:val="ArticleBody"/>
        <w:jc w:val="left"/>
      </w:pPr>
      <w:r>
        <w:rPr>
          <w:rFonts w:ascii="Nirmala UI" w:hAnsi="Nirmala UI" w:eastAsia="Nirmala UI" w:cs="Nirmala UI"/>
        </w:rPr>
        <w:t>जकर्याहले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जैतूनका</w:t>
      </w:r>
      <w:r>
        <w:rPr>
          <w:rFonts w:ascii="Times New Roman" w:hAnsi="Times New Roman" w:eastAsia="Times New Roman" w:cs="Times New Roman"/>
        </w:rPr>
        <w:t xml:space="preserve"> </w:t>
      </w:r>
      <w:r>
        <w:rPr>
          <w:rFonts w:ascii="Nirmala UI" w:hAnsi="Nirmala UI" w:eastAsia="Nirmala UI" w:cs="Nirmala UI"/>
        </w:rPr>
        <w:t>रूखहरू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बारम्बार</w:t>
      </w:r>
      <w:r>
        <w:rPr>
          <w:rFonts w:ascii="Times New Roman" w:hAnsi="Times New Roman" w:eastAsia="Times New Roman" w:cs="Times New Roman"/>
        </w:rPr>
        <w:t xml:space="preserve"> </w:t>
      </w:r>
      <w:r>
        <w:rPr>
          <w:rFonts w:ascii="Nirmala UI" w:hAnsi="Nirmala UI" w:eastAsia="Nirmala UI" w:cs="Nirmala UI"/>
        </w:rPr>
        <w:t>सोधेका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साक्षीका</w:t>
      </w:r>
      <w:r>
        <w:rPr>
          <w:rFonts w:ascii="Times New Roman" w:hAnsi="Times New Roman" w:eastAsia="Times New Roman" w:cs="Times New Roman"/>
        </w:rPr>
        <w:t xml:space="preserve"> </w:t>
      </w:r>
      <w:r>
        <w:rPr>
          <w:rFonts w:ascii="Nirmala UI" w:hAnsi="Nirmala UI" w:eastAsia="Nirmala UI" w:cs="Nirmala UI"/>
        </w:rPr>
        <w:t>विविध</w:t>
      </w:r>
      <w:r>
        <w:rPr>
          <w:rFonts w:ascii="Times New Roman" w:hAnsi="Times New Roman" w:eastAsia="Times New Roman" w:cs="Times New Roman"/>
        </w:rPr>
        <w:t xml:space="preserve"> </w:t>
      </w:r>
      <w:r>
        <w:rPr>
          <w:rFonts w:ascii="Nirmala UI" w:hAnsi="Nirmala UI" w:eastAsia="Nirmala UI" w:cs="Nirmala UI"/>
        </w:rPr>
        <w:t>प्रतीकहरूतर्फ</w:t>
      </w:r>
      <w:r>
        <w:rPr>
          <w:rFonts w:ascii="Times New Roman" w:hAnsi="Times New Roman" w:eastAsia="Times New Roman" w:cs="Times New Roman"/>
        </w:rPr>
        <w:t xml:space="preserve"> </w:t>
      </w:r>
      <w:r>
        <w:rPr>
          <w:rFonts w:ascii="Nirmala UI" w:hAnsi="Nirmala UI" w:eastAsia="Nirmala UI" w:cs="Nirmala UI"/>
        </w:rPr>
        <w:t>ध्यानाकर्षण</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जैतूनका</w:t>
      </w:r>
      <w:r>
        <w:rPr>
          <w:rFonts w:ascii="Times New Roman" w:hAnsi="Times New Roman" w:eastAsia="Times New Roman" w:cs="Times New Roman"/>
        </w:rPr>
        <w:t xml:space="preserve"> </w:t>
      </w:r>
      <w:r>
        <w:rPr>
          <w:rFonts w:ascii="Nirmala UI" w:hAnsi="Nirmala UI" w:eastAsia="Nirmala UI" w:cs="Nirmala UI"/>
        </w:rPr>
        <w:t>रूखहरूलाई</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साक्षीहरूका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गर्नुहुन्छ।</w:t>
      </w:r>
    </w:p>
    <w:p>
      <w:pPr>
        <w:pStyle w:val="ArticleScripture"/>
        <w:jc w:val="left"/>
      </w:pPr>
      <w:r>
        <w:rPr>
          <w:rFonts w:ascii="Times New Roman" w:hAnsi="Times New Roman" w:eastAsia="Times New Roman" w:cs="Times New Roman"/>
        </w:rPr>
        <w:t>“Bezüglich der zwei Zeugen erklärt der Prophet weiter: ‘Diese sind die zwei Ölbäume und die zwei Leuchter, die vor dem Gott der Erde stehen.’ ‘Dein Wort’, sagte der Psalmist, ‘ist meines Fußes Leuchte und ein Licht auf meinem Wege.’ Offenbarung 11,4; Psalm 119,105. Die zwei Zeugen stellen die Schriften des Alten und des Neuen Testaments dar.” Der große Kampf, 267.</w:t>
      </w:r>
    </w:p>
    <w:p>
      <w:pPr>
        <w:pStyle w:val="ArticleBody"/>
        <w:jc w:val="left"/>
      </w:pPr>
      <w:r>
        <w:rPr>
          <w:rFonts w:ascii="Times New Roman" w:hAnsi="Times New Roman" w:eastAsia="Times New Roman" w:cs="Times New Roman"/>
        </w:rPr>
        <w:t>Zakariya alikuwa ametaka kufahamu hawa mashahidi wawili ni akina nani. Katika Mapinduzi ya Ufaransa walikuwa ni Agano la Kale na Agano Jipya. Waliwakilishwa kama Musa na Eliya waliouawa barabarani na yule mnyama aliyepanda kutoka katika shimo lisilo na mwisho. Wanawakilisha huduma ya Future for America iliyouawa tarehe 18 Julai, 2020.</w:t>
      </w:r>
    </w:p>
    <w:p>
      <w:pPr>
        <w:pStyle w:val="ArticleBody"/>
        <w:jc w:val="left"/>
      </w:pPr>
      <w:r>
        <w:rPr>
          <w:rFonts w:ascii="Times New Roman" w:hAnsi="Times New Roman" w:eastAsia="Times New Roman" w:cs="Times New Roman"/>
        </w:rPr>
        <w:t>Ekuqaleni kwesahluko, emva kokuba uZekariya evusiwe, xa amathambo omileyo abafileyo ehlanganiswa, kodwa engekabikho ephila, uGabriyeli uyabuza athi, “Ubona ntoni?” UZekariya uchaza oko akubonileyo, aze ke abuze athi, “Yintoni na ezi, nkosi yam?” UGabriyeli ugxininisa umxholo wombuzo ngokuphendula umbuzo kaZekariya ngombuzo. Ubuza uZekariya athi, “Akukwazi na ukuba ziyintoni na ezi?” Emva koko uGabriyeli aphendule athi, “Lilo eli ilizwi leNkosi kuZerubhabheli, lisithi, Akungamandla, kungagunya, koko kungoMoya wam, itsho iNkosi yemikhosi.”</w:t>
      </w:r>
    </w:p>
    <w:p>
      <w:pPr>
        <w:pStyle w:val="ArticleBody"/>
        <w:jc w:val="left"/>
      </w:pPr>
      <w:r>
        <w:rPr>
          <w:rFonts w:ascii="Malgun Gothic" w:hAnsi="Malgun Gothic" w:eastAsia="Malgun Gothic" w:cs="Malgun Gothic"/>
        </w:rPr>
        <w:t>칼님께서</w:t>
      </w:r>
      <w:r>
        <w:rPr>
          <w:rFonts w:ascii="Times New Roman" w:hAnsi="Times New Roman" w:eastAsia="Times New Roman" w:cs="Times New Roman"/>
        </w:rPr>
        <w:t xml:space="preserve"> </w:t>
      </w:r>
      <w:r>
        <w:rPr>
          <w:rFonts w:ascii="Malgun Gothic" w:hAnsi="Malgun Gothic" w:eastAsia="Malgun Gothic" w:cs="Malgun Gothic"/>
        </w:rPr>
        <w:t>스룹바벨에게</w:t>
      </w:r>
      <w:r>
        <w:rPr>
          <w:rFonts w:ascii="Times New Roman" w:hAnsi="Times New Roman" w:eastAsia="Times New Roman" w:cs="Times New Roman"/>
        </w:rPr>
        <w:t xml:space="preserve"> </w:t>
      </w:r>
      <w:r>
        <w:rPr>
          <w:rFonts w:ascii="Malgun Gothic" w:hAnsi="Malgun Gothic" w:eastAsia="Malgun Gothic" w:cs="Malgun Gothic"/>
        </w:rPr>
        <w:t>주신</w:t>
      </w:r>
      <w:r>
        <w:rPr>
          <w:rFonts w:ascii="Times New Roman" w:hAnsi="Times New Roman" w:eastAsia="Times New Roman" w:cs="Times New Roman"/>
        </w:rPr>
        <w:t xml:space="preserve"> </w:t>
      </w:r>
      <w:r>
        <w:rPr>
          <w:rFonts w:ascii="Malgun Gothic" w:hAnsi="Malgun Gothic" w:eastAsia="Malgun Gothic" w:cs="Malgun Gothic"/>
        </w:rPr>
        <w:t>말씀은</w:t>
      </w:r>
      <w:r>
        <w:rPr>
          <w:rFonts w:ascii="Times New Roman" w:hAnsi="Times New Roman" w:eastAsia="Times New Roman" w:cs="Times New Roman"/>
        </w:rPr>
        <w:t xml:space="preserve"> </w:t>
      </w:r>
      <w:r>
        <w:rPr>
          <w:rFonts w:ascii="Malgun Gothic" w:hAnsi="Malgun Gothic" w:eastAsia="Malgun Gothic" w:cs="Malgun Gothic"/>
        </w:rPr>
        <w:t>이러하였다</w:t>
      </w:r>
      <w:r>
        <w:rPr>
          <w:rFonts w:ascii="Times New Roman" w:hAnsi="Times New Roman" w:eastAsia="Times New Roman" w:cs="Times New Roman"/>
        </w:rPr>
        <w:t>. “</w:t>
      </w:r>
      <w:r>
        <w:rPr>
          <w:rFonts w:ascii="Malgun Gothic" w:hAnsi="Malgun Gothic" w:eastAsia="Malgun Gothic" w:cs="Malgun Gothic"/>
        </w:rPr>
        <w:t>힘으로</w:t>
      </w:r>
      <w:r>
        <w:rPr>
          <w:rFonts w:ascii="Times New Roman" w:hAnsi="Times New Roman" w:eastAsia="Times New Roman" w:cs="Times New Roman"/>
        </w:rPr>
        <w:t xml:space="preserve"> </w:t>
      </w:r>
      <w:r>
        <w:rPr>
          <w:rFonts w:ascii="Malgun Gothic" w:hAnsi="Malgun Gothic" w:eastAsia="Malgun Gothic" w:cs="Malgun Gothic"/>
        </w:rPr>
        <w:t>되지</w:t>
      </w:r>
      <w:r>
        <w:rPr>
          <w:rFonts w:ascii="Times New Roman" w:hAnsi="Times New Roman" w:eastAsia="Times New Roman" w:cs="Times New Roman"/>
        </w:rPr>
        <w:t xml:space="preserve"> </w:t>
      </w:r>
      <w:r>
        <w:rPr>
          <w:rFonts w:ascii="Malgun Gothic" w:hAnsi="Malgun Gothic" w:eastAsia="Malgun Gothic" w:cs="Malgun Gothic"/>
        </w:rPr>
        <w:t>아니하며</w:t>
      </w:r>
      <w:r>
        <w:rPr>
          <w:rFonts w:ascii="Times New Roman" w:hAnsi="Times New Roman" w:eastAsia="Times New Roman" w:cs="Times New Roman"/>
        </w:rPr>
        <w:t xml:space="preserve"> </w:t>
      </w:r>
      <w:r>
        <w:rPr>
          <w:rFonts w:ascii="Malgun Gothic" w:hAnsi="Malgun Gothic" w:eastAsia="Malgun Gothic" w:cs="Malgun Gothic"/>
        </w:rPr>
        <w:t>능으로</w:t>
      </w:r>
      <w:r>
        <w:rPr>
          <w:rFonts w:ascii="Times New Roman" w:hAnsi="Times New Roman" w:eastAsia="Times New Roman" w:cs="Times New Roman"/>
        </w:rPr>
        <w:t xml:space="preserve"> </w:t>
      </w:r>
      <w:r>
        <w:rPr>
          <w:rFonts w:ascii="Malgun Gothic" w:hAnsi="Malgun Gothic" w:eastAsia="Malgun Gothic" w:cs="Malgun Gothic"/>
        </w:rPr>
        <w:t>되지</w:t>
      </w:r>
      <w:r>
        <w:rPr>
          <w:rFonts w:ascii="Times New Roman" w:hAnsi="Times New Roman" w:eastAsia="Times New Roman" w:cs="Times New Roman"/>
        </w:rPr>
        <w:t xml:space="preserve"> </w:t>
      </w:r>
      <w:r>
        <w:rPr>
          <w:rFonts w:ascii="Malgun Gothic" w:hAnsi="Malgun Gothic" w:eastAsia="Malgun Gothic" w:cs="Malgun Gothic"/>
        </w:rPr>
        <w:t>아니하고</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나의</w:t>
      </w:r>
      <w:r>
        <w:rPr>
          <w:rFonts w:ascii="Times New Roman" w:hAnsi="Times New Roman" w:eastAsia="Times New Roman" w:cs="Times New Roman"/>
        </w:rPr>
        <w:t xml:space="preserve"> </w:t>
      </w:r>
      <w:r>
        <w:rPr>
          <w:rFonts w:ascii="Malgun Gothic" w:hAnsi="Malgun Gothic" w:eastAsia="Malgun Gothic" w:cs="Malgun Gothic"/>
        </w:rPr>
        <w:t>영으로</w:t>
      </w:r>
      <w:r>
        <w:rPr>
          <w:rFonts w:ascii="Times New Roman" w:hAnsi="Times New Roman" w:eastAsia="Times New Roman" w:cs="Times New Roman"/>
        </w:rPr>
        <w:t xml:space="preserve"> </w:t>
      </w:r>
      <w:r>
        <w:rPr>
          <w:rFonts w:ascii="Malgun Gothic" w:hAnsi="Malgun Gothic" w:eastAsia="Malgun Gothic" w:cs="Malgun Gothic"/>
        </w:rPr>
        <w:t>되느니라</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산아</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무엇이냐</w:t>
      </w:r>
      <w:r>
        <w:rPr>
          <w:rFonts w:ascii="Times New Roman" w:hAnsi="Times New Roman" w:eastAsia="Times New Roman" w:cs="Times New Roman"/>
        </w:rPr>
        <w:t xml:space="preserve">? </w:t>
      </w:r>
      <w:r>
        <w:rPr>
          <w:rFonts w:ascii="Malgun Gothic" w:hAnsi="Malgun Gothic" w:eastAsia="Malgun Gothic" w:cs="Malgun Gothic"/>
        </w:rPr>
        <w:t>네가</w:t>
      </w:r>
      <w:r>
        <w:rPr>
          <w:rFonts w:ascii="Times New Roman" w:hAnsi="Times New Roman" w:eastAsia="Times New Roman" w:cs="Times New Roman"/>
        </w:rPr>
        <w:t xml:space="preserve"> </w:t>
      </w:r>
      <w:r>
        <w:rPr>
          <w:rFonts w:ascii="Malgun Gothic" w:hAnsi="Malgun Gothic" w:eastAsia="Malgun Gothic" w:cs="Malgun Gothic"/>
        </w:rPr>
        <w:t>스룹바벨</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평지가</w:t>
      </w:r>
      <w:r>
        <w:rPr>
          <w:rFonts w:ascii="Times New Roman" w:hAnsi="Times New Roman" w:eastAsia="Times New Roman" w:cs="Times New Roman"/>
        </w:rPr>
        <w:t xml:space="preserve"> </w:t>
      </w:r>
      <w:r>
        <w:rPr>
          <w:rFonts w:ascii="Malgun Gothic" w:hAnsi="Malgun Gothic" w:eastAsia="Malgun Gothic" w:cs="Malgun Gothic"/>
        </w:rPr>
        <w:t>되리라</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머릿돌을</w:t>
      </w:r>
      <w:r>
        <w:rPr>
          <w:rFonts w:ascii="Times New Roman" w:hAnsi="Times New Roman" w:eastAsia="Times New Roman" w:cs="Times New Roman"/>
        </w:rPr>
        <w:t xml:space="preserve"> </w:t>
      </w:r>
      <w:r>
        <w:rPr>
          <w:rFonts w:ascii="Malgun Gothic" w:hAnsi="Malgun Gothic" w:eastAsia="Malgun Gothic" w:cs="Malgun Gothic"/>
        </w:rPr>
        <w:t>내어</w:t>
      </w:r>
      <w:r>
        <w:rPr>
          <w:rFonts w:ascii="Times New Roman" w:hAnsi="Times New Roman" w:eastAsia="Times New Roman" w:cs="Times New Roman"/>
        </w:rPr>
        <w:t xml:space="preserve"> </w:t>
      </w:r>
      <w:r>
        <w:rPr>
          <w:rFonts w:ascii="Malgun Gothic" w:hAnsi="Malgun Gothic" w:eastAsia="Malgun Gothic" w:cs="Malgun Gothic"/>
        </w:rPr>
        <w:t>놓을</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무리가</w:t>
      </w:r>
      <w:r>
        <w:rPr>
          <w:rFonts w:ascii="Times New Roman" w:hAnsi="Times New Roman" w:eastAsia="Times New Roman" w:cs="Times New Roman"/>
        </w:rPr>
        <w:t xml:space="preserve"> </w:t>
      </w:r>
      <w:r>
        <w:rPr>
          <w:rFonts w:ascii="Malgun Gothic" w:hAnsi="Malgun Gothic" w:eastAsia="Malgun Gothic" w:cs="Malgun Gothic"/>
        </w:rPr>
        <w:t>외치며</w:t>
      </w:r>
      <w:r>
        <w:rPr>
          <w:rFonts w:ascii="Times New Roman" w:hAnsi="Times New Roman" w:eastAsia="Times New Roman" w:cs="Times New Roman"/>
        </w:rPr>
        <w:t xml:space="preserve"> </w:t>
      </w:r>
      <w:r>
        <w:rPr>
          <w:rFonts w:ascii="Malgun Gothic" w:hAnsi="Malgun Gothic" w:eastAsia="Malgun Gothic" w:cs="Malgun Gothic"/>
        </w:rPr>
        <w:t>이르기를</w:t>
      </w:r>
      <w:r>
        <w:rPr>
          <w:rFonts w:ascii="Times New Roman" w:hAnsi="Times New Roman" w:eastAsia="Times New Roman" w:cs="Times New Roman"/>
        </w:rPr>
        <w:t xml:space="preserve">, </w:t>
      </w:r>
      <w:r>
        <w:rPr>
          <w:rFonts w:ascii="Malgun Gothic" w:hAnsi="Malgun Gothic" w:eastAsia="Malgun Gothic" w:cs="Malgun Gothic"/>
        </w:rPr>
        <w:t>은총</w:t>
      </w:r>
      <w:r>
        <w:rPr>
          <w:rFonts w:ascii="Times New Roman" w:hAnsi="Times New Roman" w:eastAsia="Times New Roman" w:cs="Times New Roman"/>
        </w:rPr>
        <w:t xml:space="preserve">, </w:t>
      </w:r>
      <w:r>
        <w:rPr>
          <w:rFonts w:ascii="Malgun Gothic" w:hAnsi="Malgun Gothic" w:eastAsia="Malgun Gothic" w:cs="Malgun Gothic"/>
        </w:rPr>
        <w:t>은총이</w:t>
      </w:r>
      <w:r>
        <w:rPr>
          <w:rFonts w:ascii="Times New Roman" w:hAnsi="Times New Roman" w:eastAsia="Times New Roman" w:cs="Times New Roman"/>
        </w:rPr>
        <w:t xml:space="preserve"> </w:t>
      </w:r>
      <w:r>
        <w:rPr>
          <w:rFonts w:ascii="Malgun Gothic" w:hAnsi="Malgun Gothic" w:eastAsia="Malgun Gothic" w:cs="Malgun Gothic"/>
        </w:rPr>
        <w:t>그것에</w:t>
      </w:r>
      <w:r>
        <w:rPr>
          <w:rFonts w:ascii="Times New Roman" w:hAnsi="Times New Roman" w:eastAsia="Times New Roman" w:cs="Times New Roman"/>
        </w:rPr>
        <w:t xml:space="preserve"> </w:t>
      </w:r>
      <w:r>
        <w:rPr>
          <w:rFonts w:ascii="Malgun Gothic" w:hAnsi="Malgun Gothic" w:eastAsia="Malgun Gothic" w:cs="Malgun Gothic"/>
        </w:rPr>
        <w:t>있을지어다</w:t>
      </w:r>
      <w:r>
        <w:rPr>
          <w:rFonts w:ascii="Times New Roman" w:hAnsi="Times New Roman" w:eastAsia="Times New Roman" w:cs="Times New Roman"/>
        </w:rPr>
        <w:t xml:space="preserve">, </w:t>
      </w:r>
      <w:r>
        <w:rPr>
          <w:rFonts w:ascii="Malgun Gothic" w:hAnsi="Malgun Gothic" w:eastAsia="Malgun Gothic" w:cs="Malgun Gothic"/>
        </w:rPr>
        <w:t>하리라</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Zorobabel, de landvoogd, vertegenwoordigt de boodschapper die in de beginnende en de afsluitende geschiedenis de weg bereidt, voor wiens aangezicht de berg wordt als een vlakte. Jesaja duidt het werk van dezelfde boodschapper aan en zegt dat hij „in de woestijn een baan voor onze God recht zal maken”, en dat hij zal bewerken dat „elk dal” „verhoogd” zal worden. Hij zal ook maken dat „elke berg en heuvel” „verlaagd” wordt, want de „grote berg” vóór landvoogd Zorobabel „zal tot een vlakte worden.”</w:t>
      </w:r>
    </w:p>
    <w:p>
      <w:pPr>
        <w:pStyle w:val="ArticleBody"/>
        <w:jc w:val="left"/>
      </w:pPr>
      <w:r>
        <w:rPr>
          <w:rFonts w:ascii="Times New Roman" w:hAnsi="Times New Roman" w:eastAsia="Times New Roman" w:cs="Times New Roman"/>
        </w:rPr>
        <w:t>Le message des « sept temps » fut donné à William Miller par Dieu. Zorobabel représente William Miller, qui posa la pierre de fondement des « sept temps », et il représente aussi les mains qui « feront sortir la pierre principale » avec des « acclamations, en criant : Grâce, grâce pour elle ! » Le redoublement du mot « grâce » représente le message du Cri de Minuit. Les « acclamations » représentent le même message que celui figuré par le grand cri du troisième ange, et le « criant » représente le Cri de Minuit. Tout le passage concerne le message du Cri de Minuit. Il traite des vierges qui dormaient dans la mort dans les rues d’Apocalypse onze, laquelle traverse la vallée des ossements desséchés. Il traite de la résurrection des ossements desséchés, et du rôle prophétique du « plomb » que les vierges sages voient, ce qui les amène à se réjouir.</w:t>
      </w:r>
    </w:p>
    <w:p>
      <w:pPr>
        <w:pStyle w:val="ArticleBody"/>
        <w:jc w:val="left"/>
      </w:pPr>
      <w:r>
        <w:rPr>
          <w:rFonts w:ascii="Times New Roman" w:hAnsi="Times New Roman" w:eastAsia="Times New Roman" w:cs="Times New Roman"/>
        </w:rPr>
        <w:t>Ndipo Zekaria anasema, “zaidi ya hayo.” Zaidi ya hayo, humaanisha kuweka kifungu kinachofuata juu ya kilele cha kifungu kilichotangulia. Hii ni rejea kwa kanuni ya kinabii ya mstari juu ya mstari. Mazungumzo yaliyotangulia yalitambua kuamshwa usiku wa manane kwa watu wa Mungu, waliowakilishwa na Zekaria. Mazungumzo yaliyotangulia yalisisitiza mara kwa mara shauku ya watu wa Mungu katika siku za mwisho ya kuelewa ni nani wale mashahidi wawili wa Ufunuo kumi na moja. Mazungumzo yaliyotangulia yalitambua kwamba Zerubabeli anawakilisha kazi katika mwendo wa kwanza na pia kazi katika mwendo wa mwisho. Yalitambua kwamba “mikono” ya Zerubabeli (ikiwakilisha nguvu ya kibinadamu), ilipaswa kuliweka jiwe la msingi na jiwe la kilele, lakini kazi ya mikono yake ilikuwa na ni hutimizwa tu kwa njia ya uweza wa kimungu wa Mfariji.</w:t>
      </w:r>
    </w:p>
    <w:p>
      <w:pPr>
        <w:pStyle w:val="ArticleBody"/>
        <w:jc w:val="left"/>
      </w:pPr>
      <w:r>
        <w:rPr>
          <w:rFonts w:ascii="Times New Roman" w:hAnsi="Times New Roman" w:eastAsia="Times New Roman" w:cs="Times New Roman"/>
        </w:rPr>
        <w:t>Le dialogue qui suivit, et qu’il convient de placer au-dessus du dialogue précédent, indique que lorsque les « mains de Zorobabel » achèvent l’œuvre, alors le peuple de Dieu dans les derniers jours « saura que le Seigneur » a « envoyé » Gabriel, le porte-lumière, « vers » le peuple de Dieu. Il reconnaîtra le processus de communication céleste qui constitue la première vérité représentée en rapport avec la Révélation de Jésus-Christ. Refuser le message et l’œuvre de Zorobabel, c’est refuser le message qui vient de Gabriel, qu’il a reçu du Christ, lequel l’a, à son tour, reçu du Père.</w:t>
      </w:r>
    </w:p>
    <w:p>
      <w:pPr>
        <w:pStyle w:val="ArticleBody"/>
        <w:jc w:val="left"/>
      </w:pPr>
      <w:r>
        <w:rPr>
          <w:rFonts w:ascii="Times New Roman" w:hAnsi="Times New Roman" w:eastAsia="Times New Roman" w:cs="Times New Roman"/>
        </w:rPr>
        <w:t>تب دو طبقے کے عبادت گزاروں کی تعریف کی جاتی ہے۔ ایک طبقہ وہ ہے جس نے “چھوٹی چیزوں کے دن کو حقیر جانا ہے؟” دوسرا طبقہ وہ ہے جو “خوش ہوگا” جب وہ “زربابل کے ہاتھ میں ساہول کو اُن سات کے ساتھ” دیکھے گا، جو “خداوند کی آنکھیں ہیں، جو تمام زمین میں اِدھر اُدھر پھرتی ہیں۔” جو لوگ چھوٹی چیزوں کے دن کو حقیر جانتے ہیں، وہ “ساہول” کے ذریعے ظاہر کی گئی ولیم ملر کی تاریخی خدمت کو حقیر جان رہے ہیں۔ اُن کا تقابل اُن لوگوں سے ہے جو اُس وقت خوش ہوتے ہیں جب وہ “ساہول” کو زربابل کے ہاتھوں میں دیکھتے ہیں۔ زکریاہ کا “ساہول” وہ بنائی کا پتھر ہے جو ایک تقسیم پیدا کرتا ہے۔ ایک طبقہ “ساہول” کو حقیر جانتا ہے، کیونکہ وہ یہ دیکھنے سے انکار کرتے ہیں کہ زربابل کے ہاتھ میں “ساہول” “اُن سات” کے ساتھ ہے۔ “سات” کا لفظ، جو “ساہول” کے ساتھ ہے، وہی عبرانی لفظ ہے جس کا ترجمہ احبار چھبیس میں “سات بار” کیا گیا ہے۔</w:t>
      </w:r>
    </w:p>
    <w:p>
      <w:pPr>
        <w:pStyle w:val="ArticleBody"/>
        <w:jc w:val="left"/>
      </w:pPr>
      <w:r>
        <w:rPr>
          <w:rFonts w:ascii="Times New Roman" w:hAnsi="Times New Roman" w:eastAsia="Times New Roman" w:cs="Times New Roman"/>
        </w:rPr>
        <w:t>Puis Zacharie répète le fait que, lorsqu’il se réveille, il ne sait pas qui sont les deux témoins. Il demande donc une seconde fois : « Que sont ces deux oliviers ? » Il le répète encore, en demandant : « Que sont ces deux rameaux d’olivier qui, par les deux conduits d’or, déversent d’eux-mêmes l’huile d’or ? » Et Gabriel met la question en relief en répondant de nouveau à la question de Zacharie par une question : « Ne sais-tu pas ce qu’ils sont ? », à quoi Zacharie répond : « Non. » Gabriel dit alors : « Ce sont les deux oints qui se tiennent auprès du Seigneur de toute la terre. »</w:t>
      </w:r>
    </w:p>
    <w:p>
      <w:pPr>
        <w:pStyle w:val="ArticleBody"/>
        <w:jc w:val="left"/>
      </w:pPr>
      <w:r>
        <w:rPr>
          <w:rFonts w:ascii="Times New Roman" w:hAnsi="Times New Roman" w:eastAsia="Times New Roman" w:cs="Times New Roman"/>
        </w:rPr>
        <w:t>Le chapitre commence avec Gabriel réveillant Zacharie de son sommeil. Zacharie représente donc les vierges qui sont réveillées à minuit; et lorsque ces vierges sont réveillées, elles sont présentées comme portant un fardeau accablant pour comprendre ce que représentent les deux témoins d’Apocalypse chapitre onze. Tous les livres de la Bible se rejoignent et s’achèvent dans le livre de l’Apocalypse. Tous les prophètes sont en accord les uns avec les autres, car Dieu n’est pas l’auteur de la confusion. Tous les prophètes parlent davantage des derniers jours que des jours dans lesquels ils ont vécu.</w:t>
      </w:r>
    </w:p>
    <w:p>
      <w:pPr>
        <w:pStyle w:val="ArticleBody"/>
        <w:jc w:val="left"/>
      </w:pPr>
      <w:r>
        <w:rPr>
          <w:rFonts w:ascii="Times New Roman" w:hAnsi="Times New Roman" w:eastAsia="Times New Roman" w:cs="Times New Roman"/>
        </w:rPr>
        <w:t>Gabriel useth the Alpha and Omega principle by declaring that Zerubbabel shall begin and shall finish the work of building the temple. His work is set forth as the laying of the foundation stone at the beginning, and of the headstone at the end. Zerubbabel representeth the movement of the Millerites and the movement of Future for America.</w:t>
      </w:r>
    </w:p>
    <w:p>
      <w:pPr>
        <w:pStyle w:val="ArticleBody"/>
        <w:jc w:val="left"/>
      </w:pPr>
      <w:r>
        <w:rPr>
          <w:rFonts w:ascii="Times New Roman" w:hAnsi="Times New Roman" w:eastAsia="Times New Roman" w:cs="Times New Roman"/>
        </w:rPr>
        <w:t>Ce que Gabriel présente à Zacharie, c’est que l’œuvre du Cri de Minuit, que ce soit dans le mouvement du premier ange ou dans le mouvement du troisième ange, s’accomplit par la puissance du Saint-Esprit.</w:t>
      </w:r>
    </w:p>
    <w:p>
      <w:pPr>
        <w:pStyle w:val="ArticleBody"/>
        <w:jc w:val="left"/>
      </w:pPr>
      <w:r>
        <w:rPr>
          <w:rFonts w:ascii="Microsoft YaHei" w:hAnsi="Microsoft YaHei" w:eastAsia="Microsoft YaHei" w:cs="Microsoft YaHei"/>
        </w:rPr>
        <w:t>他们横陈于街上、死了的时候</w:t>
      </w:r>
      <w:r>
        <w:rPr>
          <w:rFonts w:ascii="Times New Roman" w:hAnsi="Times New Roman" w:eastAsia="Times New Roman" w:cs="Times New Roman"/>
        </w:rPr>
        <w:t>,</w:t>
      </w:r>
      <w:r>
        <w:rPr>
          <w:rFonts w:ascii="Microsoft YaHei" w:hAnsi="Microsoft YaHei" w:eastAsia="Microsoft YaHei" w:cs="Microsoft YaHei"/>
        </w:rPr>
        <w:t>世人因他们的尸首而欢喜</w:t>
      </w:r>
      <w:r>
        <w:rPr>
          <w:rFonts w:ascii="Times New Roman" w:hAnsi="Times New Roman" w:eastAsia="Times New Roman" w:cs="Times New Roman"/>
        </w:rPr>
        <w:t>;</w:t>
      </w:r>
      <w:r>
        <w:rPr>
          <w:rFonts w:ascii="Microsoft YaHei" w:hAnsi="Microsoft YaHei" w:eastAsia="Microsoft YaHei" w:cs="Microsoft YaHei"/>
        </w:rPr>
        <w:t>但及至他们起来的时候</w:t>
      </w:r>
      <w:r>
        <w:rPr>
          <w:rFonts w:ascii="Times New Roman" w:hAnsi="Times New Roman" w:eastAsia="Times New Roman" w:cs="Times New Roman"/>
        </w:rPr>
        <w:t>,</w:t>
      </w:r>
      <w:r>
        <w:rPr>
          <w:rFonts w:ascii="Microsoft YaHei" w:hAnsi="Microsoft YaHei" w:eastAsia="Microsoft YaHei" w:cs="Microsoft YaHei"/>
        </w:rPr>
        <w:t>世人便惧怕</w:t>
      </w:r>
      <w:r>
        <w:rPr>
          <w:rFonts w:ascii="Times New Roman" w:hAnsi="Times New Roman" w:eastAsia="Times New Roman" w:cs="Times New Roman"/>
        </w:rPr>
        <w:t>,</w:t>
      </w:r>
      <w:r>
        <w:rPr>
          <w:rFonts w:ascii="Microsoft YaHei" w:hAnsi="Microsoft YaHei" w:eastAsia="Microsoft YaHei" w:cs="Microsoft YaHei"/>
        </w:rPr>
        <w:t>而他们却欢欣快乐</w:t>
      </w:r>
      <w:r>
        <w:rPr>
          <w:rFonts w:ascii="Times New Roman" w:hAnsi="Times New Roman" w:eastAsia="Times New Roman" w:cs="Times New Roman"/>
        </w:rPr>
        <w:t>.</w:t>
      </w:r>
      <w:r>
        <w:rPr>
          <w:rFonts w:ascii="Microsoft YaHei" w:hAnsi="Microsoft YaHei" w:eastAsia="Microsoft YaHei" w:cs="Microsoft YaHei"/>
        </w:rPr>
        <w:t>他们之所以欢喜</w:t>
      </w:r>
      <w:r>
        <w:rPr>
          <w:rFonts w:ascii="Times New Roman" w:hAnsi="Times New Roman" w:eastAsia="Times New Roman" w:cs="Times New Roman"/>
        </w:rPr>
        <w:t>,</w:t>
      </w:r>
      <w:r>
        <w:rPr>
          <w:rFonts w:ascii="Microsoft YaHei" w:hAnsi="Microsoft YaHei" w:eastAsia="Microsoft YaHei" w:cs="Microsoft YaHei"/>
        </w:rPr>
        <w:t>是因为他们看见那</w:t>
      </w:r>
      <w:r>
        <w:rPr>
          <w:rFonts w:ascii="Times New Roman" w:hAnsi="Times New Roman" w:eastAsia="Times New Roman" w:cs="Times New Roman"/>
        </w:rPr>
        <w:t>“</w:t>
      </w:r>
      <w:r>
        <w:rPr>
          <w:rFonts w:ascii="Microsoft YaHei" w:hAnsi="Microsoft YaHei" w:eastAsia="Microsoft YaHei" w:cs="Microsoft YaHei"/>
        </w:rPr>
        <w:t>七倍</w:t>
      </w:r>
      <w:r>
        <w:rPr>
          <w:rFonts w:ascii="Times New Roman" w:hAnsi="Times New Roman" w:eastAsia="Times New Roman" w:cs="Times New Roman"/>
        </w:rPr>
        <w:t>”</w:t>
      </w:r>
      <w:r>
        <w:rPr>
          <w:rFonts w:ascii="Microsoft YaHei" w:hAnsi="Microsoft YaHei" w:eastAsia="Microsoft YaHei" w:cs="Microsoft YaHei"/>
        </w:rPr>
        <w:t>准绳在所罗巴伯手中</w:t>
      </w:r>
      <w:r>
        <w:rPr>
          <w:rFonts w:ascii="Times New Roman" w:hAnsi="Times New Roman" w:eastAsia="Times New Roman" w:cs="Times New Roman"/>
        </w:rPr>
        <w:t>.</w:t>
      </w:r>
      <w:r>
        <w:rPr>
          <w:rFonts w:ascii="Microsoft YaHei" w:hAnsi="Microsoft YaHei" w:eastAsia="Microsoft YaHei" w:cs="Microsoft YaHei"/>
        </w:rPr>
        <w:t>那准绳乃是所建造之工所据以奠立的石头</w:t>
      </w:r>
      <w:r>
        <w:rPr>
          <w:rFonts w:ascii="Times New Roman" w:hAnsi="Times New Roman" w:eastAsia="Times New Roman" w:cs="Times New Roman"/>
        </w:rPr>
        <w:t>,</w:t>
      </w:r>
      <w:r>
        <w:rPr>
          <w:rFonts w:ascii="Microsoft YaHei" w:hAnsi="Microsoft YaHei" w:eastAsia="Microsoft YaHei" w:cs="Microsoft YaHei"/>
        </w:rPr>
        <w:t>它将智慧人与愚昧人分别出来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Zakariya hakusema “saba,” bali anasema, “wale saba.” Wanaona miaka elfu mbili mia tano na ishirini ya kutawanyika. Neno lililotafsiriwa kuwa “saba” ni neno lilelile linalotafsiriwa kuwa “nyakati saba” katika Mambo ya Walawi ishirini na sita, na linawakilisha “laana” ya utumwa iliyowaletwa juu ya falme zote mbili za Israeli, ya kaskazini na ya kusini. Kitabu cha Danieli kinawatambulisha “wale saba” kuwa ni ghadhabu ya kwanza na ya mwisho.</w:t>
      </w:r>
    </w:p>
    <w:p>
      <w:pPr>
        <w:pStyle w:val="ArticleBody"/>
        <w:jc w:val="left"/>
      </w:pPr>
      <w:r>
        <w:rPr>
          <w:rFonts w:ascii="Times New Roman" w:hAnsi="Times New Roman" w:eastAsia="Times New Roman" w:cs="Times New Roman"/>
        </w:rPr>
        <w:t>Jišlāmdyrojį pamatinį akmenį padėjo „septyni laikai“, o kertinį akmenį, padėtą trečiojo angelo judėjimo, sudaro „septyni laikai“. Tie, kurie džiaugiasi, kai paskutiniųjų dienų Vidurnakčio Šauksmo prabudime išvysta „tuos septynis“, matys brangiųjų ir niekingųjų padalijimą bei atskyrimą. Brangieji džiaugsis, kai ateis į visišką vienybę, o niekingieji per vėlai supras, kad jie neturi to aliejaus, kuris tekėjo žemyn per du auksinius vamzdžius. Tiesa, kuri vienai klasei sukelia džiaugsmą, kitai klasei bus suklupimo akmuo, nors ji buvo prieinama pamatyti visiems, kurie buvo pasiryžę matyti.</w:t>
      </w:r>
    </w:p>
    <w:p>
      <w:pPr>
        <w:pStyle w:val="ArticleBody"/>
        <w:jc w:val="left"/>
      </w:pPr>
      <w:r>
        <w:rPr>
          <w:rFonts w:ascii="Times New Roman" w:hAnsi="Times New Roman" w:eastAsia="Times New Roman" w:cs="Times New Roman"/>
        </w:rPr>
        <w:t>Sama seperti “tujuh masa” menjadi suatu ujian pada permulaan pada tahun 1856, ketika Adventisme Filadelfia beralih kepada Adventisme Laodikia, demikian pula “tujuh masa” sekali lagi menjadi suatu ujian pada pengakhiran, tepat pada saat Adventisme Laodikia dialihkan kepada Adventisme Filadelfia. Ujian pada permulaan itu gagal dihadapi pada tahun 1863, dengan penolakan terhadap doktrin Alkitabiah tentang “tujuh masa.” Mereka yang gagal dalam ujian pada pengakhiran pada tahun 2023 akan melakukannya karena menolak pengalaman yang dituntut oleh obat penyembuh yang ditunjukkan oleh “tujuh masa” dalam Imamat dua puluh enam.</w:t>
      </w:r>
    </w:p>
    <w:p>
      <w:pPr>
        <w:pStyle w:val="ArticleBody"/>
        <w:jc w:val="left"/>
      </w:pPr>
      <w:r>
        <w:rPr>
          <w:rFonts w:ascii="Times New Roman" w:hAnsi="Times New Roman" w:eastAsia="Times New Roman" w:cs="Times New Roman"/>
        </w:rPr>
        <w:t>E zava na bibi mpo na koyeba ete buku ya Daniele endimisi mobimba “ntango nsambo,” liboso tóbanda kotalela nsango ya esakweli ya mikapo motoba ya liboso ya buku ya Daniele, mpo ete mikapo minei mpe mitano ezali na ntina na “ntango nsambo,” mpe yango emonisi ebandeli mpe nsuka ya maseke mibale ya nyama ya mabele ya Emoniseli mokapo ya zomi na misato.</w:t>
      </w:r>
    </w:p>
    <w:p>
      <w:pPr>
        <w:pStyle w:val="ArticleBody"/>
        <w:jc w:val="left"/>
      </w:pPr>
      <w:r>
        <w:rPr>
          <w:rFonts w:ascii="Times New Roman" w:hAnsi="Times New Roman" w:eastAsia="Times New Roman" w:cs="Times New Roman"/>
        </w:rPr>
        <w:t>Nous commencerons notre examen de ces six premiers chapitres dans le prochain article.</w:t>
      </w:r>
    </w:p>
    <w:p>
      <w:pPr>
        <w:pStyle w:val="ArticleScripture"/>
        <w:jc w:val="left"/>
      </w:pPr>
      <w:r>
        <w:rPr>
          <w:rFonts w:ascii="Times New Roman" w:hAnsi="Times New Roman" w:eastAsia="Times New Roman" w:cs="Times New Roman"/>
        </w:rPr>
        <w:t>“Lesa ilyo Daniele apokelele kuli Lesa lyapelekeledwe sana ku miku ya kulekelesha iyi. Ifimonwa ifyo amwene ku milonga ya Ulai na Hiddekeli, imilonga ikulu iya mu Shinara, nomba filefikilishiwa, kabili ifintu fyonse ifyalandilwe libela fileisa fikafikilishiwa mukwangufyanya.</w:t>
      </w:r>
    </w:p>
    <w:p>
      <w:pPr>
        <w:pStyle w:val="ArticleScripture"/>
        <w:jc w:val="left"/>
      </w:pPr>
      <w:r>
        <w:rPr>
          <w:rFonts w:ascii="Times New Roman" w:hAnsi="Times New Roman" w:eastAsia="Times New Roman" w:cs="Times New Roman"/>
        </w:rPr>
        <w:t>« Examinez les circonstances de la nation juive lorsque les prophéties de Daniel furent données.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តើយើងគួរតែផ្ដល់ពេលវេលាច្រើនជាងនេះដល់ការសិក្សាព្រះគម្ពីរ។</w:t>
      </w:r>
      <w:r>
        <w:rPr>
          <w:rFonts w:ascii="Times New Roman" w:hAnsi="Times New Roman" w:eastAsia="Times New Roman" w:cs="Times New Roman"/>
        </w:rPr>
        <w:t xml:space="preserve"> </w:t>
      </w:r>
      <w:r>
        <w:rPr>
          <w:rFonts w:ascii="Leelawadee UI" w:hAnsi="Leelawadee UI" w:eastAsia="Leelawadee UI" w:cs="Leelawadee UI"/>
        </w:rPr>
        <w:t>យើងមិនយល់ព្រះបន្ទូលដូចដែលយើងគួរតែយល់ទេ។</w:t>
      </w:r>
      <w:r>
        <w:rPr>
          <w:rFonts w:ascii="Times New Roman" w:hAnsi="Times New Roman" w:eastAsia="Times New Roman" w:cs="Times New Roman"/>
        </w:rPr>
        <w:t xml:space="preserve"> </w:t>
      </w:r>
      <w:r>
        <w:rPr>
          <w:rFonts w:ascii="Leelawadee UI" w:hAnsi="Leelawadee UI" w:eastAsia="Leelawadee UI" w:cs="Leelawadee UI"/>
        </w:rPr>
        <w:t>សៀវភៅវិវរណៈបើកឡើងដោយសេចក្ដីបង្គាប់មួយឲ្យយើងយល់សេចក្ដីបង្រៀនដែលមាននៅក្នុងនោះ។</w:t>
      </w:r>
      <w:r>
        <w:rPr>
          <w:rFonts w:ascii="Times New Roman" w:hAnsi="Times New Roman" w:eastAsia="Times New Roman" w:cs="Times New Roman"/>
        </w:rPr>
        <w:t xml:space="preserve"> </w:t>
      </w:r>
      <w:r>
        <w:rPr>
          <w:rFonts w:ascii="Leelawadee UI" w:hAnsi="Leelawadee UI" w:eastAsia="Leelawadee UI" w:cs="Leelawadee UI"/>
        </w:rPr>
        <w:t>ព្រះទ្រង់ប្រកាសថា</w:t>
      </w:r>
      <w:r>
        <w:rPr>
          <w:rFonts w:ascii="Times New Roman" w:hAnsi="Times New Roman" w:eastAsia="Times New Roman" w:cs="Times New Roman"/>
        </w:rPr>
        <w:t xml:space="preserve"> “</w:t>
      </w:r>
      <w:r>
        <w:rPr>
          <w:rFonts w:ascii="Leelawadee UI" w:hAnsi="Leelawadee UI" w:eastAsia="Leelawadee UI" w:cs="Leelawadee UI"/>
        </w:rPr>
        <w:t>មានពរហើយ</w:t>
      </w:r>
      <w:r>
        <w:rPr>
          <w:rFonts w:ascii="Times New Roman" w:hAnsi="Times New Roman" w:eastAsia="Times New Roman" w:cs="Times New Roman"/>
        </w:rPr>
        <w:t xml:space="preserve"> </w:t>
      </w:r>
      <w:r>
        <w:rPr>
          <w:rFonts w:ascii="Leelawadee UI" w:hAnsi="Leelawadee UI" w:eastAsia="Leelawadee UI" w:cs="Leelawadee UI"/>
        </w:rPr>
        <w:t>អ្នកដែលអាន</w:t>
      </w:r>
      <w:r>
        <w:rPr>
          <w:rFonts w:ascii="Times New Roman" w:hAnsi="Times New Roman" w:eastAsia="Times New Roman" w:cs="Times New Roman"/>
        </w:rPr>
        <w:t xml:space="preserve"> </w:t>
      </w:r>
      <w:r>
        <w:rPr>
          <w:rFonts w:ascii="Leelawadee UI" w:hAnsi="Leelawadee UI" w:eastAsia="Leelawadee UI" w:cs="Leelawadee UI"/>
        </w:rPr>
        <w:t>និងអ្នកដែលស្តាប់ពាក្យនៃការព្យាករនេះ</w:t>
      </w:r>
      <w:r>
        <w:rPr>
          <w:rFonts w:ascii="Times New Roman" w:hAnsi="Times New Roman" w:eastAsia="Times New Roman" w:cs="Times New Roman"/>
        </w:rPr>
        <w:t xml:space="preserve"> </w:t>
      </w:r>
      <w:r>
        <w:rPr>
          <w:rFonts w:ascii="Leelawadee UI" w:hAnsi="Leelawadee UI" w:eastAsia="Leelawadee UI" w:cs="Leelawadee UI"/>
        </w:rPr>
        <w:t>ហើយកាន់តាមអ្វីៗដែលបានសរសេរនៅក្នុងនោះ</w:t>
      </w:r>
      <w:r>
        <w:rPr>
          <w:rFonts w:ascii="Times New Roman" w:hAnsi="Times New Roman" w:eastAsia="Times New Roman" w:cs="Times New Roman"/>
        </w:rPr>
        <w:t xml:space="preserve"> </w:t>
      </w:r>
      <w:r>
        <w:rPr>
          <w:rFonts w:ascii="Leelawadee UI" w:hAnsi="Leelawadee UI" w:eastAsia="Leelawadee UI" w:cs="Leelawadee UI"/>
        </w:rPr>
        <w:t>ដ្បិតពេលវេលាជិតមកដល់ហើយ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នៅពេលដែលយើងជាប្រជាជនមួយយល់ថាសៀវភៅនេះមានន័យដូចម្តេចចំពោះយើង</w:t>
      </w:r>
      <w:r>
        <w:rPr>
          <w:rFonts w:ascii="Times New Roman" w:hAnsi="Times New Roman" w:eastAsia="Times New Roman" w:cs="Times New Roman"/>
        </w:rPr>
        <w:t xml:space="preserve"> </w:t>
      </w:r>
      <w:r>
        <w:rPr>
          <w:rFonts w:ascii="Leelawadee UI" w:hAnsi="Leelawadee UI" w:eastAsia="Leelawadee UI" w:cs="Leelawadee UI"/>
        </w:rPr>
        <w:t>នោះនឹងមានការរស់ឡើងវិញដ៏អស្ចារ្យមួយត្រូវបានឃើញនៅក្នុងចំណោមយើង។</w:t>
      </w:r>
      <w:r>
        <w:rPr>
          <w:rFonts w:ascii="Times New Roman" w:hAnsi="Times New Roman" w:eastAsia="Times New Roman" w:cs="Times New Roman"/>
        </w:rPr>
        <w:t xml:space="preserve"> </w:t>
      </w:r>
      <w:r>
        <w:rPr>
          <w:rFonts w:ascii="Leelawadee UI" w:hAnsi="Leelawadee UI" w:eastAsia="Leelawadee UI" w:cs="Leelawadee UI"/>
        </w:rPr>
        <w:t>យើងមិនទាន់យល់យ៉ាងពេញលេញអំពីមេរៀនដែលវាបង្រៀនទេ</w:t>
      </w:r>
      <w:r>
        <w:rPr>
          <w:rFonts w:ascii="Times New Roman" w:hAnsi="Times New Roman" w:eastAsia="Times New Roman" w:cs="Times New Roman"/>
        </w:rPr>
        <w:t xml:space="preserve"> </w:t>
      </w:r>
      <w:r>
        <w:rPr>
          <w:rFonts w:ascii="Leelawadee UI" w:hAnsi="Leelawadee UI" w:eastAsia="Leelawadee UI" w:cs="Leelawadee UI"/>
        </w:rPr>
        <w:t>ទោះបីជាមានសេចក្ដីបង្គាប់ប្រទានមកឲ្យយើងស្វែងរក</w:t>
      </w:r>
      <w:r>
        <w:rPr>
          <w:rFonts w:ascii="Times New Roman" w:hAnsi="Times New Roman" w:eastAsia="Times New Roman" w:cs="Times New Roman"/>
        </w:rPr>
        <w:t xml:space="preserve"> </w:t>
      </w:r>
      <w:r>
        <w:rPr>
          <w:rFonts w:ascii="Leelawadee UI" w:hAnsi="Leelawadee UI" w:eastAsia="Leelawadee UI" w:cs="Leelawadee UI"/>
        </w:rPr>
        <w:t>និងសិក្សាវាក៏ដោយ។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“Dans le passé, des docteurs ont déclaré que Daniel et l’Apocalypse étaient des livres scellés, et le peuple s’en est détourné. Le voile dont le mystère apparent a empêché beaucoup de le soulever, Dieu, de sa propre main, l’a retiré de ces portions de sa parole. Le nom même d’« Apocalypse » contredit l’affirmation selon laquelle il s’agit d’un livre scellé. « Apocalypse » signifie que quelque chose d’important est révélé. Les vérités de ce livre s’adressent à ceux qui vivent dans ces derniers jours. Nous nous tenons, le voile ôté, dans le lieu saint des choses sacrées. Nous ne devons pas nous tenir au dehors. Nous devons entrer, non avec des pensées négligentes et irrévérencieuses, non d’un pas impétueux, mais avec révérence et crainte de Dieu. Nous approchons du temps où les prophéties du livre de l’Apocalypse doivent s’accomplir.”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Quatre</dc:title>
  <dc:subject>Le Fil à plomb</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