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Hitti Daniel—Namba Fáyf</w:t>
      </w:r>
    </w:p>
    <w:p>
      <w:pPr>
        <w:pStyle w:val="ArticleSubtitle"/>
        <w:jc w:val="left"/>
      </w:pPr>
      <w:r>
        <w:rPr>
          <w:rFonts w:ascii="Arial" w:hAnsi="Arial" w:eastAsia="Arial" w:cs="Arial"/>
        </w:rPr>
        <w:t>Etmish Yil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2023-11-29</w:t>
      </w:r>
    </w:p>
    <w:p>
      <w:pPr>
        <w:pStyle w:val="ArticleBody"/>
        <w:jc w:val="left"/>
      </w:pPr>
      <w:r>
        <w:rPr>
          <w:rFonts w:ascii="Times New Roman" w:hAnsi="Times New Roman" w:eastAsia="Times New Roman" w:cs="Times New Roman"/>
        </w:rPr>
        <w:t>Jehojakim fue el primero de los últimos tres reyes de Judá, y cuando fue conquistado por los babilonios comenzaron los setenta años de servidumbre para el reino del sur. Esos setenta años identifican el período durante el cual Babilonia, el primer reino de la profecía bíblica, habría de reinar. En Isaías capítulo veintitrés, la ramera de Tiro sería olvidada durante setenta años simbólicos que proféticamente fueron identificados como los días de un rey. En la profecía bíblica, un rey es un reino, y los días del único reino de la profecía bíblica que ascendieron a setenta años fueron los de Babilonia.</w:t>
      </w:r>
    </w:p>
    <w:p>
      <w:pPr>
        <w:pStyle w:val="ArticleBody"/>
        <w:jc w:val="left"/>
      </w:pPr>
      <w:r>
        <w:rPr>
          <w:rFonts w:ascii="Times New Roman" w:hAnsi="Times New Roman" w:eastAsia="Times New Roman" w:cs="Times New Roman"/>
        </w:rPr>
        <w:t>Katika kipindi hicho cha historia, kahaba wa Tiro, anayewakilisha upapa, angesahaulika. Mwishoni mwa ile miaka sabini ya mfano, angekumbukwa, na kutoka nje na kufanya uasherati pamoja na falme zote za dunia. Uasherati wa kiroho ni uhusiano usio halali wa muungano wa kanisa na serikali. Mwishoni mwa ile miaka sabini ya mfano, upapa ungeingia katika uhusiano na Umoja wa Mataifa, unaowakilishwa na wafalme wote ambao kahaba wa Tiro anafanya uasherati nao mwishoni mwa ile miaka sabini ya mfano. Ufalme unaotawala katika kipindi cha ile miaka sabini ya mfano ni Marekani, mnyama wa duniani mwenye pembe mbili.</w:t>
      </w:r>
    </w:p>
    <w:p>
      <w:pPr>
        <w:pStyle w:val="ArticleBody"/>
        <w:jc w:val="left"/>
      </w:pPr>
      <w:r>
        <w:rPr>
          <w:rFonts w:ascii="Nirmala UI" w:hAnsi="Nirmala UI" w:eastAsia="Nirmala UI" w:cs="Nirmala UI"/>
        </w:rPr>
        <w:t>डेनियलका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एकदेखि</w:t>
      </w:r>
      <w:r>
        <w:rPr>
          <w:rFonts w:ascii="Times New Roman" w:hAnsi="Times New Roman" w:eastAsia="Times New Roman" w:cs="Times New Roman"/>
        </w:rPr>
        <w:t xml:space="preserve"> </w:t>
      </w:r>
      <w:r>
        <w:rPr>
          <w:rFonts w:ascii="Nirmala UI" w:hAnsi="Nirmala UI" w:eastAsia="Nirmala UI" w:cs="Nirmala UI"/>
        </w:rPr>
        <w:t>पाँचसम्मले</w:t>
      </w:r>
      <w:r>
        <w:rPr>
          <w:rFonts w:ascii="Times New Roman" w:hAnsi="Times New Roman" w:eastAsia="Times New Roman" w:cs="Times New Roman"/>
        </w:rPr>
        <w:t xml:space="preserve"> </w:t>
      </w:r>
      <w:r>
        <w:rPr>
          <w:rFonts w:ascii="Nirmala UI" w:hAnsi="Nirmala UI" w:eastAsia="Nirmala UI" w:cs="Nirmala UI"/>
        </w:rPr>
        <w:t>बेबिलोनका</w:t>
      </w:r>
      <w:r>
        <w:rPr>
          <w:rFonts w:ascii="Times New Roman" w:hAnsi="Times New Roman" w:eastAsia="Times New Roman" w:cs="Times New Roman"/>
        </w:rPr>
        <w:t xml:space="preserve"> </w:t>
      </w:r>
      <w:r>
        <w:rPr>
          <w:rFonts w:ascii="Nirmala UI" w:hAnsi="Nirmala UI" w:eastAsia="Nirmala UI" w:cs="Nirmala UI"/>
        </w:rPr>
        <w:t>सत्तरी</w:t>
      </w:r>
      <w:r>
        <w:rPr>
          <w:rFonts w:ascii="Times New Roman" w:hAnsi="Times New Roman" w:eastAsia="Times New Roman" w:cs="Times New Roman"/>
        </w:rPr>
        <w:t xml:space="preserve"> </w:t>
      </w:r>
      <w:r>
        <w:rPr>
          <w:rFonts w:ascii="Nirmala UI" w:hAnsi="Nirmala UI" w:eastAsia="Nirmala UI" w:cs="Nirmala UI"/>
        </w:rPr>
        <w:t>वर्षको</w:t>
      </w:r>
      <w:r>
        <w:rPr>
          <w:rFonts w:ascii="Times New Roman" w:hAnsi="Times New Roman" w:eastAsia="Times New Roman" w:cs="Times New Roman"/>
        </w:rPr>
        <w:t xml:space="preserve"> </w:t>
      </w:r>
      <w:r>
        <w:rPr>
          <w:rFonts w:ascii="Nirmala UI" w:hAnsi="Nirmala UI" w:eastAsia="Nirmala UI" w:cs="Nirmala UI"/>
        </w:rPr>
        <w:t>इतिहासको</w:t>
      </w:r>
      <w:r>
        <w:rPr>
          <w:rFonts w:ascii="Times New Roman" w:hAnsi="Times New Roman" w:eastAsia="Times New Roman" w:cs="Times New Roman"/>
        </w:rPr>
        <w:t xml:space="preserve"> </w:t>
      </w:r>
      <w:r>
        <w:rPr>
          <w:rFonts w:ascii="Nirmala UI" w:hAnsi="Nirmala UI" w:eastAsia="Nirmala UI" w:cs="Nirmala UI"/>
        </w:rPr>
        <w:t>रूपरेखा</w:t>
      </w:r>
      <w:r>
        <w:rPr>
          <w:rFonts w:ascii="Times New Roman" w:hAnsi="Times New Roman" w:eastAsia="Times New Roman" w:cs="Times New Roman"/>
        </w:rPr>
        <w:t xml:space="preserve"> </w:t>
      </w:r>
      <w:r>
        <w:rPr>
          <w:rFonts w:ascii="Nirmala UI" w:hAnsi="Nirmala UI" w:eastAsia="Nirmala UI" w:cs="Nirmala UI"/>
        </w:rPr>
        <w:t>प्रस्तुत</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अध्यायहरूले</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पशुका</w:t>
      </w:r>
      <w:r>
        <w:rPr>
          <w:rFonts w:ascii="Times New Roman" w:hAnsi="Times New Roman" w:eastAsia="Times New Roman" w:cs="Times New Roman"/>
        </w:rPr>
        <w:t xml:space="preserve"> </w:t>
      </w:r>
      <w:r>
        <w:rPr>
          <w:rFonts w:ascii="Nirmala UI" w:hAnsi="Nirmala UI" w:eastAsia="Nirmala UI" w:cs="Nirmala UI"/>
        </w:rPr>
        <w:t>दुवै</w:t>
      </w:r>
      <w:r>
        <w:rPr>
          <w:rFonts w:ascii="Times New Roman" w:hAnsi="Times New Roman" w:eastAsia="Times New Roman" w:cs="Times New Roman"/>
        </w:rPr>
        <w:t xml:space="preserve"> </w:t>
      </w:r>
      <w:r>
        <w:rPr>
          <w:rFonts w:ascii="Nirmala UI" w:hAnsi="Nirmala UI" w:eastAsia="Nirmala UI" w:cs="Nirmala UI"/>
        </w:rPr>
        <w:t>सिङहरूको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पाँचले</w:t>
      </w:r>
      <w:r>
        <w:rPr>
          <w:rFonts w:ascii="Times New Roman" w:hAnsi="Times New Roman" w:eastAsia="Times New Roman" w:cs="Times New Roman"/>
        </w:rPr>
        <w:t xml:space="preserve"> </w:t>
      </w:r>
      <w:r>
        <w:rPr>
          <w:rFonts w:ascii="Nirmala UI" w:hAnsi="Nirmala UI" w:eastAsia="Nirmala UI" w:cs="Nirmala UI"/>
        </w:rPr>
        <w:t>बेबिलोनका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राजालाई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अध्यायले</w:t>
      </w:r>
      <w:r>
        <w:rPr>
          <w:rFonts w:ascii="Times New Roman" w:hAnsi="Times New Roman" w:eastAsia="Times New Roman" w:cs="Times New Roman"/>
        </w:rPr>
        <w:t xml:space="preserve"> </w:t>
      </w:r>
      <w:r>
        <w:rPr>
          <w:rFonts w:ascii="Nirmala UI" w:hAnsi="Nirmala UI" w:eastAsia="Nirmala UI" w:cs="Nirmala UI"/>
        </w:rPr>
        <w:t>मिलेर</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सिङहरूको</w:t>
      </w:r>
      <w:r>
        <w:rPr>
          <w:rFonts w:ascii="Times New Roman" w:hAnsi="Times New Roman" w:eastAsia="Times New Roman" w:cs="Times New Roman"/>
        </w:rPr>
        <w:t xml:space="preserve"> </w:t>
      </w:r>
      <w:r>
        <w:rPr>
          <w:rFonts w:ascii="Nirmala UI" w:hAnsi="Nirmala UI" w:eastAsia="Nirmala UI" w:cs="Nirmala UI"/>
        </w:rPr>
        <w:t>इतिहासलाई</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सिङहरू</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स्वयंको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राजा</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राजाको</w:t>
      </w:r>
      <w:r>
        <w:rPr>
          <w:rFonts w:ascii="Times New Roman" w:hAnsi="Times New Roman" w:eastAsia="Times New Roman" w:cs="Times New Roman"/>
        </w:rPr>
        <w:t xml:space="preserve"> </w:t>
      </w:r>
      <w:r>
        <w:rPr>
          <w:rFonts w:ascii="Nirmala UI" w:hAnsi="Nirmala UI" w:eastAsia="Nirmala UI" w:cs="Nirmala UI"/>
        </w:rPr>
        <w:t>न्यायद्वारा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नबुकदनेसरको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निर्वासन</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अवधिमा</w:t>
      </w:r>
      <w:r>
        <w:rPr>
          <w:rFonts w:ascii="Times New Roman" w:hAnsi="Times New Roman" w:eastAsia="Times New Roman" w:cs="Times New Roman"/>
        </w:rPr>
        <w:t xml:space="preserve"> </w:t>
      </w:r>
      <w:r>
        <w:rPr>
          <w:rFonts w:ascii="Nirmala UI" w:hAnsi="Nirmala UI" w:eastAsia="Nirmala UI" w:cs="Nirmala UI"/>
        </w:rPr>
        <w:t>ऊ</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दिनसम्म</w:t>
      </w:r>
      <w:r>
        <w:rPr>
          <w:rFonts w:ascii="Times New Roman" w:hAnsi="Times New Roman" w:eastAsia="Times New Roman" w:cs="Times New Roman"/>
        </w:rPr>
        <w:t xml:space="preserve"> </w:t>
      </w:r>
      <w:r>
        <w:rPr>
          <w:rFonts w:ascii="Nirmala UI" w:hAnsi="Nirmala UI" w:eastAsia="Nirmala UI" w:cs="Nirmala UI"/>
        </w:rPr>
        <w:t>घाँस</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शीतमा</w:t>
      </w:r>
      <w:r>
        <w:rPr>
          <w:rFonts w:ascii="Times New Roman" w:hAnsi="Times New Roman" w:eastAsia="Times New Roman" w:cs="Times New Roman"/>
        </w:rPr>
        <w:t xml:space="preserve"> </w:t>
      </w:r>
      <w:r>
        <w:rPr>
          <w:rFonts w:ascii="Nirmala UI" w:hAnsi="Nirmala UI" w:eastAsia="Nirmala UI" w:cs="Nirmala UI"/>
        </w:rPr>
        <w:t>वन्य</w:t>
      </w:r>
      <w:r>
        <w:rPr>
          <w:rFonts w:ascii="Times New Roman" w:hAnsi="Times New Roman" w:eastAsia="Times New Roman" w:cs="Times New Roman"/>
        </w:rPr>
        <w:t xml:space="preserve"> </w:t>
      </w:r>
      <w:r>
        <w:rPr>
          <w:rFonts w:ascii="Nirmala UI" w:hAnsi="Nirmala UI" w:eastAsia="Nirmala UI" w:cs="Nirmala UI"/>
        </w:rPr>
        <w:t>पशुजस्तै</w:t>
      </w:r>
      <w:r>
        <w:rPr>
          <w:rFonts w:ascii="Times New Roman" w:hAnsi="Times New Roman" w:eastAsia="Times New Roman" w:cs="Times New Roman"/>
        </w:rPr>
        <w:t xml:space="preserve"> </w:t>
      </w:r>
      <w:r>
        <w:rPr>
          <w:rFonts w:ascii="Nirmala UI" w:hAnsi="Nirmala UI" w:eastAsia="Nirmala UI" w:cs="Nirmala UI"/>
        </w:rPr>
        <w:t>बाँच्यो।</w:t>
      </w:r>
      <w:r>
        <w:rPr>
          <w:rFonts w:ascii="Times New Roman" w:hAnsi="Times New Roman" w:eastAsia="Times New Roman" w:cs="Times New Roman"/>
        </w:rPr>
        <w:t xml:space="preserve"> </w:t>
      </w:r>
      <w:r>
        <w:rPr>
          <w:rFonts w:ascii="Nirmala UI" w:hAnsi="Nirmala UI" w:eastAsia="Nirmala UI" w:cs="Nirmala UI"/>
        </w:rPr>
        <w:t>बेलशजरको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भित्तामा</w:t>
      </w:r>
      <w:r>
        <w:rPr>
          <w:rFonts w:ascii="Times New Roman" w:hAnsi="Times New Roman" w:eastAsia="Times New Roman" w:cs="Times New Roman"/>
        </w:rPr>
        <w:t xml:space="preserve"> </w:t>
      </w:r>
      <w:r>
        <w:rPr>
          <w:rFonts w:ascii="Nirmala UI" w:hAnsi="Nirmala UI" w:eastAsia="Nirmala UI" w:cs="Nirmala UI"/>
        </w:rPr>
        <w:t>लेखिएको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त्यसलाई</w:t>
      </w:r>
      <w:r>
        <w:rPr>
          <w:rFonts w:ascii="Times New Roman" w:hAnsi="Times New Roman" w:eastAsia="Times New Roman" w:cs="Times New Roman"/>
        </w:rPr>
        <w:t xml:space="preserve"> </w:t>
      </w:r>
      <w:r>
        <w:rPr>
          <w:rFonts w:ascii="Nirmala UI" w:hAnsi="Nirmala UI" w:eastAsia="Nirmala UI" w:cs="Nirmala UI"/>
        </w:rPr>
        <w:t>पच्चीस</w:t>
      </w:r>
      <w:r>
        <w:rPr>
          <w:rFonts w:ascii="Times New Roman" w:hAnsi="Times New Roman" w:eastAsia="Times New Roman" w:cs="Times New Roman"/>
        </w:rPr>
        <w:t xml:space="preserve"> </w:t>
      </w:r>
      <w:r>
        <w:rPr>
          <w:rFonts w:ascii="Nirmala UI" w:hAnsi="Nirmala UI" w:eastAsia="Nirmala UI" w:cs="Nirmala UI"/>
        </w:rPr>
        <w:t>सय</w:t>
      </w:r>
      <w:r>
        <w:rPr>
          <w:rFonts w:ascii="Times New Roman" w:hAnsi="Times New Roman" w:eastAsia="Times New Roman" w:cs="Times New Roman"/>
        </w:rPr>
        <w:t xml:space="preserve"> </w:t>
      </w:r>
      <w:r>
        <w:rPr>
          <w:rFonts w:ascii="Nirmala UI" w:hAnsi="Nirmala UI" w:eastAsia="Nirmala UI" w:cs="Nirmala UI"/>
        </w:rPr>
        <w:t>बीस</w:t>
      </w:r>
      <w:r>
        <w:rPr>
          <w:rFonts w:ascii="Times New Roman" w:hAnsi="Times New Roman" w:eastAsia="Times New Roman" w:cs="Times New Roman"/>
        </w:rPr>
        <w:t xml:space="preserve"> </w:t>
      </w:r>
      <w:r>
        <w:rPr>
          <w:rFonts w:ascii="Nirmala UI" w:hAnsi="Nirmala UI" w:eastAsia="Nirmala UI" w:cs="Nirmala UI"/>
        </w:rPr>
        <w:t>संख्यासँग</w:t>
      </w:r>
      <w:r>
        <w:rPr>
          <w:rFonts w:ascii="Times New Roman" w:hAnsi="Times New Roman" w:eastAsia="Times New Roman" w:cs="Times New Roman"/>
        </w:rPr>
        <w:t xml:space="preserve"> </w:t>
      </w:r>
      <w:r>
        <w:rPr>
          <w:rFonts w:ascii="Nirmala UI" w:hAnsi="Nirmala UI" w:eastAsia="Nirmala UI" w:cs="Nirmala UI"/>
        </w:rPr>
        <w:t>तुल्याइएको</w:t>
      </w:r>
      <w:r>
        <w:rPr>
          <w:rFonts w:ascii="Times New Roman" w:hAnsi="Times New Roman" w:eastAsia="Times New Roman" w:cs="Times New Roman"/>
        </w:rPr>
        <w:t xml:space="preserve"> </w:t>
      </w:r>
      <w:r>
        <w:rPr>
          <w:rFonts w:ascii="Nirmala UI" w:hAnsi="Nirmala UI" w:eastAsia="Nirmala UI" w:cs="Nirmala UI"/>
        </w:rPr>
        <w:t>थियो</w:t>
      </w:r>
      <w:r>
        <w:rPr>
          <w:rFonts w:ascii="Times New Roman" w:hAnsi="Times New Roman" w:eastAsia="Times New Roman" w:cs="Times New Roman"/>
        </w:rPr>
        <w:t xml:space="preserve">; </w:t>
      </w:r>
      <w:r>
        <w:rPr>
          <w:rFonts w:ascii="Nirmala UI" w:hAnsi="Nirmala UI" w:eastAsia="Nirmala UI" w:cs="Nirmala UI"/>
        </w:rPr>
        <w:t>यसरी</w:t>
      </w:r>
      <w:r>
        <w:rPr>
          <w:rFonts w:ascii="Times New Roman" w:hAnsi="Times New Roman" w:eastAsia="Times New Roman" w:cs="Times New Roman"/>
        </w:rPr>
        <w:t xml:space="preserve"> </w:t>
      </w:r>
      <w:r>
        <w:rPr>
          <w:rFonts w:ascii="Nirmala UI" w:hAnsi="Nirmala UI" w:eastAsia="Nirmala UI" w:cs="Nirmala UI"/>
        </w:rPr>
        <w:t>पृथ्वीका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सिङहरूको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लेवीव्यवस्था</w:t>
      </w:r>
      <w:r>
        <w:rPr>
          <w:rFonts w:ascii="Times New Roman" w:hAnsi="Times New Roman" w:eastAsia="Times New Roman" w:cs="Times New Roman"/>
        </w:rPr>
        <w:t xml:space="preserve"> </w:t>
      </w:r>
      <w:r>
        <w:rPr>
          <w:rFonts w:ascii="Nirmala UI" w:hAnsi="Nirmala UI" w:eastAsia="Nirmala UI" w:cs="Nirmala UI"/>
        </w:rPr>
        <w:t>छब्बीसका</w:t>
      </w:r>
      <w:r>
        <w:rPr>
          <w:rFonts w:ascii="Times New Roman" w:hAnsi="Times New Roman" w:eastAsia="Times New Roman" w:cs="Times New Roman"/>
        </w:rPr>
        <w:t xml:space="preserve"> “</w:t>
      </w:r>
      <w:r>
        <w:rPr>
          <w:rFonts w:ascii="Nirmala UI" w:hAnsi="Nirmala UI" w:eastAsia="Nirmala UI" w:cs="Nirmala UI"/>
        </w:rPr>
        <w:t>सात</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भन्ने</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गरिन्छ।</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राजाहरूको</w:t>
      </w:r>
      <w:r>
        <w:rPr>
          <w:rFonts w:ascii="Times New Roman" w:hAnsi="Times New Roman" w:eastAsia="Times New Roman" w:cs="Times New Roman"/>
        </w:rPr>
        <w:t xml:space="preserve"> </w:t>
      </w:r>
      <w:r>
        <w:rPr>
          <w:rFonts w:ascii="Nirmala UI" w:hAnsi="Nirmala UI" w:eastAsia="Nirmala UI" w:cs="Nirmala UI"/>
        </w:rPr>
        <w:t>साक्षीमा</w:t>
      </w:r>
      <w:r>
        <w:rPr>
          <w:rFonts w:ascii="Times New Roman" w:hAnsi="Times New Roman" w:eastAsia="Times New Roman" w:cs="Times New Roman"/>
        </w:rPr>
        <w:t xml:space="preserve"> </w:t>
      </w:r>
      <w:r>
        <w:rPr>
          <w:rFonts w:ascii="Nirmala UI" w:hAnsi="Nirmala UI" w:eastAsia="Nirmala UI" w:cs="Nirmala UI"/>
        </w:rPr>
        <w:t>आधारित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साक्षीहरूले</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अन्तिमलाई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p>
    <w:p>
      <w:pPr>
        <w:pStyle w:val="ArticleBody"/>
        <w:jc w:val="left"/>
      </w:pPr>
      <w:r>
        <w:rPr>
          <w:rFonts w:ascii="Times New Roman" w:hAnsi="Times New Roman" w:eastAsia="Times New Roman" w:cs="Times New Roman"/>
        </w:rPr>
        <w:t>“Éadachd” a tha na chloich-thuislidh do Adventachd, agus uime sin chan urrainnear aithneachadh, ged a tha e gu follaiseach an sin—dhaibhsan a tha toileach fhaicinn. Is e samhla breitheanais na dùthcha (Babilon) a rinn rìoghachadh fad seachdad bliadhna a th’ ann, agus samhla breitheanais na rìoghachd a tha a’ rìoghachadh fad seachdad bliadhna shamhlaich. Nuair a chuir Uilleam Miller an cèill a thuigse air na “seachd aimsirean” ann an Lebhiticus fichead ’s a sia, chleachd e dà mhìle còig ceud agus fichead latha Nebuchadnesair a’ fuireach mar fhiadh-bheathach ann an Daniel caibideil a ceithir mar aon de na fianaisean fàidheadaireil a chum suas “na seachd aimsirean” ann an Lebhiticus fichead ’s a sia. Is e na “seachd aimsirean” araon a’ chlach-stèidh agus a’ phrìomh-chlach ann an Sechariah caibideil a ceithir. Tha Iosa, a’ Phiuthar White, Isaiah agus Peadar ga h-aithneachadh mar a’ chlach a thig gu bhith na ceann na h-oisne. Is i teagasg-crùnaidh fàidheadaireachd a’ Bhìobaill i, ged a tha i gu bunaiteach do-fhaicsinneach dhaibhsan a tha ag aideachadh gur iad teachdairean an treas aingil.</w:t>
      </w:r>
    </w:p>
    <w:p>
      <w:pPr>
        <w:pStyle w:val="ArticleBody"/>
        <w:jc w:val="left"/>
      </w:pPr>
      <w:r>
        <w:rPr>
          <w:rFonts w:ascii="Times New Roman" w:hAnsi="Times New Roman" w:eastAsia="Times New Roman" w:cs="Times New Roman"/>
        </w:rPr>
        <w:t>Lorsque nous commençons à examiner les six premiers chapitres du livre de Daniel, il importe de reconnaître que, dès le tout début, les « sept temps » sont identifiés. Lorsque Jojakim fut renversé par Babylone, la captivité de soixante-dix ans commença. Le livre des Chroniques explique pourquoi ils furent emmenés en captivité pendant soixante-dix ans.</w:t>
      </w:r>
    </w:p>
    <w:p>
      <w:pPr>
        <w:pStyle w:val="ArticleScripture"/>
        <w:jc w:val="left"/>
      </w:pPr>
      <w:r>
        <w:rPr>
          <w:rFonts w:ascii="Times New Roman" w:hAnsi="Times New Roman" w:eastAsia="Times New Roman" w:cs="Times New Roman"/>
        </w:rPr>
        <w:t>Tsedekia alikuwa na umri wa miaka ishirini na mmoja alipoanza kutawala, naye akatawala huko Yerusalemu miaka kumi na mmoja. Akafanya yaliyokuwa maovu machoni pa Bwana, Mungu wake, wala hakujinyenyekeza mbele ya nabii Yeremia aliyesema kutoka katika kinywa cha Bwana. Tena alimwasi mfalme Nebukadneza, ambaye alikuwa amemwapisha kwa Mungu; lakini akaifanya shingo yake kuwa ngumu, akaifanya moyo wake kuwa mgumu, asimrudie Bwana, Mungu wa Israeli. Zaidi ya hayo, wakuu wote wa makuhani, na watu pia, wakakosa sana kwa kufuata machukizo yote ya mataifa; wakaitia unajisi nyumba ya Bwana, aliyoitakasa huko Yerusalemu. Naye Bwana, Mungu wa baba zao, akawatuma wajumbe wake kwao, akiamka mapema na kutuma; kwa sababu aliwahurumia watu wake na makao yake. Lakini wakawadhihaki wajumbe wa Mungu, wakayadharau maneno yake, wakawatendea vibaya manabii wake, hata ghadhabu ya Bwana ilipowaelekea watu wake, hata pasipokuwa na tiba. Kwa hiyo akawaletea mfalme wa Wakaldayo, aliyewaua vijana wao kwa upanga katika nyumba ya patakatifu pao, wala hakumhurumia kijana mwanamume wala kijana mwanamke, mzee, wala yeye aliyepinda kwa uzee; akawatia wote mkononi mwake. Na vyombo vyote vya nyumba ya Mungu, vikubwa na vidogo, na hazina za nyumba ya Bwana, na hazina za mfalme, na za wakuu wake; vitu hivyo vyote akavileta Babeli. Wakaiteketeza nyumba ya Mungu kwa moto, wakauvunja ukuta wa Yerusalemu, wakateketeza majumba yake yote kwa moto, wakaharibu vyombo vyake vyote vizuri. Na wale waliokuwa wameokoka na upanga akawachukua mateka mpaka Babeli; huko wakawa watumishi wake na wa wanawe mpaka kutawala kwa ufalme wa Uajemi; ili litimie neno la Bwana kwa kinywa cha Yeremia, mpaka nchi ilipofurahia sabato zake; maana kwa muda wote ilipokaa hali ya ukiwa ilishika sabato, ili kutimiza miaka sabini. Basi katika mwaka wa kwanza wa Koreshi mfalme wa Uajemi, ili neno la Bwana lililonenwa kwa kinywa cha Yeremia litimie, Bwana akaiamsha roho ya Koreshi mfalme wa Uajemi, hata akatangaza mbiu katika ufalme wake wote, tena akaliandika pia, akisema, Haya ndiyo asemayo Koreshi mfalme wa Uajemi, Falme zote za dunia amepewa mimi na Bwana, Mungu wa mbinguni; naye ameniagiza nimjengee nyumba huko Yerusalemu, ulioko katika Yuda. Ni nani miongoni mwenu katika watu wake wote? Bwana, Mungu wake, na awe pamoja naye, akapande. 2 Mambo ya Nyakati 36:11–23.</w:t>
      </w:r>
    </w:p>
    <w:p>
      <w:pPr>
        <w:pStyle w:val="ArticleBody"/>
        <w:jc w:val="left"/>
      </w:pPr>
      <w:r>
        <w:rPr>
          <w:rFonts w:ascii="Times New Roman" w:hAnsi="Times New Roman" w:eastAsia="Times New Roman" w:cs="Times New Roman"/>
        </w:rPr>
        <w:t>le soixante-dix ans de servitude devaient accomplir la parole de Jérémie : « jusqu’à ce que le pays eût joui de ses sabbats ; tout le temps qu’il fut dévasté, il observa le sabbat. » Il n’y a qu’un seul passage dans la Parole de Dieu, hormis le verset des Chroniques que nous citons, qui fasse mention du fait que le pays « jouisse » de ses sabbats. Ce passage se trouve dans les chapitres vingt-cinq et vingt-six du Lévitique. Le chapitre vingt-cinq donne l’instruction sur la manière de permettre au pays de jouir de son repos sabbatique, et le chapitre vingt-six expose la malédiction du « sept fois » si ces instructions de l’alliance n’étaient pas observées.</w:t>
      </w:r>
    </w:p>
    <w:p>
      <w:pPr>
        <w:pStyle w:val="ArticleBody"/>
        <w:jc w:val="left"/>
      </w:pPr>
      <w:r>
        <w:rPr>
          <w:rFonts w:ascii="Times New Roman" w:hAnsi="Times New Roman" w:eastAsia="Times New Roman" w:cs="Times New Roman"/>
        </w:rPr>
        <w:t>Le destin de Jehoïakim marqua le commencement de la captivité, laquelle constitue un élément de ce que Daniel appela, au chapitre neuf, la « malédiction » et le « serment » de Moïse. Daniel comprenait la malédiction des « sept temps », car il atteste, au chapitre neuf, que ce fut par son étude de la prophétie des soixante-dix années de Jérémie qu’il comprit le nombre d’années durant lesquelles le peuple de Dieu serait asservi à Babylone.</w:t>
      </w:r>
    </w:p>
    <w:p>
      <w:pPr>
        <w:pStyle w:val="ArticleScripture"/>
        <w:jc w:val="left"/>
      </w:pPr>
      <w:r>
        <w:rPr>
          <w:rFonts w:ascii="Times New Roman" w:hAnsi="Times New Roman" w:eastAsia="Times New Roman" w:cs="Times New Roman"/>
        </w:rPr>
        <w:t>Sa unang taon ng kaniyang paghahari, akong si Daniel ay nakaunawa sa pamamagitan ng mga aklat sa bilang ng mga taon, na tungkol dito ay dumating ang salita ng Panginoon kay Jeremias na propeta, na kaniyang lilipulin ang pitumpung taon sa mga pagkawasak ng Jerusalem. Daniel 9:2.</w:t>
      </w:r>
    </w:p>
    <w:p>
      <w:pPr>
        <w:pStyle w:val="ArticleBody"/>
        <w:jc w:val="left"/>
      </w:pPr>
      <w:r>
        <w:rPr>
          <w:rFonts w:ascii="Times New Roman" w:hAnsi="Times New Roman" w:eastAsia="Times New Roman" w:cs="Times New Roman"/>
        </w:rPr>
        <w:t>Daniel comprit les soixante-dix années « par les livres », et non par le seul livre de Jérémie. L’autre livre qu’il comprit était les écrits de Moïse, car dans sa prière il identifie la « malédiction » des soixante-dix années de servitude comme étant le « serment » de Moïse. Le mot employé au chapitre neuf de Daniel, qui est traduit par « serment », est le même mot que celui qui est traduit par « sept fois » dans Lévitique vingt-six. La captivité de Juda à Babylone pendant soixante-dix ans fut l’accomplissement de la malédiction des « sept fois », quoi qu’en puisse soutenir n’importe quel théologien moderne. C’est clair comme le jour, mais seulement si l’on est disposé à voir.</w:t>
      </w:r>
    </w:p>
    <w:p>
      <w:pPr>
        <w:pStyle w:val="ArticleScripture"/>
        <w:jc w:val="left"/>
      </w:pPr>
      <w:r>
        <w:rPr>
          <w:rFonts w:ascii="Times New Roman" w:hAnsi="Times New Roman" w:eastAsia="Times New Roman" w:cs="Times New Roman"/>
        </w:rPr>
        <w:t>Ve l’Eterno parlò a Mosè sul monte Sinai, dicendo: Parla ai figliuoli d’Israele, e di’ loro: Quando sarete entrati nel paese che io vi do, il paese osserverà un sabato consacrato all’Eterno. Per sei anni seminerai il tuo campo, e per sei anni poterai la tua vigna e ne raccoglierai i frutti; ma il settimo anno sarà un sabato di riposo per il paese, un sabato consacrato all’Eterno: non seminerai il tuo campo, e non poterai la tua vigna. Non mieterai ciò che nascerà da sé dalla tua raccolta, e non vendemmierai l’uva della tua vigna non potata; poiché sarà un anno di riposo per il paese. E ciò che il paese produrrà durante il suo sabato vi servirà di nutrimento: a te, al tuo servo, alla tua serva, al tuo bracciante e al forestiero che soggiorna presso di te; e al tuo bestiame e agli animali che sono nel tuo paese servirà di nutrimento tutto il suo prodotto. E conterai sette settimane d’anni, sette volte sette anni; e il periodo delle sette settimane d’anni sarà per te di quarantanove anni. Allora farai squillare la tromba del giubileo il decimo giorno del settimo mese; nel giorno dell’espiazione farete squillare la tromba per tutto il vostro paese. Levitico 25:1–9.</w:t>
      </w:r>
    </w:p>
    <w:p>
      <w:pPr>
        <w:pStyle w:val="ArticleBody"/>
        <w:jc w:val="left"/>
      </w:pPr>
      <w:r>
        <w:rPr>
          <w:rFonts w:ascii="Times New Roman" w:hAnsi="Times New Roman" w:eastAsia="Times New Roman" w:cs="Times New Roman"/>
        </w:rPr>
        <w:t>Je muhimu kuona kwamba katika maagizo ya kuiacha nchi ipumzike, ile mizunguko saba ya miaka sita ya kuifanyia nchi kazi na mwaka mmoja wa kuiacha nchi ipumzike huendelea hadi mwaka wa arobaini na tisa, ambapo kulipaswa kuwapo yubilei iliyoashiria utimilifu wa mizunguko saba ya miaka saba. Jambo la msingi sana la kuona ni kwamba mlio wa tarumbeta ya yubilei ulipaswa kutokea katika Siku ya Upatanisho, hivyo ukitambulisha kwamba wakati Siku ya Upatanisho ya ki-mfano ilipoanza tarehe 22 Oktoba, 1844, tarumbeta ya yubilei inayowakilisha mzunguko wa “nyakati saba” ilipaswa kupigwa wakati huo. Hizo “nyakati saba” zilizoanza wakati Manase alipotekwa kwenda Babeli mwaka 677 KK, ziliwakilisha miaka elfu mbili mia tano na ishirini iliyohitimika katika Siku ya Upatanisho ya ki-mfano. Uhusiano huo utakosekana tu kwa wale wasio tayari kuona. Mzunguko wa “nyakati saba,” umeunganishwa na ile miaka elfu mbili mia tatu.</w:t>
      </w:r>
    </w:p>
    <w:p>
      <w:pPr>
        <w:pStyle w:val="ArticleBody"/>
        <w:jc w:val="left"/>
      </w:pPr>
      <w:r>
        <w:rPr>
          <w:rFonts w:ascii="Times New Roman" w:hAnsi="Times New Roman" w:eastAsia="Times New Roman" w:cs="Times New Roman"/>
        </w:rPr>
        <w:t>Yalnızca Levililer yirmi beşinci bölümün ilk dokuz ayetindeki antlaşma talimatları içinde, Tanrı’nın Sözündeki gün-yıl ilkesinin en derin örneğinin bulunduğunu görmek de önemlidir. İlahiyatçıların sürüyü Babil şarabıyla sarhoş tutmak için ortaya attıkları masallar yemeği şudur: yirmi altıncı bölümdeki “yedi vakit” yargısı, “yedi vakit” diye çevrilen sözcüğün İbranicedeki anlamının yanlış anlaşılmasından ibarettir. Bu iddia doğru değildir. Sözcüğün İbranicedeki anlamı, tanımı bütünü içinde, onun sayısal bir tarzda uygulanmasını haklı kılan unsuru tamamen barındırmaktadır; fakat İbranice dilbilgisi üzerindeki kendi kendilerine ilan ettikleri uzmanlıklarına dayanan yanlış yönlendirilmiş bir öncülle destekledikleri kusurlu iddiaları, yalnızca saptırmaya yönelik bir argümandır.</w:t>
      </w:r>
    </w:p>
    <w:p>
      <w:pPr>
        <w:pStyle w:val="ArticleBody"/>
        <w:jc w:val="left"/>
      </w:pPr>
      <w:r>
        <w:rPr>
          <w:rFonts w:ascii="Leelawadee UI" w:hAnsi="Leelawadee UI" w:eastAsia="Leelawadee UI" w:cs="Leelawadee UI"/>
        </w:rPr>
        <w:t>ការជំនុំជម្រះដែលត្រូវបានតំណាងថាជា</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នៅក្នុងជំពូកម្ភៃប្រាំមួយ</w:t>
      </w:r>
      <w:r>
        <w:rPr>
          <w:rFonts w:ascii="Times New Roman" w:hAnsi="Times New Roman" w:eastAsia="Times New Roman" w:cs="Times New Roman"/>
        </w:rPr>
        <w:t xml:space="preserve"> </w:t>
      </w:r>
      <w:r>
        <w:rPr>
          <w:rFonts w:ascii="Leelawadee UI" w:hAnsi="Leelawadee UI" w:eastAsia="Leelawadee UI" w:cs="Leelawadee UI"/>
        </w:rPr>
        <w:t>ត្រូវបានស្គាល់ដោយបរិបទនៃអត្ថបទនោះ</w:t>
      </w:r>
      <w:r>
        <w:rPr>
          <w:rFonts w:ascii="Times New Roman" w:hAnsi="Times New Roman" w:eastAsia="Times New Roman" w:cs="Times New Roman"/>
        </w:rPr>
        <w:t xml:space="preserve"> </w:t>
      </w:r>
      <w:r>
        <w:rPr>
          <w:rFonts w:ascii="Leelawadee UI" w:hAnsi="Leelawadee UI" w:eastAsia="Leelawadee UI" w:cs="Leelawadee UI"/>
        </w:rPr>
        <w:t>មិនមែនដោយពួកទេវវិទូសម័យទំនើបខ្លះៗដែលបំភ្លៃភាសាហេប្រ៊ូនោះទេ។</w:t>
      </w:r>
      <w:r>
        <w:rPr>
          <w:rFonts w:ascii="Times New Roman" w:hAnsi="Times New Roman" w:eastAsia="Times New Roman" w:cs="Times New Roman"/>
        </w:rPr>
        <w:t xml:space="preserve"> William Miller </w:t>
      </w:r>
      <w:r>
        <w:rPr>
          <w:rFonts w:ascii="Leelawadee UI" w:hAnsi="Leelawadee UI" w:eastAsia="Leelawadee UI" w:cs="Leelawadee UI"/>
        </w:rPr>
        <w:t>បានបង្កើតសេចក្តីសន្និដ្ឋានរបស់គាត់</w:t>
      </w:r>
      <w:r>
        <w:rPr>
          <w:rFonts w:ascii="Times New Roman" w:hAnsi="Times New Roman" w:eastAsia="Times New Roman" w:cs="Times New Roman"/>
        </w:rPr>
        <w:t xml:space="preserve"> </w:t>
      </w:r>
      <w:r>
        <w:rPr>
          <w:rFonts w:ascii="Leelawadee UI" w:hAnsi="Leelawadee UI" w:eastAsia="Leelawadee UI" w:cs="Leelawadee UI"/>
        </w:rPr>
        <w:t>ដោយគ្មានការយោងណាមួយទៅកាន់ភាសាហេប្រ៊ូឡើយ</w:t>
      </w:r>
      <w:r>
        <w:rPr>
          <w:rFonts w:ascii="Times New Roman" w:hAnsi="Times New Roman" w:eastAsia="Times New Roman" w:cs="Times New Roman"/>
        </w:rPr>
        <w:t xml:space="preserve"> </w:t>
      </w:r>
      <w:r>
        <w:rPr>
          <w:rFonts w:ascii="Leelawadee UI" w:hAnsi="Leelawadee UI" w:eastAsia="Leelawadee UI" w:cs="Leelawadee UI"/>
        </w:rPr>
        <w:t>ហើយការបំផុសគំនិតបានអះអាងថា</w:t>
      </w:r>
      <w:r>
        <w:rPr>
          <w:rFonts w:ascii="Times New Roman" w:hAnsi="Times New Roman" w:eastAsia="Times New Roman" w:cs="Times New Roman"/>
        </w:rPr>
        <w:t xml:space="preserve"> </w:t>
      </w:r>
      <w:r>
        <w:rPr>
          <w:rFonts w:ascii="Leelawadee UI" w:hAnsi="Leelawadee UI" w:eastAsia="Leelawadee UI" w:cs="Leelawadee UI"/>
        </w:rPr>
        <w:t>ការយល់ដឹងរបស់គាត់ត្រឹមត្រូវ។</w:t>
      </w:r>
      <w:r>
        <w:rPr>
          <w:rFonts w:ascii="Times New Roman" w:hAnsi="Times New Roman" w:eastAsia="Times New Roman" w:cs="Times New Roman"/>
        </w:rPr>
        <w:t xml:space="preserve"> </w:t>
      </w:r>
      <w:r>
        <w:rPr>
          <w:rFonts w:ascii="Leelawadee UI" w:hAnsi="Leelawadee UI" w:eastAsia="Leelawadee UI" w:cs="Leelawadee UI"/>
        </w:rPr>
        <w:t>ទេវតាទាំងឡាយបានដឹកនាំការយល់ដឹងរបស់គាត់</w:t>
      </w:r>
      <w:r>
        <w:rPr>
          <w:rFonts w:ascii="Times New Roman" w:hAnsi="Times New Roman" w:eastAsia="Times New Roman" w:cs="Times New Roman"/>
        </w:rPr>
        <w:t xml:space="preserve"> </w:t>
      </w:r>
      <w:r>
        <w:rPr>
          <w:rFonts w:ascii="Leelawadee UI" w:hAnsi="Leelawadee UI" w:eastAsia="Leelawadee UI" w:cs="Leelawadee UI"/>
        </w:rPr>
        <w:t>ដោយផ្អែកលើបរិបទនៃជំពូកដែលមានការជំនុំជម្រះនៃ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ស្ថិតនៅ</w:t>
      </w:r>
      <w:r>
        <w:rPr>
          <w:rFonts w:ascii="Times New Roman" w:hAnsi="Times New Roman" w:eastAsia="Times New Roman" w:cs="Times New Roman"/>
        </w:rPr>
        <w:t xml:space="preserve"> </w:t>
      </w:r>
      <w:r>
        <w:rPr>
          <w:rFonts w:ascii="Leelawadee UI" w:hAnsi="Leelawadee UI" w:eastAsia="Leelawadee UI" w:cs="Leelawadee UI"/>
        </w:rPr>
        <w:t>មិនមែនផ្អែកលើភាសាហេប្រ៊ូនោះទេ។</w:t>
      </w:r>
    </w:p>
    <w:p>
      <w:pPr>
        <w:pStyle w:val="ArticleBody"/>
        <w:jc w:val="left"/>
      </w:pPr>
      <w:r>
        <w:rPr>
          <w:rFonts w:ascii="Times New Roman" w:hAnsi="Times New Roman" w:eastAsia="Times New Roman" w:cs="Times New Roman"/>
        </w:rPr>
        <w:t>Le contexte du chapitre vingt-cinq est celui où sont définies les prescriptions de l’alliance; puis le chapitre vingt-six présente la bénédiction promise pour l’observation de ces prescriptions de l’alliance, et expose ensuite ce que Daniel appelle la « malédiction de Moïse » pour la désobéissance à ces prescriptions.</w:t>
      </w:r>
    </w:p>
    <w:p>
      <w:pPr>
        <w:pStyle w:val="ArticleBody"/>
        <w:jc w:val="left"/>
      </w:pPr>
      <w:r>
        <w:rPr>
          <w:rFonts w:ascii="Times New Roman" w:hAnsi="Times New Roman" w:eastAsia="Times New Roman" w:cs="Times New Roman"/>
        </w:rPr>
        <w:t>Kontexte no dema emi no tun de nɔtɔ de ɖeka me—a ɖeka ta ƒe xɔse—le Biblia ƒe nyagblɔɖilawo me. Le Leviticus blaene-vɔ atɔ lia ƒe kpukpui gɔmeawo me la, woɖe edzi kple kekeli be le Biblia ƒe nyagblɔɖilawo me la, ŋkeke ɖeka ɖoa ŋutɔ ƒe ta. Le Exodus ƒe agbalẽ me la, Mose fia kple kekeli nyateƒe si le ŋkeke adre lia ƒe sabat ƒe dzudzɔ na amegbetɔ kple lã, kple ƒe adre lia ƒe sabat ƒe dzudzɔ na anyigba la dome.</w:t>
      </w:r>
    </w:p>
    <w:p>
      <w:pPr>
        <w:pStyle w:val="ArticleScripture"/>
        <w:jc w:val="left"/>
      </w:pP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भूमि</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बोवाई</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उसकी</w:t>
      </w:r>
      <w:r>
        <w:rPr>
          <w:rFonts w:ascii="Times New Roman" w:hAnsi="Times New Roman" w:eastAsia="Times New Roman" w:cs="Times New Roman"/>
        </w:rPr>
        <w:t xml:space="preserve"> </w:t>
      </w:r>
      <w:r>
        <w:rPr>
          <w:rFonts w:ascii="Nirmala UI" w:hAnsi="Nirmala UI" w:eastAsia="Nirmala UI" w:cs="Nirmala UI"/>
        </w:rPr>
        <w:t>उपज</w:t>
      </w:r>
      <w:r>
        <w:rPr>
          <w:rFonts w:ascii="Times New Roman" w:hAnsi="Times New Roman" w:eastAsia="Times New Roman" w:cs="Times New Roman"/>
        </w:rPr>
        <w:t xml:space="preserve"> </w:t>
      </w:r>
      <w:r>
        <w:rPr>
          <w:rFonts w:ascii="Nirmala UI" w:hAnsi="Nirmala UI" w:eastAsia="Nirmala UI" w:cs="Nirmala UI"/>
        </w:rPr>
        <w:t>बटोर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करने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रहने</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लोग</w:t>
      </w:r>
      <w:r>
        <w:rPr>
          <w:rFonts w:ascii="Times New Roman" w:hAnsi="Times New Roman" w:eastAsia="Times New Roman" w:cs="Times New Roman"/>
        </w:rPr>
        <w:t xml:space="preserve"> </w:t>
      </w:r>
      <w:r>
        <w:rPr>
          <w:rFonts w:ascii="Nirmala UI" w:hAnsi="Nirmala UI" w:eastAsia="Nirmala UI" w:cs="Nirmala UI"/>
        </w:rPr>
        <w:t>खा</w:t>
      </w:r>
      <w:r>
        <w:rPr>
          <w:rFonts w:ascii="Times New Roman" w:hAnsi="Times New Roman" w:eastAsia="Times New Roman" w:cs="Times New Roman"/>
        </w:rPr>
        <w:t xml:space="preserve"> </w:t>
      </w:r>
      <w:r>
        <w:rPr>
          <w:rFonts w:ascii="Nirmala UI" w:hAnsi="Nirmala UI" w:eastAsia="Nirmala UI" w:cs="Nirmala UI"/>
        </w:rPr>
        <w:t>सकें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छोड़</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मैदान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पशु</w:t>
      </w:r>
      <w:r>
        <w:rPr>
          <w:rFonts w:ascii="Times New Roman" w:hAnsi="Times New Roman" w:eastAsia="Times New Roman" w:cs="Times New Roman"/>
        </w:rPr>
        <w:t xml:space="preserve"> </w:t>
      </w:r>
      <w:r>
        <w:rPr>
          <w:rFonts w:ascii="Nirmala UI" w:hAnsi="Nirmala UI" w:eastAsia="Nirmala UI" w:cs="Nirmala UI"/>
        </w:rPr>
        <w:t>खाएँ।</w:t>
      </w:r>
      <w:r>
        <w:rPr>
          <w:rFonts w:ascii="Times New Roman" w:hAnsi="Times New Roman" w:eastAsia="Times New Roman" w:cs="Times New Roman"/>
        </w:rPr>
        <w:t xml:space="preserve">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दाख</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जलपाई</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बाग</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काम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सातवें</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बैल</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गदहा</w:t>
      </w:r>
      <w:r>
        <w:rPr>
          <w:rFonts w:ascii="Times New Roman" w:hAnsi="Times New Roman" w:eastAsia="Times New Roman" w:cs="Times New Roman"/>
        </w:rPr>
        <w:t xml:space="preserve"> </w:t>
      </w:r>
      <w:r>
        <w:rPr>
          <w:rFonts w:ascii="Nirmala UI" w:hAnsi="Nirmala UI" w:eastAsia="Nirmala UI" w:cs="Nirmala UI"/>
        </w:rPr>
        <w:t>विश्राम</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तेरी</w:t>
      </w:r>
      <w:r>
        <w:rPr>
          <w:rFonts w:ascii="Times New Roman" w:hAnsi="Times New Roman" w:eastAsia="Times New Roman" w:cs="Times New Roman"/>
        </w:rPr>
        <w:t xml:space="preserve"> </w:t>
      </w:r>
      <w:r>
        <w:rPr>
          <w:rFonts w:ascii="Nirmala UI" w:hAnsi="Nirmala UI" w:eastAsia="Nirmala UI" w:cs="Nirmala UI"/>
        </w:rPr>
        <w:t>दासी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पुत्र</w:t>
      </w:r>
      <w:r>
        <w:rPr>
          <w:rFonts w:ascii="Times New Roman" w:hAnsi="Times New Roman" w:eastAsia="Times New Roman" w:cs="Times New Roman"/>
        </w:rPr>
        <w:t xml:space="preserve"> </w:t>
      </w:r>
      <w:r>
        <w:rPr>
          <w:rFonts w:ascii="Nirmala UI" w:hAnsi="Nirmala UI" w:eastAsia="Nirmala UI" w:cs="Nirmala UI"/>
        </w:rPr>
        <w:t>तथा</w:t>
      </w:r>
      <w:r>
        <w:rPr>
          <w:rFonts w:ascii="Times New Roman" w:hAnsi="Times New Roman" w:eastAsia="Times New Roman" w:cs="Times New Roman"/>
        </w:rPr>
        <w:t xml:space="preserve"> </w:t>
      </w:r>
      <w:r>
        <w:rPr>
          <w:rFonts w:ascii="Nirmala UI" w:hAnsi="Nirmala UI" w:eastAsia="Nirmala UI" w:cs="Nirmala UI"/>
        </w:rPr>
        <w:t>परदेशी</w:t>
      </w:r>
      <w:r>
        <w:rPr>
          <w:rFonts w:ascii="Times New Roman" w:hAnsi="Times New Roman" w:eastAsia="Times New Roman" w:cs="Times New Roman"/>
        </w:rPr>
        <w:t xml:space="preserve"> </w:t>
      </w:r>
      <w:r>
        <w:rPr>
          <w:rFonts w:ascii="Nirmala UI" w:hAnsi="Nirmala UI" w:eastAsia="Nirmala UI" w:cs="Nirmala UI"/>
        </w:rPr>
        <w:t>ताज़गी</w:t>
      </w:r>
      <w:r>
        <w:rPr>
          <w:rFonts w:ascii="Times New Roman" w:hAnsi="Times New Roman" w:eastAsia="Times New Roman" w:cs="Times New Roman"/>
        </w:rPr>
        <w:t xml:space="preserve"> </w:t>
      </w:r>
      <w:r>
        <w:rPr>
          <w:rFonts w:ascii="Nirmala UI" w:hAnsi="Nirmala UI" w:eastAsia="Nirmala UI" w:cs="Nirmala UI"/>
        </w:rPr>
        <w:t>पाएं।</w:t>
      </w:r>
      <w:r>
        <w:rPr>
          <w:rFonts w:ascii="Times New Roman" w:hAnsi="Times New Roman" w:eastAsia="Times New Roman" w:cs="Times New Roman"/>
        </w:rPr>
        <w:t xml:space="preserve"> </w:t>
      </w:r>
      <w:r>
        <w:rPr>
          <w:rFonts w:ascii="Nirmala UI" w:hAnsi="Nirmala UI" w:eastAsia="Nirmala UI" w:cs="Nirmala UI"/>
        </w:rPr>
        <w:t>निर्गमन</w:t>
      </w:r>
      <w:r>
        <w:rPr>
          <w:rFonts w:ascii="Times New Roman" w:hAnsi="Times New Roman" w:eastAsia="Times New Roman" w:cs="Times New Roman"/>
        </w:rPr>
        <w:t xml:space="preserve"> 23:10–12</w:t>
      </w:r>
      <w:r>
        <w:rPr>
          <w:rFonts w:ascii="Nirmala UI" w:hAnsi="Nirmala UI" w:eastAsia="Nirmala UI" w:cs="Nirmala UI"/>
        </w:rPr>
        <w:t>।</w:t>
      </w:r>
    </w:p>
    <w:p>
      <w:pPr>
        <w:pStyle w:val="ArticleBody"/>
        <w:jc w:val="left"/>
      </w:pPr>
      <w:r>
        <w:rPr>
          <w:rFonts w:ascii="Times New Roman" w:hAnsi="Times New Roman" w:eastAsia="Times New Roman" w:cs="Times New Roman"/>
        </w:rPr>
        <w:t>Lans les trois versets ceux-là, on peut reconnaître qu’un jour de repos pour les hommes et les bêtes équivaut à une année de repos pour la terre. En Lévitique chapitre vingt-cinq, dans les cinq premiers versets, nous trouvons la même structure grammaticale que dans le commandement du sabbat d’Exode chapitre vingt, versets huit à onze.</w:t>
      </w:r>
    </w:p>
    <w:p>
      <w:pPr>
        <w:pStyle w:val="ArticleScripture"/>
        <w:jc w:val="left"/>
      </w:pPr>
      <w:r>
        <w:rPr>
          <w:rFonts w:ascii="Times New Roman" w:hAnsi="Times New Roman" w:eastAsia="Times New Roman" w:cs="Times New Roman"/>
        </w:rPr>
        <w:t>Og Herren talte til Moses på Sinaj bjerg og sagde: Tal til Israels børn og sig til dem: Når I kommer ind i det land, som jeg giver jer, da skal landet holde sabbat for Herren. I seks år skal du tilså din mark, og i seks år skal du beskære din vingård og samle dens afgrøde; men i det syvende år skal der være en fuldkommen hvile for landet, en sabbat for Herren; du må hverken tilså din mark eller beskære din vingård. Det, som vokser frem af sig selv efter din høst, må du ikke høste, og druerne fra din ubeskårne vinstok må du ikke samle; for det er et hvileår for landet. 3 Mosebog 25:1–5.</w:t>
      </w:r>
    </w:p>
    <w:p>
      <w:pPr>
        <w:pStyle w:val="ArticleScripture"/>
        <w:jc w:val="left"/>
      </w:pPr>
      <w:r>
        <w:rPr>
          <w:rFonts w:ascii="Times New Roman" w:hAnsi="Times New Roman" w:eastAsia="Times New Roman" w:cs="Times New Roman"/>
        </w:rPr>
        <w:t>Chindele iShabbat, ukuba uyingcwalise. Iintsuku ezintandathu uya kusebenza, wenze wonke umsebenzi wakho; kodwa umhla wesixhenxe yiShabbat kaYehova uThixo wakho; awuyi kwenza msebenzi kuwo, wena, nonyana wakho, nentombi yakho, nomkhonzi wakho oyindoda, nomkhonzazana wakho, neenkomo zakho, nomphambukeli wakho ongaphakathi emasangweni akho. Kuba ngeentsuku ezintandathu uYehova wenza izulu nomhlaba, ulwandle, neento zonke ezikuzo, waza waphumla ngomhla wesixhenxe; ngenxa yoko uYehova wawusikelela umhla weShabbat, wawungcwalisa. Eksodus 20:8–11.</w:t>
      </w:r>
    </w:p>
    <w:p>
      <w:pPr>
        <w:pStyle w:val="ArticleBody"/>
        <w:jc w:val="left"/>
      </w:pPr>
      <w:r>
        <w:rPr>
          <w:rFonts w:ascii="Times New Roman" w:hAnsi="Times New Roman" w:eastAsia="Times New Roman" w:cs="Times New Roman"/>
        </w:rPr>
        <w:t>Ensemble, les deux commandements relatifs au sabbat définissent le contexte de Lévitique vingt-cinq et vingt-six. Rapprochés ligne sur ligne, ils attestent que, pendant « six jours tu travailleras et tu feras tout ton ouvrage », et que, pendant « six années tu ensemenceras ton champ, et six années tu tailleras ta vigne, et tu en recueilleras le fruit ». « Mais le septième jour est le sabbat de l’Éternel, ton Dieu », et « la septième année sera un sabbat de repos pour la terre, un sabbat pour l’Éternel ».</w:t>
      </w:r>
    </w:p>
    <w:p>
      <w:pPr>
        <w:pStyle w:val="ArticleBody"/>
        <w:jc w:val="left"/>
      </w:pPr>
      <w:r>
        <w:rPr>
          <w:rFonts w:ascii="Times New Roman" w:hAnsi="Times New Roman" w:eastAsia="Times New Roman" w:cs="Times New Roman"/>
        </w:rPr>
        <w:t>Chaqqeeffoota lamaan keessaa tokko illee, kan ajajawwan Sanbataa keessaa kamiyyuu keessatti “torbaffaa” jedhamee hiikamu—Sanbata namootaaf ta’u yoo ta’e yookaan Sanbata biyya lafaatiif ta’u—jecha Ibrootaa isa tokkoo fi tokkicha, isa boqonnaa digdamii jahaffaa keessa Seera Lewwotaa keessatti “yeroo torba” jedhamee hiikamu sana dha. Haalli qabiyyee boqonnaawwan digdamii shanii fi digdamii jahaffaa kan Seera Lewwotaa, seera raajii keessatti guyyaan waggaa tokko bakka bu’u jedhu keessatti kaa’ameera. Akkasumas, akkaan barbaachisaa dha seerri raajii waa’ee yeroo jalqabaa ibsame jedhu.</w:t>
      </w:r>
    </w:p>
    <w:p>
      <w:pPr>
        <w:pStyle w:val="ArticleBody"/>
        <w:jc w:val="left"/>
      </w:pPr>
      <w:r>
        <w:rPr>
          <w:rFonts w:ascii="Times New Roman" w:hAnsi="Times New Roman" w:eastAsia="Times New Roman" w:cs="Times New Roman"/>
        </w:rPr>
        <w:t>Най-напред в тези две глави се споменава принципът ден-за-година. Уилям Милър бе воден от Гавриил и други ангели да разпознае „седемте времена“ в Левит като символ на две хиляди петстотин и двадесет години; и това е в пълно съгласие с контекста на главите, а именно принципът ден-за-година, изложен в първите пет стиха на двадесет и пета глава.</w:t>
      </w:r>
    </w:p>
    <w:p>
      <w:pPr>
        <w:pStyle w:val="ArticleBody"/>
        <w:jc w:val="left"/>
      </w:pPr>
      <w:r>
        <w:rPr>
          <w:rFonts w:ascii="Times New Roman" w:hAnsi="Times New Roman" w:eastAsia="Times New Roman" w:cs="Times New Roman"/>
        </w:rPr>
        <w:t>Wakati mwandishi wa Mambo ya Nyakati alipotaja sababu iliyofanya Babeli iruhusiwe kuuchukua ufalme wa kusini wa Yuda utumwani, alisema ilikuwa ili kuiruhusu nchi ifurahie mapumziko yake ya sabato. Mahali pengine pekee katika Neno la Mungu panapotaja nchi ikifurahia mapumziko panaonekana katika sura ya ishirini na tano na ya ishirini na sita ya Mambo ya Walawi. Miaka sabini ambayo Babeli ilitawala kama ufalme wa kwanza wa unabii wa Biblia, si tu kwamba inawasilisha miaka ya kiishara ambayo mnyama wa nchi angetawala kama ufalme wa sita wa unabii wa Biblia, bali miaka hiyo sabini ni rejea ya moja kwa moja kwa “nyakati saba” za laana ya Musa.</w:t>
      </w:r>
    </w:p>
    <w:p>
      <w:pPr>
        <w:pStyle w:val="ArticleBody"/>
        <w:jc w:val="left"/>
      </w:pPr>
      <w:r>
        <w:rPr>
          <w:rFonts w:ascii="Microsoft YaHei" w:hAnsi="Microsoft YaHei" w:eastAsia="Microsoft YaHei" w:cs="Microsoft YaHei"/>
        </w:rPr>
        <w:t>當我們開始研讀</w:t>
      </w:r>
      <w:r>
        <w:rPr>
          <w:rFonts w:ascii="Times New Roman" w:hAnsi="Times New Roman" w:eastAsia="Times New Roman" w:cs="Times New Roman"/>
        </w:rPr>
        <w:t>«</w:t>
      </w:r>
      <w:r>
        <w:rPr>
          <w:rFonts w:ascii="Microsoft YaHei" w:hAnsi="Microsoft YaHei" w:eastAsia="Microsoft YaHei" w:cs="Microsoft YaHei"/>
        </w:rPr>
        <w:t>但以理書</w:t>
      </w:r>
      <w:r>
        <w:rPr>
          <w:rFonts w:ascii="Times New Roman" w:hAnsi="Times New Roman" w:eastAsia="Times New Roman" w:cs="Times New Roman"/>
        </w:rPr>
        <w:t>»</w:t>
      </w:r>
      <w:r>
        <w:rPr>
          <w:rFonts w:ascii="Microsoft YaHei" w:hAnsi="Microsoft YaHei" w:eastAsia="Microsoft YaHei" w:cs="Microsoft YaHei"/>
        </w:rPr>
        <w:t>前六章所呈現的預言時</w:t>
      </w:r>
      <w:r>
        <w:rPr>
          <w:rFonts w:ascii="Times New Roman" w:hAnsi="Times New Roman" w:eastAsia="Times New Roman" w:cs="Times New Roman"/>
        </w:rPr>
        <w:t>,</w:t>
      </w:r>
      <w:r>
        <w:rPr>
          <w:rFonts w:ascii="Microsoft YaHei" w:hAnsi="Microsoft YaHei" w:eastAsia="Microsoft YaHei" w:cs="Microsoft YaHei"/>
        </w:rPr>
        <w:t>必須明白</w:t>
      </w:r>
      <w:r>
        <w:rPr>
          <w:rFonts w:ascii="Times New Roman" w:hAnsi="Times New Roman" w:eastAsia="Times New Roman" w:cs="Times New Roman"/>
        </w:rPr>
        <w:t>,</w:t>
      </w:r>
      <w:r>
        <w:rPr>
          <w:rFonts w:ascii="Microsoft YaHei" w:hAnsi="Microsoft YaHei" w:eastAsia="Microsoft YaHei" w:cs="Microsoft YaHei"/>
        </w:rPr>
        <w:t>「七期」的咒詛以及「七期」的祝福</w:t>
      </w:r>
      <w:r>
        <w:rPr>
          <w:rFonts w:ascii="Times New Roman" w:hAnsi="Times New Roman" w:eastAsia="Times New Roman" w:cs="Times New Roman"/>
        </w:rPr>
        <w:t>,</w:t>
      </w:r>
      <w:r>
        <w:rPr>
          <w:rFonts w:ascii="Microsoft YaHei" w:hAnsi="Microsoft YaHei" w:eastAsia="Microsoft YaHei" w:cs="Microsoft YaHei"/>
        </w:rPr>
        <w:t>乃是這些各章之中的一項要素</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Наред с това е важно да се помни, че цикълът от седем цикъла по седем години се отбелязва с прозвучаването на юбилейната тръба на десетия ден от седмия месец, който е Денят на умилостивението. Този факт свързва „седемте времена“ с две хиляди и тристате дни от осма глава на Даниил, стих четиринадесети. Също така е важно да се помни, че една пророческа година е триста и шестдесет дни, и ако съберете триста и шестдесет дни отново и отново за „седем времена“, това се равнява на две хиляди петстотин и двадесет дни.</w:t>
      </w:r>
    </w:p>
    <w:p>
      <w:pPr>
        <w:pStyle w:val="ArticleBody"/>
        <w:jc w:val="left"/>
      </w:pPr>
      <w:r>
        <w:rPr>
          <w:rFonts w:ascii="Times New Roman" w:hAnsi="Times New Roman" w:eastAsia="Times New Roman" w:cs="Times New Roman"/>
        </w:rPr>
        <w:t>عندما فهم دانيال من الكتب عدد السنين التي كان إرميا قد عيَّنها، بدأ صلاةً تتناول كلَّ عنصر من عناصر استجابة التوبة التي يُشار إليها بوصفها ضرورية، إذا ما استيقظ شعب الله يومًا إلى حقيقة أنهم سبايا في أرض العدو. وفي ختام صلاة دانيال المستندة إلى اللاويين السادس والعشرين، ظهر جبرائيل ليعطي دانيال فهمًا للرؤيا التي كان قد «سمعها»، أي رؤيا الألفين والثلاثمئة يوم. وابتدأ جبرائيل بإبلاغ دانيال أن سبعين أسبوعًا قد «قُضِيَت» على شعب دانيال.</w:t>
      </w:r>
    </w:p>
    <w:p>
      <w:pPr>
        <w:pStyle w:val="ArticleScripture"/>
        <w:jc w:val="left"/>
      </w:pPr>
      <w:r>
        <w:rPr>
          <w:rFonts w:ascii="Times New Roman" w:hAnsi="Times New Roman" w:eastAsia="Times New Roman" w:cs="Times New Roman"/>
        </w:rPr>
        <w:t>Lobiku makumi sambanu na zolemiisatu eponami likolo na bato na yo mpe likolo na engumba na yo mosantu, mpo na kosukisa bobuki mibeko, mpe mpo na kosilisa masumu, mpe mpo na kosala boyokani mpo na mabe, mpe mpo na komema boyengebene ya seko, mpe mpo na kokanga elembo emonaneli mpe esakweli, mpe mpo na kopakola mafuta Oyo Aleki Bosantu. Daniel 9:24.</w:t>
      </w:r>
    </w:p>
    <w:p>
      <w:pPr>
        <w:pStyle w:val="ArticleBody"/>
        <w:jc w:val="left"/>
      </w:pPr>
      <w:r>
        <w:rPr>
          <w:rFonts w:ascii="Times New Roman" w:hAnsi="Times New Roman" w:eastAsia="Times New Roman" w:cs="Times New Roman"/>
        </w:rPr>
        <w:t>Le mot traduit par « déterminées » dans le verset signifie « retranchées » ; par conséquent, cela signifie que soixante-dix semaines devaient être retranchées des deux mille trois cents jours. À partir du troisième décret, en 457 av. J.-C., le peuple de Daniel disposerait de soixante-dix semaines prophétiques comme temps d’épreuve. Soixante-dix semaines prophétiques équivalent à quatre cent quatre-vingt-dix ans. Quatre cent quatre-vingt-dix ans après le troisième décret, l’ancien Israël lapiderait Étienne en l’an 34, et il serait alors pleinement répudié par Dieu.</w:t>
      </w:r>
    </w:p>
    <w:p>
      <w:pPr>
        <w:pStyle w:val="ArticleBody"/>
        <w:jc w:val="left"/>
      </w:pPr>
      <w:r>
        <w:rPr>
          <w:rFonts w:ascii="Times New Roman" w:hAnsi="Times New Roman" w:eastAsia="Times New Roman" w:cs="Times New Roman"/>
        </w:rPr>
        <w:t>Als voorbereiding op de drie decreten, die het beginpunt bepalen van de vierhonderdnegentig jaren van genadetijd, was er een ballingschap van zeventig jaar geweest. Die zeventig jaren waren bedoeld om het land de sabbatsrusten te laten genieten die het oude Israël nooit had vervuld. Zeventig jaren van sabbatsrust voor het land werden teweeggebracht wegens vierhonderdnegentig jaren (of zeventig jaarweken) van opstand tegen de eed van Mozes.</w:t>
      </w:r>
    </w:p>
    <w:p>
      <w:pPr>
        <w:pStyle w:val="ArticleBody"/>
        <w:jc w:val="left"/>
      </w:pPr>
      <w:r>
        <w:rPr>
          <w:rFonts w:ascii="Times New Roman" w:hAnsi="Times New Roman" w:eastAsia="Times New Roman" w:cs="Times New Roman"/>
        </w:rPr>
        <w:t>O amerika nile mba anọ na iri itoolu nke nnupụisi megide ọgbụgba ndụ nke Levitikọs iri abụọ na ise mụtara mba iri asaa nke mgbapụ, ka ala wee nwee ike ịnụ ụtọ izu ike ya. Afọ iri asaa ahụ nke mgbapụ dugara n’iwu atọ e nyere, ndị nke gosipụtara afọ ọzọ anọ na iri itoolu nke oge nnwale nye Izrel oge ochie. Ya mere anyị na-ahụ oge nnwale abụọ, nke ọ bụla bụ afọ anọ na iri itoolu. Iwu atọ ahụ bụ ụdị nke ozi ndị mmụọ ozi atọ, nke mbụ n’ime ha bịarutere n’afọ 1798, na njedebe nke iwe mbụ nke “ugboro asaa” megide alaeze ugwu. Mmụọ ozi nke atọ bịarutere puku afọ abụọ na narị atọ mgbe iwu nke atọ gasịrị, n’October 22, 1844, nke bụkwa mgbe “njedebe ikpeazụ nke iwe ahụ” bịarutere.</w:t>
      </w:r>
    </w:p>
    <w:p>
      <w:pPr>
        <w:pStyle w:val="ArticleBody"/>
        <w:jc w:val="left"/>
      </w:pPr>
      <w:r>
        <w:rPr>
          <w:rFonts w:ascii="Microsoft YaHei" w:hAnsi="Microsoft YaHei" w:eastAsia="Microsoft YaHei" w:cs="Microsoft YaHei"/>
        </w:rPr>
        <w:t>在第一次震怒终结与最后一次震怒终结之间的四十六年中</w:t>
      </w:r>
      <w:r>
        <w:rPr>
          <w:rFonts w:ascii="Times New Roman" w:hAnsi="Times New Roman" w:eastAsia="Times New Roman" w:cs="Times New Roman"/>
        </w:rPr>
        <w:t>,</w:t>
      </w:r>
      <w:r>
        <w:rPr>
          <w:rFonts w:ascii="Microsoft YaHei" w:hAnsi="Microsoft YaHei" w:eastAsia="Microsoft YaHei" w:cs="Microsoft YaHei"/>
        </w:rPr>
        <w:t>耶稣奠定了米勒派圣殿的根基</w:t>
      </w:r>
      <w:r>
        <w:rPr>
          <w:rFonts w:ascii="Times New Roman" w:hAnsi="Times New Roman" w:eastAsia="Times New Roman" w:cs="Times New Roman"/>
        </w:rPr>
        <w:t>,</w:t>
      </w:r>
      <w:r>
        <w:rPr>
          <w:rFonts w:ascii="Microsoft YaHei" w:hAnsi="Microsoft YaHei" w:eastAsia="Microsoft YaHei" w:cs="Microsoft YaHei"/>
        </w:rPr>
        <w:t>而那根基石就是</w:t>
      </w:r>
      <w:r>
        <w:rPr>
          <w:rFonts w:ascii="Times New Roman" w:hAnsi="Times New Roman" w:eastAsia="Times New Roman" w:cs="Times New Roman"/>
        </w:rPr>
        <w:t>“</w:t>
      </w:r>
      <w:r>
        <w:rPr>
          <w:rFonts w:ascii="Microsoft YaHei" w:hAnsi="Microsoft YaHei" w:eastAsia="Microsoft YaHei" w:cs="Microsoft YaHei"/>
        </w:rPr>
        <w:t>七期</w:t>
      </w:r>
      <w:r>
        <w:rPr>
          <w:rFonts w:ascii="Times New Roman" w:hAnsi="Times New Roman" w:eastAsia="Times New Roman" w:cs="Times New Roman"/>
        </w:rPr>
        <w:t>”.</w:t>
      </w:r>
      <w:r>
        <w:rPr>
          <w:rFonts w:ascii="Microsoft YaHei" w:hAnsi="Microsoft YaHei" w:eastAsia="Microsoft YaHei" w:cs="Microsoft YaHei"/>
        </w:rPr>
        <w:t>这块石头在起初对于复临信仰而言</w:t>
      </w:r>
      <w:r>
        <w:rPr>
          <w:rFonts w:ascii="Times New Roman" w:hAnsi="Times New Roman" w:eastAsia="Times New Roman" w:cs="Times New Roman"/>
        </w:rPr>
        <w:t>,</w:t>
      </w:r>
      <w:r>
        <w:rPr>
          <w:rFonts w:ascii="Microsoft YaHei" w:hAnsi="Microsoft YaHei" w:eastAsia="Microsoft YaHei" w:cs="Microsoft YaHei"/>
        </w:rPr>
        <w:t>必成为根基石（否则便成为绊脚石）</w:t>
      </w:r>
      <w:r>
        <w:rPr>
          <w:rFonts w:ascii="Times New Roman" w:hAnsi="Times New Roman" w:eastAsia="Times New Roman" w:cs="Times New Roman"/>
        </w:rPr>
        <w:t>;</w:t>
      </w:r>
      <w:r>
        <w:rPr>
          <w:rFonts w:ascii="Microsoft YaHei" w:hAnsi="Microsoft YaHei" w:eastAsia="Microsoft YaHei" w:cs="Microsoft YaHei"/>
        </w:rPr>
        <w:t>而在末后对于复临信仰而言</w:t>
      </w:r>
      <w:r>
        <w:rPr>
          <w:rFonts w:ascii="Times New Roman" w:hAnsi="Times New Roman" w:eastAsia="Times New Roman" w:cs="Times New Roman"/>
        </w:rPr>
        <w:t>,</w:t>
      </w:r>
      <w:r>
        <w:rPr>
          <w:rFonts w:ascii="Microsoft YaHei" w:hAnsi="Microsoft YaHei" w:eastAsia="Microsoft YaHei" w:cs="Microsoft YaHei"/>
        </w:rPr>
        <w:t>必成为房角首石和封顶石（否则便成为墓石）</w:t>
      </w:r>
      <w:r>
        <w:rPr>
          <w:rFonts w:ascii="Times New Roman" w:hAnsi="Times New Roman" w:eastAsia="Times New Roman" w:cs="Times New Roman"/>
        </w:rPr>
        <w:t>.</w:t>
      </w:r>
      <w:r>
        <w:rPr>
          <w:rFonts w:ascii="Microsoft YaHei" w:hAnsi="Microsoft YaHei" w:eastAsia="Microsoft YaHei" w:cs="Microsoft YaHei"/>
        </w:rPr>
        <w:t>那三道法令</w:t>
      </w:r>
      <w:r>
        <w:rPr>
          <w:rFonts w:ascii="Times New Roman" w:hAnsi="Times New Roman" w:eastAsia="Times New Roman" w:cs="Times New Roman"/>
        </w:rPr>
        <w:t>,</w:t>
      </w:r>
      <w:r>
        <w:rPr>
          <w:rFonts w:ascii="Microsoft YaHei" w:hAnsi="Microsoft YaHei" w:eastAsia="Microsoft YaHei" w:cs="Microsoft YaHei"/>
        </w:rPr>
        <w:t>在</w:t>
      </w:r>
      <w:r>
        <w:rPr>
          <w:rFonts w:ascii="Times New Roman" w:hAnsi="Times New Roman" w:eastAsia="Times New Roman" w:cs="Times New Roman"/>
        </w:rPr>
        <w:t>1798</w:t>
      </w:r>
      <w:r>
        <w:rPr>
          <w:rFonts w:ascii="Microsoft YaHei" w:hAnsi="Microsoft YaHei" w:eastAsia="Microsoft YaHei" w:cs="Microsoft YaHei"/>
        </w:rPr>
        <w:t>年至</w:t>
      </w:r>
      <w:r>
        <w:rPr>
          <w:rFonts w:ascii="Times New Roman" w:hAnsi="Times New Roman" w:eastAsia="Times New Roman" w:cs="Times New Roman"/>
        </w:rPr>
        <w:t>1844</w:t>
      </w:r>
      <w:r>
        <w:rPr>
          <w:rFonts w:ascii="Microsoft YaHei" w:hAnsi="Microsoft YaHei" w:eastAsia="Microsoft YaHei" w:cs="Microsoft YaHei"/>
        </w:rPr>
        <w:t>年的历史中代表三位天使信息的来到</w:t>
      </w:r>
      <w:r>
        <w:rPr>
          <w:rFonts w:ascii="Times New Roman" w:hAnsi="Times New Roman" w:eastAsia="Times New Roman" w:cs="Times New Roman"/>
        </w:rPr>
        <w:t>,</w:t>
      </w:r>
      <w:r>
        <w:rPr>
          <w:rFonts w:ascii="Microsoft YaHei" w:hAnsi="Microsoft YaHei" w:eastAsia="Microsoft YaHei" w:cs="Microsoft YaHei"/>
        </w:rPr>
        <w:t>也同样代表</w:t>
      </w:r>
      <w:r>
        <w:rPr>
          <w:rFonts w:ascii="Times New Roman" w:hAnsi="Times New Roman" w:eastAsia="Times New Roman" w:cs="Times New Roman"/>
        </w:rPr>
        <w:t>«</w:t>
      </w:r>
      <w:r>
        <w:rPr>
          <w:rFonts w:ascii="Microsoft YaHei" w:hAnsi="Microsoft YaHei" w:eastAsia="Microsoft YaHei" w:cs="Microsoft YaHei"/>
        </w:rPr>
        <w:t>但以理书</w:t>
      </w:r>
      <w:r>
        <w:rPr>
          <w:rFonts w:ascii="Times New Roman" w:hAnsi="Times New Roman" w:eastAsia="Times New Roman" w:cs="Times New Roman"/>
        </w:rPr>
        <w:t>»</w:t>
      </w:r>
      <w:r>
        <w:rPr>
          <w:rFonts w:ascii="Microsoft YaHei" w:hAnsi="Microsoft YaHei" w:eastAsia="Microsoft YaHei" w:cs="Microsoft YaHei"/>
        </w:rPr>
        <w:t>的前三章</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Dans le prochain article, nous commencerons à examiner les six premiers chapitres.</w:t>
      </w:r>
    </w:p>
    <w:p>
      <w:pPr>
        <w:pStyle w:val="ArticleScripture"/>
        <w:jc w:val="left"/>
      </w:pPr>
      <w:r>
        <w:rPr>
          <w:rFonts w:ascii="Microsoft YaHei" w:hAnsi="Microsoft YaHei" w:eastAsia="Microsoft YaHei" w:cs="Microsoft YaHei"/>
        </w:rPr>
        <w:t>「但以理書</w:t>
      </w:r>
      <w:r>
        <w:rPr>
          <w:rFonts w:ascii="MS Gothic" w:hAnsi="MS Gothic" w:eastAsia="MS Gothic" w:cs="MS Gothic"/>
        </w:rPr>
        <w:t>と</w:t>
      </w:r>
      <w:r>
        <w:rPr>
          <w:rFonts w:ascii="Microsoft YaHei" w:hAnsi="Microsoft YaHei" w:eastAsia="Microsoft YaHei" w:cs="Microsoft YaHei"/>
        </w:rPr>
        <w:t>黙示録</w:t>
      </w:r>
      <w:r>
        <w:rPr>
          <w:rFonts w:ascii="MS Gothic" w:hAnsi="MS Gothic" w:eastAsia="MS Gothic" w:cs="MS Gothic"/>
        </w:rPr>
        <w:t>とがよりよく</w:t>
      </w:r>
      <w:r>
        <w:rPr>
          <w:rFonts w:ascii="Microsoft YaHei" w:hAnsi="Microsoft YaHei" w:eastAsia="Microsoft YaHei" w:cs="Microsoft YaHei"/>
        </w:rPr>
        <w:t>理解</w:t>
      </w:r>
      <w:r>
        <w:rPr>
          <w:rFonts w:ascii="MS Gothic" w:hAnsi="MS Gothic" w:eastAsia="MS Gothic" w:cs="MS Gothic"/>
        </w:rPr>
        <w:t>されるとき</w:t>
      </w:r>
      <w:r>
        <w:rPr>
          <w:rFonts w:ascii="Microsoft YaHei" w:hAnsi="Microsoft YaHei" w:eastAsia="Microsoft YaHei" w:cs="Microsoft YaHei"/>
        </w:rPr>
        <w:t>、信者</w:t>
      </w:r>
      <w:r>
        <w:rPr>
          <w:rFonts w:ascii="MS Gothic" w:hAnsi="MS Gothic" w:eastAsia="MS Gothic" w:cs="MS Gothic"/>
        </w:rPr>
        <w:t>たちは</w:t>
      </w:r>
      <w:r>
        <w:rPr>
          <w:rFonts w:ascii="Microsoft YaHei" w:hAnsi="Microsoft YaHei" w:eastAsia="Microsoft YaHei" w:cs="Microsoft YaHei"/>
        </w:rPr>
        <w:t>全</w:t>
      </w:r>
      <w:r>
        <w:rPr>
          <w:rFonts w:ascii="MS Gothic" w:hAnsi="MS Gothic" w:eastAsia="MS Gothic" w:cs="MS Gothic"/>
        </w:rPr>
        <w:t>く</w:t>
      </w:r>
      <w:r>
        <w:rPr>
          <w:rFonts w:ascii="Microsoft YaHei" w:hAnsi="Microsoft YaHei" w:eastAsia="Microsoft YaHei" w:cs="Microsoft YaHei"/>
        </w:rPr>
        <w:t>異</w:t>
      </w:r>
      <w:r>
        <w:rPr>
          <w:rFonts w:ascii="MS Gothic" w:hAnsi="MS Gothic" w:eastAsia="MS Gothic" w:cs="MS Gothic"/>
        </w:rPr>
        <w:t>なる</w:t>
      </w:r>
      <w:r>
        <w:rPr>
          <w:rFonts w:ascii="Microsoft YaHei" w:hAnsi="Microsoft YaHei" w:eastAsia="Microsoft YaHei" w:cs="Microsoft YaHei"/>
        </w:rPr>
        <w:t>宗教的経験</w:t>
      </w:r>
      <w:r>
        <w:rPr>
          <w:rFonts w:ascii="MS Gothic" w:hAnsi="MS Gothic" w:eastAsia="MS Gothic" w:cs="MS Gothic"/>
        </w:rPr>
        <w:t>を</w:t>
      </w:r>
      <w:r>
        <w:rPr>
          <w:rFonts w:ascii="Microsoft YaHei" w:hAnsi="Microsoft YaHei" w:eastAsia="Microsoft YaHei" w:cs="Microsoft YaHei"/>
        </w:rPr>
        <w:t>持</w:t>
      </w:r>
      <w:r>
        <w:rPr>
          <w:rFonts w:ascii="MS Gothic" w:hAnsi="MS Gothic" w:eastAsia="MS Gothic" w:cs="MS Gothic"/>
        </w:rPr>
        <w:t>つようになるであろう</w:t>
      </w:r>
      <w:r>
        <w:rPr>
          <w:rFonts w:ascii="Times New Roman" w:hAnsi="Times New Roman" w:eastAsia="Times New Roman" w:cs="Times New Roman"/>
        </w:rPr>
        <w:t>…….</w:t>
      </w:r>
      <w:r>
        <w:rPr>
          <w:rFonts w:ascii="Microsoft YaHei" w:hAnsi="Microsoft YaHei" w:eastAsia="Microsoft YaHei" w:cs="Microsoft YaHei"/>
        </w:rPr>
        <w:t>黙示録</w:t>
      </w:r>
      <w:r>
        <w:rPr>
          <w:rFonts w:ascii="MS Gothic" w:hAnsi="MS Gothic" w:eastAsia="MS Gothic" w:cs="MS Gothic"/>
        </w:rPr>
        <w:t>の</w:t>
      </w:r>
      <w:r>
        <w:rPr>
          <w:rFonts w:ascii="Microsoft YaHei" w:hAnsi="Microsoft YaHei" w:eastAsia="Microsoft YaHei" w:cs="Microsoft YaHei"/>
        </w:rPr>
        <w:t>研究</w:t>
      </w:r>
      <w:r>
        <w:rPr>
          <w:rFonts w:ascii="MS Gothic" w:hAnsi="MS Gothic" w:eastAsia="MS Gothic" w:cs="MS Gothic"/>
        </w:rPr>
        <w:t>から</w:t>
      </w:r>
      <w:r>
        <w:rPr>
          <w:rFonts w:ascii="Microsoft YaHei" w:hAnsi="Microsoft YaHei" w:eastAsia="Microsoft YaHei" w:cs="Microsoft YaHei"/>
        </w:rPr>
        <w:t>確</w:t>
      </w:r>
      <w:r>
        <w:rPr>
          <w:rFonts w:ascii="MS Gothic" w:hAnsi="MS Gothic" w:eastAsia="MS Gothic" w:cs="MS Gothic"/>
        </w:rPr>
        <w:t>かに</w:t>
      </w:r>
      <w:r>
        <w:rPr>
          <w:rFonts w:ascii="Microsoft YaHei" w:hAnsi="Microsoft YaHei" w:eastAsia="Microsoft YaHei" w:cs="Microsoft YaHei"/>
        </w:rPr>
        <w:t>理解</w:t>
      </w:r>
      <w:r>
        <w:rPr>
          <w:rFonts w:ascii="MS Gothic" w:hAnsi="MS Gothic" w:eastAsia="MS Gothic" w:cs="MS Gothic"/>
        </w:rPr>
        <w:t>される</w:t>
      </w:r>
      <w:r>
        <w:rPr>
          <w:rFonts w:ascii="Microsoft YaHei" w:hAnsi="Microsoft YaHei" w:eastAsia="Microsoft YaHei" w:cs="Microsoft YaHei"/>
        </w:rPr>
        <w:t>一</w:t>
      </w:r>
      <w:r>
        <w:rPr>
          <w:rFonts w:ascii="MS Gothic" w:hAnsi="MS Gothic" w:eastAsia="MS Gothic" w:cs="MS Gothic"/>
        </w:rPr>
        <w:t>つのことがある</w:t>
      </w:r>
      <w:r>
        <w:rPr>
          <w:rFonts w:ascii="Times New Roman" w:hAnsi="Times New Roman" w:eastAsia="Times New Roman" w:cs="Times New Roman"/>
        </w:rPr>
        <w:t>.</w:t>
      </w:r>
      <w:r>
        <w:rPr>
          <w:rFonts w:ascii="MS Gothic" w:hAnsi="MS Gothic" w:eastAsia="MS Gothic" w:cs="MS Gothic"/>
        </w:rPr>
        <w:t>すなわち</w:t>
      </w:r>
      <w:r>
        <w:rPr>
          <w:rFonts w:ascii="Microsoft YaHei" w:hAnsi="Microsoft YaHei" w:eastAsia="Microsoft YaHei" w:cs="Microsoft YaHei"/>
        </w:rPr>
        <w:t>、神</w:t>
      </w:r>
      <w:r>
        <w:rPr>
          <w:rFonts w:ascii="MS Gothic" w:hAnsi="MS Gothic" w:eastAsia="MS Gothic" w:cs="MS Gothic"/>
        </w:rPr>
        <w:t>とその</w:t>
      </w:r>
      <w:r>
        <w:rPr>
          <w:rFonts w:ascii="Microsoft YaHei" w:hAnsi="Microsoft YaHei" w:eastAsia="Microsoft YaHei" w:cs="Microsoft YaHei"/>
        </w:rPr>
        <w:t>民</w:t>
      </w:r>
      <w:r>
        <w:rPr>
          <w:rFonts w:ascii="MS Gothic" w:hAnsi="MS Gothic" w:eastAsia="MS Gothic" w:cs="MS Gothic"/>
        </w:rPr>
        <w:t>との</w:t>
      </w:r>
      <w:r>
        <w:rPr>
          <w:rFonts w:ascii="Microsoft YaHei" w:hAnsi="Microsoft YaHei" w:eastAsia="Microsoft YaHei" w:cs="Microsoft YaHei"/>
        </w:rPr>
        <w:t>結</w:t>
      </w:r>
      <w:r>
        <w:rPr>
          <w:rFonts w:ascii="MS Gothic" w:hAnsi="MS Gothic" w:eastAsia="MS Gothic" w:cs="MS Gothic"/>
        </w:rPr>
        <w:t>びつきは</w:t>
      </w:r>
      <w:r>
        <w:rPr>
          <w:rFonts w:ascii="Microsoft YaHei" w:hAnsi="Microsoft YaHei" w:eastAsia="Microsoft YaHei" w:cs="Microsoft YaHei"/>
        </w:rPr>
        <w:t>親密</w:t>
      </w:r>
      <w:r>
        <w:rPr>
          <w:rFonts w:ascii="MS Gothic" w:hAnsi="MS Gothic" w:eastAsia="MS Gothic" w:cs="MS Gothic"/>
        </w:rPr>
        <w:t>であり</w:t>
      </w:r>
      <w:r>
        <w:rPr>
          <w:rFonts w:ascii="Microsoft YaHei" w:hAnsi="Microsoft YaHei" w:eastAsia="Microsoft YaHei" w:cs="Microsoft YaHei"/>
        </w:rPr>
        <w:t>、</w:t>
      </w:r>
      <w:r>
        <w:rPr>
          <w:rFonts w:ascii="MS Gothic" w:hAnsi="MS Gothic" w:eastAsia="MS Gothic" w:cs="MS Gothic"/>
        </w:rPr>
        <w:t>かつ</w:t>
      </w:r>
      <w:r>
        <w:rPr>
          <w:rFonts w:ascii="Microsoft YaHei" w:hAnsi="Microsoft YaHei" w:eastAsia="Microsoft YaHei" w:cs="Microsoft YaHei"/>
        </w:rPr>
        <w:t>明白</w:t>
      </w:r>
      <w:r>
        <w:rPr>
          <w:rFonts w:ascii="MS Gothic" w:hAnsi="MS Gothic" w:eastAsia="MS Gothic" w:cs="MS Gothic"/>
        </w:rPr>
        <w:t>である</w:t>
      </w:r>
      <w:r>
        <w:rPr>
          <w:rFonts w:ascii="Microsoft YaHei" w:hAnsi="Microsoft YaHei" w:eastAsia="Microsoft YaHei" w:cs="Microsoft YaHei"/>
        </w:rPr>
        <w:t>、</w:t>
      </w:r>
      <w:r>
        <w:rPr>
          <w:rFonts w:ascii="MS Gothic" w:hAnsi="MS Gothic" w:eastAsia="MS Gothic" w:cs="MS Gothic"/>
        </w:rPr>
        <w:t>ということである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The Faith I Live By, 345.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Hitti Daniel—Namba Fáyf</dc:title>
  <dc:subject>Etmish Yil</dc:subject>
  <dc:creator>Jeff Pippenger</dc:creator>
  <cp:keywords/>
  <dc:description>Generated by ArticleDigger from daniel\05_daniel.json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