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Le nombre sept</w:t>
      </w:r>
    </w:p>
    <w:p>
      <w:pPr>
        <w:pStyle w:val="ArticleSubtitle"/>
        <w:jc w:val="left"/>
      </w:pPr>
      <w:r>
        <w:rPr>
          <w:rFonts w:ascii="Arial" w:hAnsi="Arial" w:eastAsia="Arial" w:cs="Arial"/>
        </w:rPr>
        <w:t>Sept rois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Les sept tonnerres représentent l’histoire allant de 1798 jusqu’au 22 octobre 1844. Cette histoire fut typifiée par les sept derniers rois du royaume de Juda, depuis Manassé en 677 av. J.-C. jusqu’à Sédécias en 586 av. J.-C.</w:t>
      </w:r>
    </w:p>
    <w:p>
      <w:pPr>
        <w:pStyle w:val="ArticleBody"/>
        <w:jc w:val="left"/>
      </w:pPr>
      <w:r>
        <w:rPr>
          <w:rFonts w:ascii="Times New Roman" w:hAnsi="Times New Roman" w:eastAsia="Times New Roman" w:cs="Times New Roman"/>
        </w:rPr>
        <w:t>Dans les lignes sacrées de réforme, une caractéristique de la mise en puissance du premier ange est un symbole qui identifie quelque chose de mondial. Le 11 août 1840, le message du premier ange fut revêtu de puissance, et ce message fut alors porté à chaque station missionnaire dans le monde.</w:t>
      </w:r>
    </w:p>
    <w:p>
      <w:pPr>
        <w:pStyle w:val="ArticleScripture"/>
        <w:jc w:val="left"/>
      </w:pPr>
      <w:r>
        <w:rPr>
          <w:rFonts w:ascii="Times New Roman" w:hAnsi="Times New Roman" w:eastAsia="Times New Roman" w:cs="Times New Roman"/>
        </w:rPr>
        <w:t>« Le mouvement adventiste de 1840–1844 fut une glorieuse manifestation de la puissance de Dieu ; le message du premier ange fut porté jusqu’à chaque station missionnaire dans le monde. » The Great Controversy, 611.</w:t>
      </w:r>
    </w:p>
    <w:p>
      <w:pPr>
        <w:pStyle w:val="ArticleBody"/>
        <w:jc w:val="left"/>
      </w:pPr>
      <w:r>
        <w:rPr>
          <w:rFonts w:ascii="Times New Roman" w:hAnsi="Times New Roman" w:eastAsia="Times New Roman" w:cs="Times New Roman"/>
        </w:rPr>
        <w:t>Ngokwesiprofetho ngaleso sikhathi, ingelosi yesAmbulo sikaJohane ishumi yehla yabeka unyawo olulodwa emhlabeni nolunye olwandle. USista White wakukhomba lokho njengophawu lobubanzi bomhlaba wonke bomlayezo.</w:t>
      </w:r>
    </w:p>
    <w:p>
      <w:pPr>
        <w:pStyle w:val="ArticleScripture"/>
        <w:jc w:val="left"/>
      </w:pPr>
      <w:r>
        <w:rPr>
          <w:rFonts w:ascii="Times New Roman" w:hAnsi="Times New Roman" w:eastAsia="Times New Roman" w:cs="Times New Roman"/>
        </w:rPr>
        <w:t>« L’attitude de l’ange, un pied sur la mer et l’autre sur la terre, signifie la vaste portée de la proclamation du message. Il franchira les grandes eaux et sera proclamé dans d’autres pays, jusqu’au monde entier. » The Seventh-day Adventist Bible Commentary, volume 7, 971.</w:t>
      </w:r>
    </w:p>
    <w:p>
      <w:pPr>
        <w:pStyle w:val="ArticleBody"/>
        <w:jc w:val="left"/>
      </w:pPr>
      <w:r>
        <w:rPr>
          <w:rFonts w:ascii="Times New Roman" w:hAnsi="Times New Roman" w:eastAsia="Times New Roman" w:cs="Times New Roman"/>
        </w:rPr>
        <w:t>Isimemezelo sikaKoresi somyalelo wokuqala sasingumyalelo womhlaba wonke.</w:t>
      </w:r>
    </w:p>
    <w:p>
      <w:pPr>
        <w:pStyle w:val="ArticleScripture"/>
        <w:jc w:val="left"/>
      </w:pPr>
      <w:r>
        <w:rPr>
          <w:rFonts w:ascii="Times New Roman" w:hAnsi="Times New Roman" w:eastAsia="Times New Roman" w:cs="Times New Roman"/>
        </w:rPr>
        <w:t>Nyt i Perserkongen Kyros’ første regeringsår, for at Herrens ord ved Jeremias’ mund skulle opfyldes, vakte Herren Perserkongen Kyros’ ånd, så han lod udråbe i hele sit rige og også nedskrive følgende: Så siger Kyros, Persiens konge: Herren, himmelens Gud, har givet mig alle jordens riger, og han har pålagt mig at bygge ham et hus i Jerusalem, som ligger i Juda. Hvem iblandt jer hører til hans folk? Må hans Gud være med ham, og lad ham drage op til Jerusalem, som ligger i Juda, og bygge Herren, Israels Guds, hus—han er Gud—som er i Jerusalem. Og enhver, der er tilbage på noget sted, hvor han opholder sig som fremmed, skal mændene på hans sted hjælpe med sølv og med guld og med gods og med kvæg, foruden det frivillige offer til Guds hus, som er i Jerusalem. Da stod overhovederne for fædrenehusene i Juda og Benjamin op, og præsterne og levitterne, alle de, hvis ånd Gud havde vakt, for at drage op og bygge Herrens hus, som er i Jerusalem. Ezra 1:1–4.</w:t>
      </w:r>
    </w:p>
    <w:p>
      <w:pPr>
        <w:pStyle w:val="ArticleBody"/>
        <w:jc w:val="left"/>
      </w:pPr>
      <w:r>
        <w:rPr>
          <w:rFonts w:ascii="Times New Roman" w:hAnsi="Times New Roman" w:eastAsia="Times New Roman" w:cs="Times New Roman"/>
        </w:rPr>
        <w:t>Sama seperti malaikat pertama dibawa ke setiap pos misi di seluruh dunia pada 11 Agustus 1840, Koresh menyatakan dirinya sebagai raja atas “segala kerajaan di bumi” ketika ia memaklumkan dekret yang pertama. Turunnya malaikat dalam Wahyu sepuluh, malaikat yang oleh Saudari White diidentifikasi sebagai “tidak kurang daripada pribadi Yesus Kristus,” memiliki ciri-ciri kenabian yang sama dengan malaikat perkasa dalam Wahyu delapan belas. Saudari White mengidentifikasi bahwa tujuan malaikat pertama itu sama dengan tujuan malaikat dalam Wahyu delapan belas.</w:t>
      </w:r>
    </w:p>
    <w:p>
      <w:pPr>
        <w:pStyle w:val="ArticleScripture"/>
        <w:jc w:val="left"/>
      </w:pPr>
      <w:r>
        <w:rPr>
          <w:rFonts w:ascii="Times New Roman" w:hAnsi="Times New Roman" w:eastAsia="Times New Roman" w:cs="Times New Roman"/>
        </w:rPr>
        <w:t>« Jésus chargea un ange puissant de descendre afin d’avertir les habitants de la terre de se préparer à sa seconde apparition. Alors que l’ange quittait la présence de Jésus dans le ciel, une lumière extrêmement vive et glorieuse le précédait. Il me fut dit que sa mission était d’illuminer la terre de sa gloire et d’avertir l’homme de la colère de Dieu qui vient. » Early Writings, 245.</w:t>
      </w:r>
    </w:p>
    <w:p>
      <w:pPr>
        <w:pStyle w:val="ArticleBody"/>
        <w:jc w:val="left"/>
      </w:pPr>
      <w:r>
        <w:rPr>
          <w:rFonts w:ascii="Times New Roman" w:hAnsi="Times New Roman" w:eastAsia="Times New Roman" w:cs="Times New Roman"/>
        </w:rPr>
        <w:t>L’autonomisation du premier ange est un symbole qui met en relief une dimension mondiale. Le premier message au temps du Christ reçut sa puissance lors du baptême du Christ. Les Écritures indiquent que tout Israël sortit au désert pour entendre le message de Jean.</w:t>
      </w:r>
    </w:p>
    <w:p>
      <w:pPr>
        <w:pStyle w:val="ArticleScripture"/>
        <w:jc w:val="left"/>
      </w:pPr>
      <w:r>
        <w:rPr>
          <w:rFonts w:ascii="Times New Roman" w:hAnsi="Times New Roman" w:eastAsia="Times New Roman" w:cs="Times New Roman"/>
        </w:rPr>
        <w:t>Afei naʻe ō atu kiate ia ʻa Selusalema, mo Siutea kotoa pē, pea mo e feituʻu kotoa pē ʻi he potu takatakai ʻo Sioatani; pea naʻe papitaisoʻi kinautolu ʻe ia ʻi Sioatani, ʻo nau vete ʻenau ngaahi angahala. Mātiu 3:5, 6</w:t>
      </w:r>
    </w:p>
    <w:p>
      <w:pPr>
        <w:pStyle w:val="ArticleBody"/>
        <w:jc w:val="left"/>
      </w:pPr>
      <w:r>
        <w:rPr>
          <w:rFonts w:ascii="Times New Roman" w:hAnsi="Times New Roman" w:eastAsia="Times New Roman" w:cs="Times New Roman"/>
        </w:rPr>
        <w:t>Le ministère du Christ était adressé à l’ancien Israël, et, dans ce sens prophétique, le monde entier fut attiré vers le Jourdain, le lieu du baptême du Christ. Pourtant, le rite du baptême, et ce qu’il représentait lorsque le Christ fut baptisé, était destiné au monde entier.</w:t>
      </w:r>
    </w:p>
    <w:p>
      <w:pPr>
        <w:pStyle w:val="ArticleBody"/>
        <w:jc w:val="left"/>
      </w:pPr>
      <w:r>
        <w:rPr>
          <w:rFonts w:ascii="Times New Roman" w:hAnsi="Times New Roman" w:eastAsia="Times New Roman" w:cs="Times New Roman"/>
        </w:rPr>
        <w:t>Jehoyaqim ismining ma’nosi “Xudo ko‘tariladi”dir, va Masihning suvga cho‘mishida, Yahyo Masihni suvdan olib chiqqanida, suvli qabrdan “ko‘tarilib chiqish” ramzi o‘sha quvvatlantirishning bir unsuriga aylandi. Biz allaqachon iqtibos keltirgan Ezra kitobining dastlabki to‘rt oyatida, beshinchi oyat farmonni eshitganlarning javobini quyidagi so‘zlar bilan ifodalaydi: “Then rose up the chief of the fathers of Judah and Benjamin, and the priests, and the Levites, with all them whose spirit God had raised, to go up to build the house of the Lord which is in Jerusalem.” Birinchi xabar quvvatlantirilganda, Jehoyaqim ismi bilan ifodalanganidek, bir ko‘tarilish sodir bo‘ladi.</w:t>
      </w:r>
    </w:p>
    <w:p>
      <w:pPr>
        <w:pStyle w:val="ArticleBody"/>
        <w:jc w:val="left"/>
      </w:pPr>
      <w:r>
        <w:rPr>
          <w:rFonts w:ascii="Times New Roman" w:hAnsi="Times New Roman" w:eastAsia="Times New Roman" w:cs="Times New Roman"/>
        </w:rPr>
        <w:t>2011 mɔfisɛ 11 Septembre, asɛmpa a edi kan wɔ ɔsoro bɔfo a ɔto so abiɛsa no kɛseɛ mu no nyaa tumi, sɛnea wɔyɛɛ no mfonini wɔ ɔsoro bɔfo a odi kan no kɛseɛ mu asɛmpa a edi kan no tumi-nya mu no. Onuawa White ka nsɛm fa Twin Towers no sɛe a esii saa da no ho.</w:t>
      </w:r>
    </w:p>
    <w:p>
      <w:pPr>
        <w:pStyle w:val="ArticleScripture"/>
        <w:jc w:val="left"/>
      </w:pPr>
      <w:r>
        <w:rPr>
          <w:rFonts w:ascii="Times New Roman" w:hAnsi="Times New Roman" w:eastAsia="Times New Roman" w:cs="Times New Roman"/>
        </w:rPr>
        <w:t>«Акнун оё ин сухан меояд, ки ман эълон кардаам, ки Ню-Йорк бояд бо мавҷи азими баҳр рӯфта нобуд карда шавад? Ман ҳаргиз инро нагуфтаам. Ман гуфтаам, вақте ки ба биноҳои бузурге, ки дар он ҷо, ошёна бар ошёна, боло мерафтанд, менигаристам: “Ҳангоме ки Худованд бархезад, то заминро ба сахтӣ биларзонад, чӣ манзараҳои даҳшатангезе рух хоҳанд дод! Он гоҳ суханони Ваҳй 18:1–3 ба иҷро хоҳанд расид.” Тамоми боби ҳаждаҳуми китоби Ваҳй ҳушдорест аз он чи бар замин хоҳад омад. Аммо ба таври махсус дар бораи он чи бар Ню-Йорк хоҳад омад, ба ман нуре дода нашудааст, ҷуз ин ки медонам рӯзе биноҳои бузурги он ҷо бо гардиш ва вожгунсозии қудрати Худо сарнагун хоҳанд шуд. Аз нуре ки ба ман дода шудааст, ман медонам, ки ҳалокат дар ҷаҳон аст. Як сухан аз ҷониби Худованд, як ламс аз қудрати азими Ӯ, ва ин сохтмонҳои азим фурӯ хоҳанд рехт. Манзараҳое рух хоҳанд дод,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На овластувањето на првата порака во историјата на сто четириесет и четирите илјади, Господ „стана“ за „страшно да ја потресе земјата“. Името Јоаким го симболизира овластувањето на првата порака. На 11 август 1840 година, Господ стана од Својот престол, слезе на земјата и застана врз копното и врз морето. При првиот Киров указ, верните станаа. Јоаким е симбол не само на доаѓањето на првиот ангел, туку тој, исто така, го претставува и овластувањето на првиот ангел.</w:t>
      </w:r>
    </w:p>
    <w:p>
      <w:pPr>
        <w:pStyle w:val="ArticleBody"/>
        <w:jc w:val="left"/>
      </w:pPr>
      <w:r>
        <w:rPr>
          <w:rFonts w:ascii="Times New Roman" w:hAnsi="Times New Roman" w:eastAsia="Times New Roman" w:cs="Times New Roman"/>
        </w:rPr>
        <w:t>Jojakim er fulltrúi hins fyrsta af síðustu þremur konungunum, en hann er jafnframt fulltrúi hins fimmta af sjö konungum sem leiða til eyðingar Jerúsalem. Nöfn þessara sjö konunga eru afar fróðleg. Þessir sjö konungar voru Manasse, Amon, Jósía, Jóahas, Jojakim, Jójakin og Sedekía.</w:t>
      </w:r>
    </w:p>
    <w:p>
      <w:pPr>
        <w:pStyle w:val="ArticleBody"/>
        <w:jc w:val="left"/>
      </w:pPr>
      <w:r>
        <w:rPr>
          <w:rFonts w:ascii="Times New Roman" w:hAnsi="Times New Roman" w:eastAsia="Times New Roman" w:cs="Times New Roman"/>
        </w:rPr>
        <w:t>Katika historia ya Wamilleri, Manase anawakilisha wakati wa mwisho, mwaka 1798. Manase humaanisha “kusababisha kusahaulika,” na ni katika 1798 ndipo kahaba wa Tiro anasahauliwa kwa muda wa miaka sabini. Manase alikuwa mmoja wa wafalme waovu zaidi, naye anazo tabia za kinabii zinazopaswa kuzingatiwa.</w:t>
      </w:r>
    </w:p>
    <w:p>
      <w:pPr>
        <w:pStyle w:val="ArticleBody"/>
        <w:jc w:val="left"/>
      </w:pPr>
      <w:r>
        <w:rPr>
          <w:rFonts w:ascii="Times New Roman" w:hAnsi="Times New Roman" w:eastAsia="Times New Roman" w:cs="Times New Roman"/>
        </w:rPr>
        <w:t>آخرین هفت پادشاه یهودا نمایانگر تاریخِ هفت رعد از سال 1798 تا 22 اکتبر 1844 هستند. مَنَسّی نخستینِ آن هفت پادشاه بود، و به‌عنوان نخستین پادشاه از هفت پادشاه، نمونه‌ای از صِدقیا، آخرینِ آن هفت پادشاه، به‌شمار می‌رفت. عیسی همواره پایان را با آغاز همانند می‌سازد. صِدقیا، آخرین پادشاه از آن هفت پادشاه، به بردگیِ اسارتِ بابِل برده شد. نخستین پادشاه از هفت پادشاهِ آخر نیز به اسارتِ بابِل برده شد و بدین‌سان، به برده شدنِ آخرین پادشاه به اسارتِ بابِل اشاره می‌کرد.</w:t>
      </w:r>
    </w:p>
    <w:p>
      <w:pPr>
        <w:pStyle w:val="ArticleScripture"/>
        <w:jc w:val="left"/>
      </w:pPr>
      <w:r>
        <w:rPr>
          <w:rFonts w:ascii="Times New Roman" w:hAnsi="Times New Roman" w:eastAsia="Times New Roman" w:cs="Times New Roman"/>
        </w:rPr>
        <w:t>Oo Mukama n’ayogera ne Manase ne n’abantu be; naye ne batawulira. Mukama kyeyava abalumba n’abakungu b’eggye lya kabaka w’e Bwasuli, abaakwata Manase ng’ali mu maggwa, ne bamusiiba n’enjegere, ne bamutwala e Babulooni. Awo bwe yali mu kubonaabona, ne yeegayirira Mukama Katonda we, ne yeetoowaza nnyo mu maaso ga Katonda wa bajjajjaabe, n’amusaba; Mukama n’amukkiriza, n’awulira okwegayirira kwe, n’amukomyawo nate e Yerusaalemi mu bwakabaka bwe. Awo Manase n’amanya nga Mukama ye Katonda. 2 Ebyomumirembe 33:10–13.</w:t>
      </w:r>
    </w:p>
    <w:p>
      <w:pPr>
        <w:pStyle w:val="ArticleBody"/>
        <w:jc w:val="left"/>
      </w:pPr>
      <w:r>
        <w:rPr>
          <w:rFonts w:ascii="Times New Roman" w:hAnsi="Times New Roman" w:eastAsia="Times New Roman" w:cs="Times New Roman"/>
        </w:rPr>
        <w:t>Mtazamo wa Manase wa kupata kujua kwamba Bwana ndiye Mungu ulitimilizwa kwa kuondolewa katika ufalme wake, kisha kurejeshwa katika ufalme wake. Nebukadneza, kama ilivyokuwa kwa Manase, alipata kumjua Bwana alipoondolewa katika ufalme wake, na baadaye kurejeshwa.</w:t>
      </w:r>
    </w:p>
    <w:p>
      <w:pPr>
        <w:pStyle w:val="ArticleScripture"/>
        <w:jc w:val="left"/>
      </w:pPr>
      <w:r>
        <w:rPr>
          <w:rFonts w:ascii="Times New Roman" w:hAnsi="Times New Roman" w:eastAsia="Times New Roman" w:cs="Times New Roman"/>
        </w:rPr>
        <w:t>Na mwisho wa siku zile mimi, Nebukadneza, niliinua macho yangu kuelekea mbinguni, na ufahamu wangu ukanirudia; nami nikambariki Aliye juu sana, nikamsifu na kumheshimu yeye aishiye milele, ambaye mamlaka yake ni mamlaka ya milele, na ufalme wake ni wa kizazi hata kizazi. Nao wakaaji wote wa dunia huhesabiwa kuwa si kitu; naye hutenda sawasawa na mapenzi yake katika jeshi la mbinguni, na miongoni mwa wakaaji wa dunia; wala hapana awezaye kuuzuia mkono wake, au kumwambia, Unafanya nini? Wakati uo huo akili zangu zikanirudia; na kwa ajili ya utukufu wa ufalme wangu, heshima yangu na fahari yangu vikanirudia; nao washauri wangu na wakuu wangu wakaanza kunitafuta; nami nikawekwa imara katika ufalme wangu, na enzi kuu iliyozidi ikaongezwa kwangu. Basi mimi, Nebukadneza, namsifu na kumtukuza na kumheshimu Mfalme wa mbinguni, ambaye kazi zake zote ni kweli, na njia zake ni hukumu; nao wale waendao kwa kiburi aweza kuwashusha. Danieli 4:34–37.</w:t>
      </w:r>
    </w:p>
    <w:p>
      <w:pPr>
        <w:pStyle w:val="ArticleBody"/>
        <w:jc w:val="left"/>
      </w:pPr>
      <w:r>
        <w:rPr>
          <w:rFonts w:ascii="Times New Roman" w:hAnsi="Times New Roman" w:eastAsia="Times New Roman" w:cs="Times New Roman"/>
        </w:rPr>
        <w:t>L’expérience de Manassé s’accomplit en Nabuchodonosor. Manassé représente le « temps de la fin » dans l’histoire des trois derniers rois de Juda, ainsi que l’arrivée de la prophétie des soixante-dix années de captivité. Nabuchodonosor représente le « temps de la fin » dans l’histoire des trois décrets, de même que 1798 fut le « temps de la fin » dans l’histoire des sept tonnerres. Dans les versets qui viennent d’être cités, l’intelligence de Nabuchodonosor lui revint à « la fin des jours ». La « fin des jours » est également mentionnée dans le chapitre douze de Daniel.</w:t>
      </w:r>
    </w:p>
    <w:p>
      <w:pPr>
        <w:pStyle w:val="ArticleScripture"/>
        <w:jc w:val="left"/>
      </w:pPr>
      <w:r>
        <w:rPr>
          <w:rFonts w:ascii="Times New Roman" w:hAnsi="Times New Roman" w:eastAsia="Times New Roman" w:cs="Times New Roman"/>
        </w:rPr>
        <w:t>Người hãy đi con đường của mình cho đến cuối cùng; vì ngươi sẽ được yên nghỉ, và sẽ đứng trong phần nghiệp của mình vào cuối các ngày. Đa-ni-ên 12:13.</w:t>
      </w:r>
    </w:p>
    <w:p>
      <w:pPr>
        <w:pStyle w:val="ArticleBody"/>
        <w:jc w:val="left"/>
      </w:pPr>
      <w:r>
        <w:rPr>
          <w:rFonts w:ascii="Times New Roman" w:hAnsi="Times New Roman" w:eastAsia="Times New Roman" w:cs="Times New Roman"/>
        </w:rPr>
        <w:t>Danielem ti mu bi wɔ Daniel ti du mienu mu sɛ “awiei nna no” no ne “awiei bere” no, efisɛ wɔka kyerɛɛ Daniel sɛ ɔnkɔ “nkosi sɛ awiei no bɛba.” Saa bere no mu na Daniel “begyina ne kyɛfa mu.” Sɛ obi “gyina ne kyɛfa mu” a, ɛkyerɛ sɛ ɔredi ne botae ho dwuma wie, na Daniel yɛɛ eyi bere a wɔyii ne nwoma no ano wɔ awiei nna no mu, a ɛno ne “awiei bere” no. Saa bere no mu no na “nimdeɛ bɛdɔɔso,” na anyansafo no bɛte ase. Nebukadnessar nna no awiei no, ne “nteaseɛ” san baa ne nkyɛn.</w:t>
      </w:r>
    </w:p>
    <w:p>
      <w:pPr>
        <w:pStyle w:val="ArticleScripture"/>
        <w:jc w:val="left"/>
      </w:pPr>
      <w:r>
        <w:rPr>
          <w:rFonts w:ascii="Times New Roman" w:hAnsi="Times New Roman" w:eastAsia="Times New Roman" w:cs="Times New Roman"/>
        </w:rPr>
        <w:t>«يومَا يهبُ اللهُ إنسانًا عملًا خاصًّا ليقومَ به، فعليه أن يقفَ في نصيبه وموضعه كما فعل دانيال، مستعدًّا لأن يجيبَ دعوةَ الله، ومستعدًّا لأن يتمِّمَ مقصده». Manuscript Releases, volume 6, 108.</w:t>
      </w:r>
    </w:p>
    <w:p>
      <w:pPr>
        <w:pStyle w:val="ArticleBody"/>
        <w:jc w:val="left"/>
      </w:pPr>
      <w:r>
        <w:rPr>
          <w:rFonts w:ascii="Times New Roman" w:hAnsi="Times New Roman" w:eastAsia="Times New Roman" w:cs="Times New Roman"/>
        </w:rPr>
        <w:t>Manassé représente le « temps de la fin » dans l’histoire des trois derniers rois de Juda ; Nebucadnetsar représente le « temps de la fin » dans les trois décrets. Manassé fut suivi par son fils Amon.</w:t>
      </w:r>
    </w:p>
    <w:p>
      <w:pPr>
        <w:pStyle w:val="ArticleBody"/>
        <w:jc w:val="left"/>
      </w:pPr>
      <w:r>
        <w:rPr>
          <w:rFonts w:ascii="Times New Roman" w:hAnsi="Times New Roman" w:eastAsia="Times New Roman" w:cs="Times New Roman"/>
        </w:rPr>
        <w:t>Amon signifie « formation » et représente la période durant laquelle il y eut un « accroissement de la connaissance » qui devait former les « sages » dans le message qui avait été descellé. Amon fut ensuite suivi par Josias, le seul roi des sept à avoir une histoire prophétique relativement favorable, bien que complexe.</w:t>
      </w:r>
    </w:p>
    <w:p>
      <w:pPr>
        <w:pStyle w:val="ArticleBody"/>
        <w:jc w:val="left"/>
      </w:pPr>
      <w:r>
        <w:rPr>
          <w:rFonts w:ascii="Times New Roman" w:hAnsi="Times New Roman" w:eastAsia="Times New Roman" w:cs="Times New Roman"/>
        </w:rPr>
        <w:t>Josiah signifie « le fondement de Dieu » et représente l’établissement des vérités qui avaient été descellées au « temps de la fin ». L’accroissement de la connaissance qui était représenté par Amon fut rassemblé par William Miller, sous la direction de Gabriel et d’autres saints anges. L’œuvre de Miller est représentée par le nom de Josiah, car il établit les fondements du mouvement. Il y aurait beaucoup plus à relever au sujet de Josiah, mais passons à son fils Jehoahaz.</w:t>
      </w:r>
    </w:p>
    <w:p>
      <w:pPr>
        <w:pStyle w:val="ArticleScripture"/>
        <w:jc w:val="left"/>
      </w:pPr>
      <w:r>
        <w:rPr>
          <w:rFonts w:ascii="Times New Roman" w:hAnsi="Times New Roman" w:eastAsia="Times New Roman" w:cs="Times New Roman"/>
        </w:rPr>
        <w:t>Jehoahaz alikuwa na umri wa miaka ishirini na mitatu alipoanza kutawala; naye akatawala miezi mitatu huko Yerusalemu. Na jina la mama yake lilikuwa Hamutali, binti Yeremia wa Libna. Naye akafanya yaliyo maovu machoni pa Bwana, sawasawa na yote ambayo baba zake walikuwa wamefanya. Na Farao Neko akamtia vifungoni huko Ribla katika nchi ya Hamathi, ili asitawale huko Yerusalemu; naye akaipisha nchi kodi ya talanta mia za fedha, na talanta moja ya dhahabu. Na Farao Neko akamfanya Eliakimu mwana wa Yosia kuwa mfalme badala ya Yosia baba yake, akalibadili jina lake kuwa Yehoyakimu, akamchukua Yehoahazi; naye akaenda Misri, akafa huko. 2 Wafalme 23:31–34.</w:t>
      </w:r>
    </w:p>
    <w:p>
      <w:pPr>
        <w:pStyle w:val="ArticleBody"/>
        <w:jc w:val="left"/>
      </w:pPr>
      <w:r>
        <w:rPr>
          <w:rFonts w:ascii="Times New Roman" w:hAnsi="Times New Roman" w:eastAsia="Times New Roman" w:cs="Times New Roman"/>
        </w:rPr>
        <w:t>Jehoahaz signifie « Jéhovah a saisi », et il fut saisi par Pharaon-Néco. Jehoahaz, fils de Josias, fut saisi par Pharaon-Nécoh et remplacé par son frère Éliakim, dont le nom signifie le « Dieu de l’élévation ». Pharaon-Nécoh changea ensuite le nom d’Éliakim en Jéhoïakim, signifiant « Dieu s’élèvera ». Le changement d’un nom est le symbole d’une relation d’alliance, et lors de l’habilitation du premier message, Dieu entre en alliance avec un peuple, tandis qu’au même moment Il passe à côté d’un ancien peuple de l’alliance.</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ចក្រភពអូតូម៉ង់</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ដែលត្រូវបានតំណាងដោយខ្យល់បួន</w:t>
      </w:r>
      <w:r>
        <w:rPr>
          <w:rFonts w:ascii="Times New Roman" w:hAnsi="Times New Roman" w:eastAsia="Times New Roman" w:cs="Times New Roman"/>
        </w:rPr>
        <w:t xml:space="preserve"> </w:t>
      </w:r>
      <w:r>
        <w:rPr>
          <w:rFonts w:ascii="Leelawadee UI" w:hAnsi="Leelawadee UI" w:eastAsia="Leelawadee UI" w:cs="Leelawadee UI"/>
        </w:rPr>
        <w:t>ដែលត្រូវបានលែងឲ្យដំណើរការអស់រយៈពេលបីរយកៅសិបមួយឆ្នាំ</w:t>
      </w:r>
      <w:r>
        <w:rPr>
          <w:rFonts w:ascii="Times New Roman" w:hAnsi="Times New Roman" w:eastAsia="Times New Roman" w:cs="Times New Roman"/>
        </w:rPr>
        <w:t xml:space="preserve"> </w:t>
      </w:r>
      <w:r>
        <w:rPr>
          <w:rFonts w:ascii="Leelawadee UI" w:hAnsi="Leelawadee UI" w:eastAsia="Leelawadee UI" w:cs="Leelawadee UI"/>
        </w:rPr>
        <w:t>និងដប់ប្រាំថ្ងៃ</w:t>
      </w:r>
      <w:r>
        <w:rPr>
          <w:rFonts w:ascii="Times New Roman" w:hAnsi="Times New Roman" w:eastAsia="Times New Roman" w:cs="Times New Roman"/>
        </w:rPr>
        <w:t xml:space="preserve"> </w:t>
      </w:r>
      <w:r>
        <w:rPr>
          <w:rFonts w:ascii="Leelawadee UI" w:hAnsi="Leelawadee UI" w:eastAsia="Leelawadee UI" w:cs="Leelawadee UI"/>
        </w:rPr>
        <w:t>ត្រូវបានទប់ស្កាត់</w:t>
      </w:r>
      <w:r>
        <w:rPr>
          <w:rFonts w:ascii="Times New Roman" w:hAnsi="Times New Roman" w:eastAsia="Times New Roman" w:cs="Times New Roman"/>
        </w:rPr>
        <w:t xml:space="preserve"> </w:t>
      </w:r>
      <w:r>
        <w:rPr>
          <w:rFonts w:ascii="Leelawadee UI" w:hAnsi="Leelawadee UI" w:eastAsia="Leelawadee UI" w:cs="Leelawadee UI"/>
        </w:rPr>
        <w:t>ឬដូចដែលឈ្មោះយេហូអាហាសមានន័យថា</w:t>
      </w:r>
      <w:r>
        <w:rPr>
          <w:rFonts w:ascii="Times New Roman" w:hAnsi="Times New Roman" w:eastAsia="Times New Roman" w:cs="Times New Roman"/>
        </w:rPr>
        <w:t xml:space="preserve"> </w:t>
      </w:r>
      <w:r>
        <w:rPr>
          <w:rFonts w:ascii="Leelawadee UI" w:hAnsi="Leelawadee UI" w:eastAsia="Leelawadee UI" w:cs="Leelawadee UI"/>
        </w:rPr>
        <w:t>ពួកវាត្រូវបាន</w:t>
      </w:r>
      <w:r>
        <w:rPr>
          <w:rFonts w:ascii="Times New Roman" w:hAnsi="Times New Roman" w:eastAsia="Times New Roman" w:cs="Times New Roman"/>
        </w:rPr>
        <w:t xml:space="preserve"> «</w:t>
      </w:r>
      <w:r>
        <w:rPr>
          <w:rFonts w:ascii="Leelawadee UI" w:hAnsi="Leelawadee UI" w:eastAsia="Leelawadee UI" w:cs="Leelawadee UI"/>
        </w:rPr>
        <w:t>ចាប់ឃាត់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នៅពេលដំណាលគ្នានោះ</w:t>
      </w:r>
      <w:r>
        <w:rPr>
          <w:rFonts w:ascii="Times New Roman" w:hAnsi="Times New Roman" w:eastAsia="Times New Roman" w:cs="Times New Roman"/>
        </w:rPr>
        <w:t xml:space="preserve"> </w:t>
      </w:r>
      <w:r>
        <w:rPr>
          <w:rFonts w:ascii="Leelawadee UI" w:hAnsi="Leelawadee UI" w:eastAsia="Leelawadee UI" w:cs="Leelawadee UI"/>
        </w:rPr>
        <w:t>អេលីយ៉ាគីម</w:t>
      </w:r>
      <w:r>
        <w:rPr>
          <w:rFonts w:ascii="Times New Roman" w:hAnsi="Times New Roman" w:eastAsia="Times New Roman" w:cs="Times New Roman"/>
        </w:rPr>
        <w:t xml:space="preserve"> </w:t>
      </w:r>
      <w:r>
        <w:rPr>
          <w:rFonts w:ascii="Leelawadee UI" w:hAnsi="Leelawadee UI" w:eastAsia="Leelawadee UI" w:cs="Leelawadee UI"/>
        </w:rPr>
        <w:t>ត្រូវបានតែងតាំងជាស្តេច</w:t>
      </w:r>
      <w:r>
        <w:rPr>
          <w:rFonts w:ascii="Times New Roman" w:hAnsi="Times New Roman" w:eastAsia="Times New Roman" w:cs="Times New Roman"/>
        </w:rPr>
        <w:t xml:space="preserve"> </w:t>
      </w:r>
      <w:r>
        <w:rPr>
          <w:rFonts w:ascii="Leelawadee UI" w:hAnsi="Leelawadee UI" w:eastAsia="Leelawadee UI" w:cs="Leelawadee UI"/>
        </w:rPr>
        <w:t>ហើយឈ្មោះរបស់គាត់ត្រូវបានប្ដូរទៅជា</w:t>
      </w:r>
      <w:r>
        <w:rPr>
          <w:rFonts w:ascii="Times New Roman" w:hAnsi="Times New Roman" w:eastAsia="Times New Roman" w:cs="Times New Roman"/>
        </w:rPr>
        <w:t xml:space="preserve"> </w:t>
      </w:r>
      <w:r>
        <w:rPr>
          <w:rFonts w:ascii="Leelawadee UI" w:hAnsi="Leelawadee UI" w:eastAsia="Leelawadee UI" w:cs="Leelawadee UI"/>
        </w:rPr>
        <w:t>យេហូយ៉ាគីម</w:t>
      </w:r>
      <w:r>
        <w:rPr>
          <w:rFonts w:ascii="Times New Roman" w:hAnsi="Times New Roman" w:eastAsia="Times New Roman" w:cs="Times New Roman"/>
        </w:rPr>
        <w:t xml:space="preserve">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ព្រះជាម្ចាស់នឹងក្រោកឡើង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បន្ទាប់ពីយេហូយ៉ាគីម</w:t>
      </w:r>
      <w:r>
        <w:rPr>
          <w:rFonts w:ascii="Times New Roman" w:hAnsi="Times New Roman" w:eastAsia="Times New Roman" w:cs="Times New Roman"/>
        </w:rPr>
        <w:t xml:space="preserve"> </w:t>
      </w:r>
      <w:r>
        <w:rPr>
          <w:rFonts w:ascii="Leelawadee UI" w:hAnsi="Leelawadee UI" w:eastAsia="Leelawadee UI" w:cs="Leelawadee UI"/>
        </w:rPr>
        <w:t>មានបុត្ររបស់គាត់ឈ្មោះ</w:t>
      </w:r>
      <w:r>
        <w:rPr>
          <w:rFonts w:ascii="Times New Roman" w:hAnsi="Times New Roman" w:eastAsia="Times New Roman" w:cs="Times New Roman"/>
        </w:rPr>
        <w:t xml:space="preserve"> </w:t>
      </w:r>
      <w:r>
        <w:rPr>
          <w:rFonts w:ascii="Leelawadee UI" w:hAnsi="Leelawadee UI" w:eastAsia="Leelawadee UI" w:cs="Leelawadee UI"/>
        </w:rPr>
        <w:t>យេហូយ៉ាគីន</w:t>
      </w:r>
      <w:r>
        <w:rPr>
          <w:rFonts w:ascii="Times New Roman" w:hAnsi="Times New Roman" w:eastAsia="Times New Roman" w:cs="Times New Roman"/>
        </w:rPr>
        <w:t xml:space="preserve"> </w:t>
      </w:r>
      <w:r>
        <w:rPr>
          <w:rFonts w:ascii="Leelawadee UI" w:hAnsi="Leelawadee UI" w:eastAsia="Leelawadee UI" w:cs="Leelawadee UI"/>
        </w:rPr>
        <w:t>ដែលមានឈ្មោះបីនៅក្នុងបទគម្ពីរ។</w:t>
      </w:r>
    </w:p>
    <w:p>
      <w:pPr>
        <w:pStyle w:val="ArticleBody"/>
        <w:jc w:val="left"/>
      </w:pPr>
      <w:r>
        <w:rPr>
          <w:rFonts w:ascii="Times New Roman" w:hAnsi="Times New Roman" w:eastAsia="Times New Roman" w:cs="Times New Roman"/>
        </w:rPr>
        <w:t>ff անունը Jehoiachin նշանակում է «Տերը պիտի կանգնեցնի և հաստատի»։ Նա Jehoiakim-ի որդին էր և նշում է երկրորդ հրեշտակի գալուստը 1844 թվականի գարնանը, երբ Աստված «կանգնեցրեց և հաստատեց» նոր, ճշմարիտ, բողոքական եղջյուրը։ Երկրորդ հրեշտակի լուրը զորացվեց Midnight Cry-ի լուրով, իսկ Jeconiah և Coniah անունները նշանակում են «Աստված պիտի հաստատի»։ Այս երեք անունները, որոնցից յուրաքանչյուրն ունի նույն նշանակությունը, ներկայացնում են Midnight Cry-ի միացումը երկրորդ հրեշտակի լուրին։ Սուրբ Հոգու վերջնական հեղման ժամանակ՝ Loud Cry-ի ընթացքում, կնքվում են հարյուր քառասունչորս հազարը։ Հարյուր քառասունչորս հազարի կնքումը նախապատկերվեց Millerite շարժման Midnight Cry-ում, և Jehoiachin-ը, որ նաև կոչվում է Jeconiah և Coniah, կնքման խորհրդանիշն է։</w:t>
      </w:r>
    </w:p>
    <w:p>
      <w:pPr>
        <w:pStyle w:val="ArticleScripture"/>
        <w:jc w:val="left"/>
      </w:pPr>
      <w:r>
        <w:rPr>
          <w:rFonts w:ascii="Times New Roman" w:hAnsi="Times New Roman" w:eastAsia="Times New Roman" w:cs="Times New Roman"/>
        </w:rPr>
        <w:t>As I live, says the Lord, although Coniah son of Jehoiakim king of Judah were the signet ring on my right hand, yet I would tear you away from there. And I will give you into the hand of those who seek your life, and into the hand of those whose face you fear, even into the hand of Nebuchadrezzar king of Babylon, and into the hand of the Chaldeans. And I will cast you out, and your mother who bore you, into another land, where you were not born; and there you shall die. But to the land to which they long to return, there they shall not return. Is this man Coniah a despised, broken idol? Is he a vessel in which there is no delight? Why are he and his offspring cast out, and thrown into a land that they do not know? O earth, earth, earth, hear the word of the Lord. Jeremiah 22:24–29.</w:t>
      </w:r>
    </w:p>
    <w:p>
      <w:pPr>
        <w:pStyle w:val="ArticleBody"/>
        <w:jc w:val="left"/>
      </w:pPr>
      <w:r>
        <w:rPr>
          <w:rFonts w:ascii="Times New Roman" w:hAnsi="Times New Roman" w:eastAsia="Times New Roman" w:cs="Times New Roman"/>
        </w:rPr>
        <w:t>Yekonia, Yekonya, at Koniya ay kumakatawan sa panahon ng pagtatatak, kapag ang ikalawang anghel ay sinamahan ng mensahe ng Hatinggabing Hiyaw. Siya ay kumakatawan sa panahon ng pagtatatak ng mga mangmang. Ang masamang hari ay kumakatawan sa mga yaong mga mangmang na birhen ng Laodicea na sa panahon ng pagtatatak ay itinakdang tumanggap ng tanda ng halimaw, sapagkat sila ay magpakailanmang isinusuka mula sa bibig ng Panginoon.</w:t>
      </w:r>
    </w:p>
    <w:p>
      <w:pPr>
        <w:pStyle w:val="ArticleBody"/>
        <w:jc w:val="left"/>
      </w:pPr>
      <w:r>
        <w:rPr>
          <w:rFonts w:ascii="Times New Roman" w:hAnsi="Times New Roman" w:eastAsia="Times New Roman" w:cs="Times New Roman"/>
        </w:rPr>
        <w:t>Nkulunkulu, esandleni saKhe sokunene, uluphawu lwaKhe; futhi labo abakhafulelwa ngaphandle emlonyeni weNkosi ngesikhathi sokubekwa uphawu kwabayizinkulungwane eziyikhulu namashumi amane nane baqhathaniswa noZerubhabhele, indoda eyayiphethe intambo yokukala yezikhathi “eziyisikhombisa” esandleni sayo.</w:t>
      </w:r>
    </w:p>
    <w:p>
      <w:pPr>
        <w:pStyle w:val="ArticleScripture"/>
        <w:jc w:val="left"/>
      </w:pPr>
      <w:r>
        <w:rPr>
          <w:rFonts w:ascii="Times New Roman" w:hAnsi="Times New Roman" w:eastAsia="Times New Roman" w:cs="Times New Roman"/>
        </w:rPr>
        <w:t>Spreek tot Zerubbabel, die goewerneur van Juda, en sê: Ek sal die hemele en die aarde laat sidder; en Ek sal die troon van koninkryke omverwerp, en Ek sal die mag van die koninkryke van die heidene vernietig; en Ek sal die strydwaens omverwerp, en dié wat daarop ry; en die perde en hulle ruiters sal neerstort, elkeen deur die swaard van sy broer. In dié dag, spreek die Here van die leërskare, sal Ek jou neem, o Zerubbabel, my kneg, die seun van Sealtiël, spreek die Here, en jou maak soos ’n seëlring; want Ek het jou uitverkies, spreek die Here van die leërskare. Haggai 2:21–23.</w:t>
      </w:r>
    </w:p>
    <w:p>
      <w:pPr>
        <w:pStyle w:val="ArticleBody"/>
        <w:jc w:val="left"/>
      </w:pPr>
      <w:r>
        <w:rPr>
          <w:rFonts w:ascii="Times New Roman" w:hAnsi="Times New Roman" w:eastAsia="Times New Roman" w:cs="Times New Roman"/>
        </w:rPr>
        <w:t>La « pierre d’achoppement » que constituent les « sept temps » est le « plomb » dans la main de Zorobabel, et celui-ci est représenté comme le « sceau » dont Dieu se sert pour sceller les cent quarante-quatre mille. Le sceau, ou le « signe », est placé sur ceux qui « soupirent et gémissent » à cause des abominations qui se commettent dans Jérusalem. Le soupir et le gémissement identifient l’expérience de ceux qui sont scellés, et le soupir et le gémissement sont le symbole de leur réponse intérieure au remède des « sept temps ». C’est la confession de leurs péchés et des péchés de leurs pères. C’est la reconnaissance qu’ils n’ont pas marché avec Dieu et que Dieu n’a pas marché avec eux depuis la déception du 18 juillet 2020. C’est l’épreuve qui fut échouée en 1863, durant la période où Philadelphie passait à Laodicée. Elle préfigurait la période où ceux qui sont représentés par Coniah sont pour toujours établis comme des vierges insensées laodicéennes, et ceux qui sont représentés par Zorobabel sont pour toujours établis comme des vierges sages philadelphiennes.</w:t>
      </w:r>
    </w:p>
    <w:p>
      <w:pPr>
        <w:pStyle w:val="ArticleBody"/>
        <w:jc w:val="left"/>
      </w:pPr>
      <w:r>
        <w:rPr>
          <w:rFonts w:ascii="Times New Roman" w:hAnsi="Times New Roman" w:eastAsia="Times New Roman" w:cs="Times New Roman"/>
        </w:rPr>
        <w:t>Jéhoïakîn fut suivi par Sédécias, le dernier des sept rois. De même que Manassé représentait 1798 et le « temps de la fin », Sédécias doit représenter le 22 octobre 1844, lorsque la vision « parlera, et ne mentira pas ». Sédécias est un nom formé par la combinaison de deux mots hébreux. L’un de ces mots est « Jéhovah », et il est uni au mot qui est traduit, dans Daniel chapitre huit, verset quatorze, par « purifié ». Sédécias signifie la purification du temple de Dieu, laquelle commença le 22 octobre 1844.</w:t>
      </w:r>
    </w:p>
    <w:p>
      <w:pPr>
        <w:pStyle w:val="ArticleBody"/>
        <w:jc w:val="left"/>
      </w:pPr>
      <w:r>
        <w:rPr>
          <w:rFonts w:ascii="Times New Roman" w:hAnsi="Times New Roman" w:eastAsia="Times New Roman" w:cs="Times New Roman"/>
        </w:rPr>
        <w:t>Yehudah’nın son yedi kralı, 1798’den 22 Ekim 1844’e kadar uzanan ilerleyici tarihi temsil eder. Yehoyakim, 11 Ağustos 1840’ın simgesidir; bu da kendi sırasıyla 11 Eylül 2001’i temsil eder. O, birinci meleğin mesajının güçlendirilmesinin bir simgesidir ve Daniel kitabının birinci bölümünün ilk ayetinde tanıtılır. Dolayısıyla Daniel birinci bölümün sahnesi ve bağlamı, Vahiy onuncu bölümde temsil edildiği üzere, birinci meleğin mesajının güçlendirilmesidir. Vahiy onuncu bölümde Mesih, elinde Yuhanna’ya yemesi emredilen küçük bir kitapla indi. İşte bu nedenle Daniel kitabındaki ilk sınav yemekle ilgilidir.</w:t>
      </w:r>
    </w:p>
    <w:p>
      <w:pPr>
        <w:pStyle w:val="ArticleBody"/>
        <w:jc w:val="left"/>
      </w:pPr>
      <w:r>
        <w:rPr>
          <w:rFonts w:ascii="Times New Roman" w:hAnsi="Times New Roman" w:eastAsia="Times New Roman" w:cs="Times New Roman"/>
        </w:rPr>
        <w:t>Nous poursuivrons ces sujets dans le prochain article.</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मुझसे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w:t>
      </w:r>
      <w:r>
        <w:rPr>
          <w:rFonts w:ascii="Nirmala UI" w:hAnsi="Nirmala UI" w:eastAsia="Nirmala UI" w:cs="Nirmala UI"/>
        </w:rPr>
        <w:t>निवेश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अंतरड़ियों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3:3</w:t>
      </w:r>
      <w:r>
        <w:rPr>
          <w:rFonts w:ascii="Nirmala UI" w:hAnsi="Nirmala UI" w:eastAsia="Nirmala UI" w:cs="Nirmala UI"/>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Le nombre sept</dc:title>
  <dc:subject>Sept rois</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