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Danieli - Nambari Nane</w:t>
      </w:r>
    </w:p>
    <w:p>
      <w:pPr>
        <w:pStyle w:val="ArticleSubtitle"/>
        <w:jc w:val="left"/>
      </w:pPr>
      <w:r>
        <w:rPr>
          <w:rFonts w:ascii="Arial" w:hAnsi="Arial" w:eastAsia="Arial" w:cs="Arial"/>
        </w:rPr>
        <w:t>Un processus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Në vitin e tretë të mbretërimit të Jehojakimit, mbretit të Judës, Nebukadnetsari, mbreti i Babilonisë, erdhi kundër Jerusalemit dhe e rrethoi atë. Dhe Zoti e dha në dorën e tij Jehojakimin, mbretin e Judës, bashkë me një pjesë të enëve të shtëpisë së Perëndisë; të cilat ai i çoi në vendin e Shinearit, në shtëpinë e perëndisë së tij; dhe enët i solli në shtëpinë e thesarit të perëndisë së tij. Danieli 1:1, 2.</w:t>
      </w:r>
    </w:p>
    <w:p>
      <w:pPr>
        <w:pStyle w:val="ArticleBody"/>
        <w:jc w:val="left"/>
      </w:pPr>
      <w:r>
        <w:rPr>
          <w:rFonts w:ascii="Times New Roman" w:hAnsi="Times New Roman" w:eastAsia="Times New Roman" w:cs="Times New Roman"/>
        </w:rPr>
        <w:t>Nsɛnhoma a ɛwɔ Daniel ne Adiyisɛm mu no yɛ nhoma koro, na nkɔmhyɛ kwan no ara a wɔde gyina hɔ ma wɔ Daniel nhoma no mu no na wɔsan fa so wɔ Adiyisɛm nhoma no mu. Yesu Kristo Adiyisɛm no gyina hɔ ma nkɔmhyɛsɛm a etwa to no a wɔbue ano wɔ adom bere no awiei ansa na wɔato mu.</w:t>
      </w:r>
    </w:p>
    <w:p>
      <w:pPr>
        <w:pStyle w:val="ArticleBody"/>
        <w:jc w:val="left"/>
      </w:pPr>
      <w:r>
        <w:rPr>
          <w:rFonts w:ascii="Times New Roman" w:hAnsi="Times New Roman" w:eastAsia="Times New Roman" w:cs="Times New Roman"/>
        </w:rPr>
        <w:t>Asɛm a wɔate ase yiye afi Adiyisɛm nhoma no mu tete no, nanso amanne ne atetesɛm asɔre wɔn ano no, da so yɛ nokware, na nnɛ Yuda abusuakuw no Gyata no resan rebue ano bio, na saa nokware no afei reda ne pɛpɛɛpɛ mu mmamu adi.</w:t>
      </w:r>
    </w:p>
    <w:p>
      <w:pPr>
        <w:pStyle w:val="ArticleBody"/>
        <w:jc w:val="left"/>
      </w:pPr>
      <w:r>
        <w:rPr>
          <w:rFonts w:ascii="Times New Roman" w:hAnsi="Times New Roman" w:eastAsia="Times New Roman" w:cs="Times New Roman"/>
        </w:rPr>
        <w:t>Ni ukuri ko mu bihe byahise kwasobanukiwe neza bivanywe mu gitabo cya Daniyeli, ariko bikaza gufungwa n’umuco n’imigenzo, biracyari ukuri; kandi uyu munsi birimo kongera gufungurwa n’Intare yo mu muryango wa Yuda, kandi ubwo kuri ubu birimo kwerekana isohozwa ryabyo ritunganye.</w:t>
      </w:r>
    </w:p>
    <w:p>
      <w:pPr>
        <w:pStyle w:val="ArticleBody"/>
        <w:jc w:val="left"/>
      </w:pPr>
      <w:r>
        <w:rPr>
          <w:rFonts w:ascii="Times New Roman" w:hAnsi="Times New Roman" w:eastAsia="Times New Roman" w:cs="Times New Roman"/>
        </w:rPr>
        <w:t>Daniel ezali kaka buku ya liboso kati na babuku mibale oyo ezali komonisa Emoniseli ya Yesu Klisto.</w:t>
      </w:r>
    </w:p>
    <w:p>
      <w:pPr>
        <w:pStyle w:val="ArticleBody"/>
        <w:jc w:val="left"/>
      </w:pPr>
      <w:r>
        <w:rPr>
          <w:rFonts w:ascii="Times New Roman" w:hAnsi="Times New Roman" w:eastAsia="Times New Roman" w:cs="Times New Roman"/>
        </w:rPr>
        <w:t>Yoïaqim est un symbole de la mise en puissance du premier message dans un mouvement de réforme. Il est aussi un symbole de l’alliance, car le changement de nom identifie prophétiquement le commencement d’une relation d’alliance. La relation d’alliance dans laquelle Dieu entre avec un peuple qui auparavant n’avait pas été le peuple de l’alliance de Dieu commence lors de la mise en puissance du premier message.</w:t>
      </w:r>
    </w:p>
    <w:p>
      <w:pPr>
        <w:pStyle w:val="ArticleScripture"/>
        <w:jc w:val="left"/>
      </w:pPr>
      <w:r>
        <w:rPr>
          <w:rFonts w:ascii="Times New Roman" w:hAnsi="Times New Roman" w:eastAsia="Times New Roman" w:cs="Times New Roman"/>
        </w:rPr>
        <w:t>En temps passé, vous n’étiez pas un peuple, mais maintenant vous êtes le peuple de Dieu; vous n’aviez pas obtenu miséricorde, mais maintenant vous avez obtenu miséricorde. 1 Pierre 2:10.</w:t>
      </w:r>
    </w:p>
    <w:p>
      <w:pPr>
        <w:pStyle w:val="ArticleBody"/>
        <w:jc w:val="left"/>
      </w:pPr>
      <w:r>
        <w:rPr>
          <w:rFonts w:ascii="Times New Roman" w:hAnsi="Times New Roman" w:eastAsia="Times New Roman" w:cs="Times New Roman"/>
        </w:rPr>
        <w:t>A szövetségi kapcsolatot jelképező névváltoztatás szimbóluma megállapíttatik Ábrám nevének Ábrahámra, Sárai nevének Sárára, Jákób nevének Izráelre, valamint Saul nevének Pálra való megváltoztatásával. Vannak a szimbólumnak más tanúbizonyságai is, de Dániel könyvének első fejezetében Dániel neve Baltazárra változtatik, Hananiás neve Sidrákra, Misáelé Mésákra, Azariásé pedig Abednégóra.</w:t>
      </w:r>
    </w:p>
    <w:p>
      <w:pPr>
        <w:pStyle w:val="ArticleBody"/>
        <w:jc w:val="left"/>
      </w:pPr>
      <w:r>
        <w:rPr>
          <w:rFonts w:ascii="Times New Roman" w:hAnsi="Times New Roman" w:eastAsia="Times New Roman" w:cs="Times New Roman"/>
        </w:rPr>
        <w:t>Lorsque le Seigneur entre en relation d’alliance avec un peuple, il passe simultanément à côté d’un ancien peuple d’alliance. Jojakim représente le peuple d’alliance qui est ainsi délaissé, et Daniel, Hanania, Mishaël et Azaria représentent le peuple d’alliance qui est alors choisi. Lorsque des hommes entrent dans une relation d’alliance, ils sont ensuite éprouvés quant à savoir s’ils maintiendront les termes de l’alliance. L’épreuve est représentée par l’acte de manger.</w:t>
      </w:r>
    </w:p>
    <w:p>
      <w:pPr>
        <w:pStyle w:val="ArticleBody"/>
        <w:jc w:val="left"/>
      </w:pPr>
      <w:r>
        <w:rPr>
          <w:rFonts w:ascii="Nirmala UI" w:hAnsi="Nirmala UI" w:eastAsia="Nirmala UI" w:cs="Nirmala UI"/>
        </w:rPr>
        <w:t>আদম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ভোজনের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প্রথমবারের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সম্পর্কের</w:t>
      </w:r>
      <w:r>
        <w:rPr>
          <w:rFonts w:ascii="Times New Roman" w:hAnsi="Times New Roman" w:eastAsia="Times New Roman" w:cs="Times New Roman"/>
        </w:rPr>
        <w:t xml:space="preserve"> </w:t>
      </w:r>
      <w:r>
        <w:rPr>
          <w:rFonts w:ascii="Nirmala UI" w:hAnsi="Nirmala UI" w:eastAsia="Nirmala UI" w:cs="Nirmala UI"/>
        </w:rPr>
        <w:t>সূচনাতেই</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w:t>
      </w:r>
      <w:r>
        <w:rPr>
          <w:rFonts w:ascii="Times New Roman" w:hAnsi="Times New Roman" w:eastAsia="Times New Roman" w:cs="Times New Roman"/>
        </w:rPr>
        <w:t xml:space="preserve"> </w:t>
      </w:r>
      <w:r>
        <w:rPr>
          <w:rFonts w:ascii="Nirmala UI" w:hAnsi="Nirmala UI" w:eastAsia="Nirmala UI" w:cs="Nirmala UI"/>
        </w:rPr>
        <w:t>পরিণামে</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ব্যর্থ</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তদ্দ্বারা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সত্যের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উল্লেখ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একক</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পরীক্ষণ</w:t>
      </w:r>
      <w:r>
        <w:rPr>
          <w:rFonts w:ascii="Times New Roman" w:hAnsi="Times New Roman" w:eastAsia="Times New Roman" w:cs="Times New Roman"/>
        </w:rPr>
        <w:t>-</w:t>
      </w:r>
      <w:r>
        <w:rPr>
          <w:rFonts w:ascii="Nirmala UI" w:hAnsi="Nirmala UI" w:eastAsia="Nirmala UI" w:cs="Nirmala UI"/>
        </w:rPr>
        <w:t>প্রক্রিয়া।</w:t>
      </w:r>
      <w:r>
        <w:rPr>
          <w:rFonts w:ascii="Times New Roman" w:hAnsi="Times New Roman" w:eastAsia="Times New Roman" w:cs="Times New Roman"/>
        </w:rPr>
        <w:t xml:space="preserve"> </w:t>
      </w:r>
      <w:r>
        <w:rPr>
          <w:rFonts w:ascii="Nirmala UI" w:hAnsi="Nirmala UI" w:eastAsia="Nirmala UI" w:cs="Nirmala UI"/>
        </w:rPr>
        <w:t>দশম</w:t>
      </w:r>
      <w:r>
        <w:rPr>
          <w:rFonts w:ascii="Times New Roman" w:hAnsi="Times New Roman" w:eastAsia="Times New Roman" w:cs="Times New Roman"/>
        </w:rPr>
        <w:t xml:space="preserve"> </w:t>
      </w:r>
      <w:r>
        <w:rPr>
          <w:rFonts w:ascii="Nirmala UI" w:hAnsi="Nirmala UI" w:eastAsia="Nirmala UI" w:cs="Nirmala UI"/>
        </w:rPr>
        <w:t>পরীক্ষায়</w:t>
      </w:r>
      <w:r>
        <w:rPr>
          <w:rFonts w:ascii="Times New Roman" w:hAnsi="Times New Roman" w:eastAsia="Times New Roman" w:cs="Times New Roman"/>
        </w:rPr>
        <w:t xml:space="preserve"> </w:t>
      </w:r>
      <w:r>
        <w:rPr>
          <w:rFonts w:ascii="Nirmala UI" w:hAnsi="Nirmala UI" w:eastAsia="Nirmala UI" w:cs="Nirmala UI"/>
        </w:rPr>
        <w:t>এসে</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দণ্ড</w:t>
      </w:r>
      <w:r>
        <w:rPr>
          <w:rFonts w:ascii="Times New Roman" w:hAnsi="Times New Roman" w:eastAsia="Times New Roman" w:cs="Times New Roman"/>
        </w:rPr>
        <w:t xml:space="preserve"> </w:t>
      </w:r>
      <w:r>
        <w:rPr>
          <w:rFonts w:ascii="Nirmala UI" w:hAnsi="Nirmala UI" w:eastAsia="Nirmala UI" w:cs="Nirmala UI"/>
        </w:rPr>
        <w:t>নির্ধারিত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চল্লিশ</w:t>
      </w:r>
      <w:r>
        <w:rPr>
          <w:rFonts w:ascii="Times New Roman" w:hAnsi="Times New Roman" w:eastAsia="Times New Roman" w:cs="Times New Roman"/>
        </w:rPr>
        <w:t xml:space="preserve"> </w:t>
      </w:r>
      <w:r>
        <w:rPr>
          <w:rFonts w:ascii="Nirmala UI" w:hAnsi="Nirmala UI" w:eastAsia="Nirmala UI" w:cs="Nirmala UI"/>
        </w:rPr>
        <w:t>বছর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প্রান্তরে</w:t>
      </w:r>
      <w:r>
        <w:rPr>
          <w:rFonts w:ascii="Times New Roman" w:hAnsi="Times New Roman" w:eastAsia="Times New Roman" w:cs="Times New Roman"/>
        </w:rPr>
        <w:t xml:space="preserve"> </w:t>
      </w:r>
      <w:r>
        <w:rPr>
          <w:rFonts w:ascii="Nirmala UI" w:hAnsi="Nirmala UI" w:eastAsia="Nirmala UI" w:cs="Nirmala UI"/>
        </w:rPr>
        <w:t>মৃত্যুবরণ</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এরপর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যিহোশূয়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কালেবের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করলেন</w:t>
      </w:r>
      <w:r>
        <w:rPr>
          <w:rFonts w:ascii="Times New Roman" w:hAnsi="Times New Roman" w:eastAsia="Times New Roman" w:cs="Times New Roman"/>
        </w:rPr>
        <w:t xml:space="preserve">; </w:t>
      </w:r>
      <w:r>
        <w:rPr>
          <w:rFonts w:ascii="Nirmala UI" w:hAnsi="Nirmala UI" w:eastAsia="Nirmala UI" w:cs="Nirmala UI"/>
        </w:rPr>
        <w:t>এভাবে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সাক্ষ্যও</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মনোনীত</w:t>
      </w:r>
      <w:r>
        <w:rPr>
          <w:rFonts w:ascii="Times New Roman" w:hAnsi="Times New Roman" w:eastAsia="Times New Roman" w:cs="Times New Roman"/>
        </w:rPr>
        <w:t xml:space="preserve"> </w:t>
      </w:r>
      <w:r>
        <w:rPr>
          <w:rFonts w:ascii="Nirmala UI" w:hAnsi="Nirmala UI" w:eastAsia="Nirmala UI" w:cs="Nirmala UI"/>
        </w:rPr>
        <w:t>জাতির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প্রবেশ</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প্রাক্তন</w:t>
      </w:r>
      <w:r>
        <w:rPr>
          <w:rFonts w:ascii="Times New Roman" w:hAnsi="Times New Roman" w:eastAsia="Times New Roman" w:cs="Times New Roman"/>
        </w:rPr>
        <w:t xml:space="preserve"> </w:t>
      </w:r>
      <w:r>
        <w:rPr>
          <w:rFonts w:ascii="Nirmala UI" w:hAnsi="Nirmala UI" w:eastAsia="Nirmala UI" w:cs="Nirmala UI"/>
        </w:rPr>
        <w:t>নিয়মজাতিকে</w:t>
      </w:r>
      <w:r>
        <w:rPr>
          <w:rFonts w:ascii="Times New Roman" w:hAnsi="Times New Roman" w:eastAsia="Times New Roman" w:cs="Times New Roman"/>
        </w:rPr>
        <w:t xml:space="preserve"> </w:t>
      </w:r>
      <w:r>
        <w:rPr>
          <w:rFonts w:ascii="Nirmala UI" w:hAnsi="Nirmala UI" w:eastAsia="Nirmala UI" w:cs="Nirmala UI"/>
        </w:rPr>
        <w:t>অতিক্রম</w:t>
      </w:r>
      <w:r>
        <w:rPr>
          <w:rFonts w:ascii="Times New Roman" w:hAnsi="Times New Roman" w:eastAsia="Times New Roman" w:cs="Times New Roman"/>
        </w:rPr>
        <w:t xml:space="preserve"> </w:t>
      </w:r>
      <w:r>
        <w:rPr>
          <w:rFonts w:ascii="Nirmala UI" w:hAnsi="Nirmala UI" w:eastAsia="Nirmala UI" w:cs="Nirmala UI"/>
        </w:rPr>
        <w:t>করেও</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অন্তিমকালে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ইস্রায়েলেরও</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প্রাচীন</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পরীক্ষণ</w:t>
      </w:r>
      <w:r>
        <w:rPr>
          <w:rFonts w:ascii="Times New Roman" w:hAnsi="Times New Roman" w:eastAsia="Times New Roman" w:cs="Times New Roman"/>
        </w:rPr>
        <w:t>-</w:t>
      </w:r>
      <w:r>
        <w:rPr>
          <w:rFonts w:ascii="Nirmala UI" w:hAnsi="Nirmala UI" w:eastAsia="Nirmala UI" w:cs="Nirmala UI"/>
        </w:rPr>
        <w:t>প্রক্রিয়াই</w:t>
      </w:r>
      <w:r>
        <w:rPr>
          <w:rFonts w:ascii="Times New Roman" w:hAnsi="Times New Roman" w:eastAsia="Times New Roman" w:cs="Times New Roman"/>
        </w:rPr>
        <w:t xml:space="preserve"> </w:t>
      </w:r>
      <w:r>
        <w:rPr>
          <w:rFonts w:ascii="Nirmala UI" w:hAnsi="Nirmala UI" w:eastAsia="Nirmala UI" w:cs="Nirmala UI"/>
        </w:rPr>
        <w:t>আধ্যাত্মিক</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পরীক্ষণ</w:t>
      </w:r>
      <w:r>
        <w:rPr>
          <w:rFonts w:ascii="Times New Roman" w:hAnsi="Times New Roman" w:eastAsia="Times New Roman" w:cs="Times New Roman"/>
        </w:rPr>
        <w:t>-</w:t>
      </w:r>
      <w:r>
        <w:rPr>
          <w:rFonts w:ascii="Nirmala UI" w:hAnsi="Nirmala UI" w:eastAsia="Nirmala UI" w:cs="Nirmala UI"/>
        </w:rPr>
        <w:t>প্রক্রিয়া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রুটি</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পরীক্ষণ</w:t>
      </w:r>
      <w:r>
        <w:rPr>
          <w:rFonts w:ascii="Times New Roman" w:hAnsi="Times New Roman" w:eastAsia="Times New Roman" w:cs="Times New Roman"/>
        </w:rPr>
        <w:t>-</w:t>
      </w:r>
      <w:r>
        <w:rPr>
          <w:rFonts w:ascii="Nirmala UI" w:hAnsi="Nirmala UI" w:eastAsia="Nirmala UI" w:cs="Nirmala UI"/>
        </w:rPr>
        <w:t>প্রক্রিয়ায়</w:t>
      </w:r>
      <w:r>
        <w:rPr>
          <w:rFonts w:ascii="Times New Roman" w:hAnsi="Times New Roman" w:eastAsia="Times New Roman" w:cs="Times New Roman"/>
        </w:rPr>
        <w:t xml:space="preserve"> </w:t>
      </w:r>
      <w:r>
        <w:rPr>
          <w:rFonts w:ascii="Nirmala UI" w:hAnsi="Nirmala UI" w:eastAsia="Nirmala UI" w:cs="Nirmala UI"/>
        </w:rPr>
        <w:t>মান্না</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পূর্বছায়া</w:t>
      </w:r>
      <w:r>
        <w:rPr>
          <w:rFonts w:ascii="Times New Roman" w:hAnsi="Times New Roman" w:eastAsia="Times New Roman" w:cs="Times New Roman"/>
        </w:rPr>
        <w:t xml:space="preserve"> </w:t>
      </w:r>
      <w:r>
        <w:rPr>
          <w:rFonts w:ascii="Nirmala UI" w:hAnsi="Nirmala UI" w:eastAsia="Nirmala UI" w:cs="Nirmala UI"/>
        </w:rPr>
        <w:t>প্রদর্শিত</w:t>
      </w:r>
      <w:r>
        <w:rPr>
          <w:rFonts w:ascii="Times New Roman" w:hAnsi="Times New Roman" w:eastAsia="Times New Roman" w:cs="Times New Roman"/>
        </w:rPr>
        <w:t xml:space="preserve"> </w:t>
      </w:r>
      <w:r>
        <w:rPr>
          <w:rFonts w:ascii="Nirmala UI" w:hAnsi="Nirmala UI" w:eastAsia="Nirmala UI" w:cs="Nirmala UI"/>
        </w:rPr>
        <w:t>হয়েছিল।</w:t>
      </w:r>
    </w:p>
    <w:p>
      <w:pPr>
        <w:pStyle w:val="ArticleBody"/>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रोटी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कराई</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अन्य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शिष्यों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सेवकाई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वाचा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चरम</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Sister White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The Desire of Ages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टिप्पणी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शीर्षक</w:t>
      </w:r>
      <w:r>
        <w:rPr>
          <w:rFonts w:ascii="Times New Roman" w:hAnsi="Times New Roman" w:eastAsia="Times New Roman" w:cs="Times New Roman"/>
        </w:rPr>
        <w:t xml:space="preserve"> “The Crisis in Galilee” </w:t>
      </w:r>
      <w:r>
        <w:rPr>
          <w:rFonts w:ascii="Nirmala UI" w:hAnsi="Nirmala UI" w:eastAsia="Nirmala UI" w:cs="Nirmala UI"/>
        </w:rPr>
        <w:t>है।</w:t>
      </w:r>
      <w:r>
        <w:rPr>
          <w:rFonts w:ascii="Times New Roman" w:hAnsi="Times New Roman" w:eastAsia="Times New Roman" w:cs="Times New Roman"/>
        </w:rPr>
        <w:t xml:space="preserve"> Galilee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मोड़</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शिष्य</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उचित</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पद्धति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इंकार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संबंधी</w:t>
      </w:r>
      <w:r>
        <w:rPr>
          <w:rFonts w:ascii="Times New Roman" w:hAnsi="Times New Roman" w:eastAsia="Times New Roman" w:cs="Times New Roman"/>
        </w:rPr>
        <w:t xml:space="preserve"> </w:t>
      </w:r>
      <w:r>
        <w:rPr>
          <w:rFonts w:ascii="Nirmala UI" w:hAnsi="Nirmala UI" w:eastAsia="Nirmala UI" w:cs="Nirmala UI"/>
        </w:rPr>
        <w:t>धारणाओं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रीतियों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परंपराओं</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चिपके</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जिन्हें</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भ्रांतियों</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बहाना</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शाब्दिक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इंगित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(Galilee),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यूहन्ना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छठे</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(John 6:66)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चले।</w:t>
      </w:r>
    </w:p>
    <w:p>
      <w:pPr>
        <w:pStyle w:val="ArticleBody"/>
        <w:jc w:val="left"/>
      </w:pPr>
      <w:r>
        <w:rPr>
          <w:rFonts w:ascii="Times New Roman" w:hAnsi="Times New Roman" w:eastAsia="Times New Roman" w:cs="Times New Roman"/>
        </w:rPr>
        <w:t>Habang sa una gaya rin sa huling proseso ng pagsubok ng tipan ng sinaunang Israel, nasusumpungan natin na kapag ang Diyos ay pumapasok sa isang kaugnayang tipan sa isang bayang pinili, kasabay nito ay nilalampasan Niya ang dating bayang tipan. Nasusumpungan din natin na sinusubok Niya ang bayang iyon, hindi sa pamamagitan ng iisang pagsubok, kundi sa pamamagitan ng isang proseso ng pagsubok. Nakikita rin natin na ang prosesong iyon ng pagsubok ay inilalarawan sa pamamagitan ng isang bagay na dapat kainin. Nasusumpungan din natin na ang pagkain ay sumasagisag sa Salita ng Diyos, at na ang pagsubok ay kinapapalooban ng isang pagpili sa pagitan ng dalawang uri ng pagkaing kakainin. Kakain ba tayo ng bawat punongkahoy na sinabi ng Diyos na maaari nating kainan, o kakain tayo mula sa punongkahoy na ipinagbawal sa atin na kainan? Nasusumpungan din natin na ang pagpili kung ano ang kakainin ay kinapapalooban ng pagsubok kung paano natin kakainin ang pagkaing inihain.</w:t>
      </w:r>
    </w:p>
    <w:p>
      <w:pPr>
        <w:pStyle w:val="ArticleBody"/>
        <w:jc w:val="left"/>
      </w:pPr>
      <w:r>
        <w:rPr>
          <w:rFonts w:ascii="Times New Roman" w:hAnsi="Times New Roman" w:eastAsia="Times New Roman" w:cs="Times New Roman"/>
        </w:rPr>
        <w:t>Na konci duchovního Izraele, v době milleritského hnutí, bylo první poselství zmocněno 11. srpna 1840. Jójakím zde představuje protestanty, kteří jsou tehdy odváděni do Babylóna, aby se stali jejími dcerami. Byli postaveni před zkoušku, když anděl ze Zjevení deset sestoupil a v ruce měl otevřenou knížku. Právě tak jako se Jójakím vzepřel požadavkům Nebúkadnesara a poté byl odveden do zajetí, protestanti odmítli jíst pokrm v andělově ruce na základě tradic a zvyků, které si s sebou přinesli z temného středověku.</w:t>
      </w:r>
    </w:p>
    <w:p>
      <w:pPr>
        <w:pStyle w:val="ArticleBody"/>
        <w:jc w:val="left"/>
      </w:pPr>
      <w:r>
        <w:rPr>
          <w:rFonts w:ascii="Times New Roman" w:hAnsi="Times New Roman" w:eastAsia="Times New Roman" w:cs="Times New Roman"/>
        </w:rPr>
        <w:t>Pakasefika pemwaka wa 1844, mchakato wa kupimwa ulikuwa umefikia “mahali pa kugeuka” kwa Yehoyakimu na kwa Waprotestanti, na kama ilivyokuwa katika mchakato wa kwanza wa kupimwa kwa Israeli wa kiroho, wao “waligeuka” wala hawakuendelea tena kutembea pamoja na Yesu. Katika historia hiyo, Danieli, Hanania, Mishaeli na Azaria wanawawakilisha Wamillerite, ambao walichagua kukila kile kitabu kidogo kilichokuwa kitamu vinywani mwao, lakini kikawa kichungu matumboni mwao.</w:t>
      </w:r>
    </w:p>
    <w:p>
      <w:pPr>
        <w:pStyle w:val="ArticleBody"/>
        <w:jc w:val="left"/>
      </w:pPr>
      <w:r>
        <w:rPr>
          <w:rFonts w:ascii="Times New Roman" w:hAnsi="Times New Roman" w:eastAsia="Times New Roman" w:cs="Times New Roman"/>
        </w:rPr>
        <w:t>اگر آدم و حوا را نیز شامل کنیم، چهار شاهد کلاسیک در اختیار داریم که نشان می‌دهند آزمون با عملِ خوردن نمایش داده می‌شود. چندین شاهد نبوی نیز داریم که همگی مُهرِ نخست و آخر را بر خود دارند. شاهدِ آزمونِ مَنّا، شاهدی نخستین است، و آزمونِ نانِ آسمان، هم نخستین آزمون برای اسرائیلِ روحانی است و هم در عین حال آخرین شاهد برای اسرائیلِ باستان. آزمونِ کتابِ کوچک هم نخستین است و هم آخرین. این، پایانِ سرگردانیِ اسرائیلِ روحانی به‌منزلهٔ کلیسا در بیابان است، و نیز نخستینِ کسانی است که برگزیده شدند تا قومِ نهاییِ نام‌دارِ خدا باشند. میلری‌ها آغازِ قومِ نام‌دارِ خدا بودند؛ قومی که قرار بود به‌عنوان شاخِ حقیقیِ پروتستانتیسم شناخته شوند. چندین شاهد دربارهٔ فرایندِ آزمون وجود دارد که از هنگامی آغاز می‌شود که پیامِ نخست نیرو می‌یابد.</w:t>
      </w:r>
    </w:p>
    <w:p>
      <w:pPr>
        <w:pStyle w:val="ArticleBody"/>
        <w:jc w:val="left"/>
      </w:pPr>
      <w:r>
        <w:rPr>
          <w:rFonts w:ascii="Times New Roman" w:hAnsi="Times New Roman" w:eastAsia="Times New Roman" w:cs="Times New Roman"/>
        </w:rPr>
        <w:t>Na nyɛnbɛla ɲɛgɛsɔgɔ dɔnw bɛ, i bɛ se ka sɛgin yɔrɔ dɔ la, min na kalanbaga caman fɔlɔ-fɔlɔ bɛ tunu. Sanni Yosuwe ni Kalebu ka seere kɛ, Isirayɛli bɛɛ tunu ka ɛgipti la sɛgin de ɲini. Galile tigi kàlanba cɛkɔrɔ la, kalanbaga ka bonya tunu. Bawo Yesu ye Alfa ni Omega ye, “sɛgin yɔrɔ” min bɛ taamasiɲa la ɲɛgɛsɔgɔ laban na, o fana bɛ jira ɲɛgɛsɔgɔ daminɛ la. Waati min mana kɔrɔ Isirayɛli ye fɔlɔ ka di, mɔgɔw dɔw bɛɛrɛ-bɛɛrɛ tunu ka cikanw bila. Kristo ka ko min na batɛmu sɔrɔ, a tunu ka taa tonkɔrɔ la. Nɛmuso White bɛ sɛgin yɔrɔ taamasiɲa baarakɛcogo la, min ka faamuya kosɛbɛ.</w:t>
      </w:r>
    </w:p>
    <w:p>
      <w:pPr>
        <w:pStyle w:val="ArticleScripture"/>
        <w:jc w:val="left"/>
      </w:pPr>
      <w:r>
        <w:rPr>
          <w:rFonts w:ascii="Times New Roman" w:hAnsi="Times New Roman" w:eastAsia="Times New Roman" w:cs="Times New Roman"/>
        </w:rPr>
        <w:t>«Il est des périodes qui constituent des tournants dans l’histoire des nations et de l’Église. Dans la providence de Dieu, lorsque surviennent ces diverses crises, la lumière destinée à ce temps-là est donnée. Si elle est reçue, il s’ensuit un progrès spirituel; si elle est rejetée, le déclin spirituel et le naufrage s’ensuivent. Le Seigneur, dans sa parole, a dévoilé l’œuvre offensive de l’Évangile telle qu’elle a été poursuivie dans le passé et telle qu’elle le sera à l’avenir, jusqu’au conflit final, lorsque les puissances sataniques accompliront leur dernier mouvement extraordinaire. Par cette parole, nous comprenons que les forces sont déjà à l’œuvre qui introduiront le dernier grand conflit entre le bien et le mal — entre Satan, le prince des ténèbres, et le Christ, le Prince de la vie. Mais le triomphe à venir pour les hommes qui aiment et craignent Dieu est aussi certain que son trône est établi dans les cieux.» Bible Echo, 26 août 1895.</w:t>
      </w:r>
    </w:p>
    <w:p>
      <w:pPr>
        <w:pStyle w:val="ArticleBody"/>
        <w:jc w:val="left"/>
      </w:pPr>
      <w:r>
        <w:rPr>
          <w:rFonts w:ascii="Times New Roman" w:hAnsi="Times New Roman" w:eastAsia="Times New Roman" w:cs="Times New Roman"/>
        </w:rPr>
        <w:t>Sa dihang unang gihatag ang manna sa karaang Israel, gihatag ang kahayag alang niana nga kasaysayan. Sa bunyag ni Cristo, gihatag ang kahayag alang niana nga kasaysayan. Niadtong Agosto 11, 1840, gihatag ang kahayag alang niana nga kasaysayan. Ang matag usa niadtong mga mapihong higayon nagtimaan sa sinugdanan sa usa ka proseso sa pagsulay nga sa katapusan matapos sa laing mapihong higayon, sa dihang ang kanhing katawhan sa tugon motalikod ug dili na maglakaw uban kang Cristo.</w:t>
      </w:r>
    </w:p>
    <w:p>
      <w:pPr>
        <w:pStyle w:val="ArticleBody"/>
        <w:jc w:val="left"/>
      </w:pPr>
      <w:r>
        <w:rPr>
          <w:rFonts w:ascii="Times New Roman" w:hAnsi="Times New Roman" w:eastAsia="Times New Roman" w:cs="Times New Roman"/>
        </w:rPr>
        <w:t>Kwa kuwa michakato hii mbalimbali ya kupimwa inawakilisha pamoja mchakato wa kupimwa kwa watu wa agano la zamani na pia kwa watu wa agano jipya, yapo mahitimisho mawili ya mchakato huo wa kupimwa. Hitimisho la mchakato wa kupimwa, na kwa hiyo hatua ya mwisho ya mageuko kwa Waprotestanti katika historia ya Wamilleri, lilikuwa majira ya kuchipua ya mwaka 1844. Hitimisho la mchakato wa kupimwa (katika kipindi cha vuli cha mwaka 1844), au hatua ya mageuko kwa Wamilleri wenyewe, lilikuja baada ya hatua ya mageuko kwa watu wa zamani wa Mungu.</w:t>
      </w:r>
    </w:p>
    <w:p>
      <w:pPr>
        <w:pStyle w:val="ArticleBody"/>
        <w:jc w:val="left"/>
      </w:pPr>
      <w:r>
        <w:rPr>
          <w:rFonts w:ascii="Times New Roman" w:hAnsi="Times New Roman" w:eastAsia="Times New Roman" w:cs="Times New Roman"/>
        </w:rPr>
        <w:t>Dans l’histoire du Christ, le processus de mise à l’épreuve est mis en évidence par le fait qu’il purifia le temple à deux reprises, une fois au commencement de son ministère, puis de nouveau à la fin de son ministère.</w:t>
      </w:r>
    </w:p>
    <w:p>
      <w:pPr>
        <w:pStyle w:val="ArticleScripture"/>
        <w:jc w:val="left"/>
      </w:pPr>
      <w:r>
        <w:rPr>
          <w:rFonts w:ascii="Times New Roman" w:hAnsi="Times New Roman" w:eastAsia="Times New Roman" w:cs="Times New Roman"/>
        </w:rPr>
        <w:t>“Quando Gesù iniziò il Suo ministero pubblico, purificò il Tempio dalla sua sacrilega profanazione. Tra gli ultimi atti del Suo ministero vi fu la seconda purificazione del Tempio. Così, nell’opera finale di ammonimento rivolta al mondo, alle chiese vengono indirizzati due appelli distinti. Il messaggio del secondo angelo è: ‘Caduta, caduta è Babilonia, la grande città, perché ha fatto bere a tutte le nazioni del vino dell’ira della sua fornicazione’ (Apocalisse 14:8). E nel gran grido del messaggio del terzo angelo si ode una voce dal cielo che dice: ‘Uscite da essa, o popolo mio, affinché non siate partecipi dei suoi peccati e non riceviate parte delle sue piaghe. Poiché i suoi peccati sono giunti fino al cielo, e Dio si è ricordato delle sue iniquità’ (Apocalisse 18:4, 5).” Selected Messages, libro 2, 118.</w:t>
      </w:r>
    </w:p>
    <w:p>
      <w:pPr>
        <w:pStyle w:val="ArticleBody"/>
        <w:jc w:val="left"/>
      </w:pPr>
      <w:r>
        <w:rPr>
          <w:rFonts w:ascii="Times New Roman" w:hAnsi="Times New Roman" w:eastAsia="Times New Roman" w:cs="Times New Roman"/>
        </w:rPr>
        <w:t>Le processus d’épreuve des deux purifications du temple par le Christ s’aligne sur Malachie, chapitre trois, dans les écrits de l’Esprit de prophétie.</w:t>
      </w:r>
    </w:p>
    <w:p>
      <w:pPr>
        <w:pStyle w:val="ArticleScripture"/>
        <w:jc w:val="left"/>
      </w:pPr>
      <w:r>
        <w:rPr>
          <w:rFonts w:ascii="Times New Roman" w:hAnsi="Times New Roman" w:eastAsia="Times New Roman" w:cs="Times New Roman"/>
        </w:rPr>
        <w:t>« En purifiant le temple des acheteurs et des vendeurs du monde, Jésus annonçait sa mission de purifier le cœur de la souillure du péché, — des désirs terrestres, des convoitises égoïstes, des habitudes mauvaises, qui corrompent l’âme. Malachie 3:1–3 cité. » Jésus-Christ, p. 161.</w:t>
      </w:r>
    </w:p>
    <w:p>
      <w:pPr>
        <w:pStyle w:val="ArticleBody"/>
        <w:jc w:val="left"/>
      </w:pPr>
      <w:r>
        <w:rPr>
          <w:rFonts w:ascii="Times New Roman" w:hAnsi="Times New Roman" w:eastAsia="Times New Roman" w:cs="Times New Roman"/>
        </w:rPr>
        <w:t>L’assainissement du peuple de Dieu représente le processus d’épreuve qui est à maintes reprises identifié à plusieurs lignes de prophétie. Chaque référence, depuis Adam et Ève jusqu’à l’histoire millérite, représente l’assainissement des cent quarante-quatre mille.</w:t>
      </w:r>
    </w:p>
    <w:p>
      <w:pPr>
        <w:pStyle w:val="ArticleScripture"/>
        <w:jc w:val="left"/>
      </w:pPr>
      <w:r>
        <w:rPr>
          <w:rFonts w:ascii="Times New Roman" w:hAnsi="Times New Roman" w:eastAsia="Times New Roman" w:cs="Times New Roman"/>
        </w:rPr>
        <w:t>«Уруку арнын тарихиэтин бүтэһик күннэригэр Халлаан ыраахтан көрдөрөр сокуонун тутуһар норуотугар кэпсэтэр кэриэтэ саҥатыыллан иһэр». Review and Herald, February 26, 1914.</w:t>
      </w:r>
    </w:p>
    <w:p>
      <w:pPr>
        <w:pStyle w:val="ArticleBody"/>
        <w:jc w:val="left"/>
      </w:pPr>
      <w:r>
        <w:rPr>
          <w:rFonts w:ascii="Times New Roman" w:hAnsi="Times New Roman" w:eastAsia="Times New Roman" w:cs="Times New Roman"/>
        </w:rPr>
        <w:t>El proceso de purificación de los ciento cuarenta y cuatro mil es la primera referencia en el libro de Daniel, que es el primero de los dos libros que conjuntamente representan la Revelación de Jesucristo, la cual es desellada poco antes de que se cierre el tiempo de prueba de la humanidad. El proceso de purificación de los ciento cuarenta y cuatro mil también se representa como el proceso de sellamiento. Cuando el primer mensaje del proceso de purificación y sellamiento de los ciento cuarenta y cuatro mil comenzó el 11 de septiembre de 2001, fue un punto de inflexión para la iglesia y para el mundo. En el capítulo dieciocho de Apocalipsis, llegó entonces el ángel que alumbra la tierra con su gloria. Sin embargo, en Apocalipsis 18, el ángel no es presentado como teniendo algo que comer en su mano, pero allí está. El librito está allí. Puede ser fácilmente reconocido por quienes escogen comer la metodología representada como “línea sobre línea”, por el profeta Isaías.</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លើកបន្ទាត់លើបន្ទាត់</w:t>
      </w:r>
      <w:r>
        <w:rPr>
          <w:rFonts w:ascii="Times New Roman" w:hAnsi="Times New Roman" w:eastAsia="Times New Roman" w:cs="Times New Roman"/>
        </w:rPr>
        <w:t xml:space="preserve">” </w:t>
      </w:r>
      <w:r>
        <w:rPr>
          <w:rFonts w:ascii="Leelawadee UI" w:hAnsi="Leelawadee UI" w:eastAsia="Leelawadee UI" w:cs="Leelawadee UI"/>
        </w:rPr>
        <w:t>យើងយល់ថា</w:t>
      </w:r>
      <w:r>
        <w:rPr>
          <w:rFonts w:ascii="Times New Roman" w:hAnsi="Times New Roman" w:eastAsia="Times New Roman" w:cs="Times New Roman"/>
        </w:rPr>
        <w:t xml:space="preserve"> </w:t>
      </w:r>
      <w:r>
        <w:rPr>
          <w:rFonts w:ascii="Leelawadee UI" w:hAnsi="Leelawadee UI" w:eastAsia="Leelawadee UI" w:cs="Leelawadee UI"/>
        </w:rPr>
        <w:t>នៅពេលព្រះគ្រីស្ទបានយាងចុះមកនៅថ្ងៃទី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ទ្រង់ក៏មាន</w:t>
      </w:r>
      <w:r>
        <w:rPr>
          <w:rFonts w:ascii="Times New Roman" w:hAnsi="Times New Roman" w:eastAsia="Times New Roman" w:cs="Times New Roman"/>
        </w:rPr>
        <w:t xml:space="preserve"> “</w:t>
      </w:r>
      <w:r>
        <w:rPr>
          <w:rFonts w:ascii="Leelawadee UI" w:hAnsi="Leelawadee UI" w:eastAsia="Leelawadee UI" w:cs="Leelawadee UI"/>
        </w:rPr>
        <w:t>សៀវភៅតូច</w:t>
      </w:r>
      <w:r>
        <w:rPr>
          <w:rFonts w:ascii="Times New Roman" w:hAnsi="Times New Roman" w:eastAsia="Times New Roman" w:cs="Times New Roman"/>
        </w:rPr>
        <w:t xml:space="preserve">” </w:t>
      </w:r>
      <w:r>
        <w:rPr>
          <w:rFonts w:ascii="Leelawadee UI" w:hAnsi="Leelawadee UI" w:eastAsia="Leelawadee UI" w:cs="Leelawadee UI"/>
        </w:rPr>
        <w:t>មួយផងដែរ</w:t>
      </w:r>
      <w:r>
        <w:rPr>
          <w:rFonts w:ascii="Times New Roman" w:hAnsi="Times New Roman" w:eastAsia="Times New Roman" w:cs="Times New Roman"/>
        </w:rPr>
        <w:t xml:space="preserve"> </w:t>
      </w:r>
      <w:r>
        <w:rPr>
          <w:rFonts w:ascii="Leelawadee UI" w:hAnsi="Leelawadee UI" w:eastAsia="Leelawadee UI" w:cs="Leelawadee UI"/>
        </w:rPr>
        <w:t>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ម៉ាណា</w:t>
      </w:r>
      <w:r>
        <w:rPr>
          <w:rFonts w:ascii="Times New Roman" w:hAnsi="Times New Roman" w:eastAsia="Times New Roman" w:cs="Times New Roman"/>
        </w:rPr>
        <w:t>”, “</w:t>
      </w:r>
      <w:r>
        <w:rPr>
          <w:rFonts w:ascii="Leelawadee UI" w:hAnsi="Leelawadee UI" w:eastAsia="Leelawadee UI" w:cs="Leelawadee UI"/>
        </w:rPr>
        <w:t>នំបុ័ងពីស្ថានសួគ៌</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សៀវភៅតូច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ប៉ុន្តែនៅថ្ងៃទី</w:t>
      </w:r>
      <w:r>
        <w:rPr>
          <w:rFonts w:ascii="Times New Roman" w:hAnsi="Times New Roman" w:eastAsia="Times New Roman" w:cs="Times New Roman"/>
        </w:rPr>
        <w:t xml:space="preserve"> 11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ប្រជាជនដែលបានត្រូវជ្រើសរើសពីមុន</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w:t>
      </w:r>
      <w:r>
        <w:rPr>
          <w:rFonts w:ascii="Times New Roman" w:hAnsi="Times New Roman" w:eastAsia="Times New Roman" w:cs="Times New Roman"/>
        </w:rPr>
        <w:t xml:space="preserve"> Jehoiakim </w:t>
      </w:r>
      <w:r>
        <w:rPr>
          <w:rFonts w:ascii="Leelawadee UI" w:hAnsi="Leelawadee UI" w:eastAsia="Leelawadee UI" w:cs="Leelawadee UI"/>
        </w:rPr>
        <w:t>បានជ្រើសរើសប្រកាន់ខ្ជាប់នូវទំនៀមទម្លាប់</w:t>
      </w:r>
      <w:r>
        <w:rPr>
          <w:rFonts w:ascii="Times New Roman" w:hAnsi="Times New Roman" w:eastAsia="Times New Roman" w:cs="Times New Roman"/>
        </w:rPr>
        <w:t xml:space="preserve"> </w:t>
      </w:r>
      <w:r>
        <w:rPr>
          <w:rFonts w:ascii="Leelawadee UI" w:hAnsi="Leelawadee UI" w:eastAsia="Leelawadee UI" w:cs="Leelawadee UI"/>
        </w:rPr>
        <w:t>និងប្រពៃណីនៃ</w:t>
      </w:r>
      <w:r>
        <w:rPr>
          <w:rFonts w:ascii="Times New Roman" w:hAnsi="Times New Roman" w:eastAsia="Times New Roman" w:cs="Times New Roman"/>
        </w:rPr>
        <w:t xml:space="preserve"> Adventism </w:t>
      </w:r>
      <w:r>
        <w:rPr>
          <w:rFonts w:ascii="Leelawadee UI" w:hAnsi="Leelawadee UI" w:eastAsia="Leelawadee UI" w:cs="Leelawadee UI"/>
        </w:rPr>
        <w:t>ហើយបន្ទាប់មកបានចាប់ផ្ដើមដំណើររបស់ពួកគេចូលទៅក្នុងការជាប់ឃុំជាឈ្លើយនៃបាប៊ីឡូន</w:t>
      </w:r>
      <w:r>
        <w:rPr>
          <w:rFonts w:ascii="Times New Roman" w:hAnsi="Times New Roman" w:eastAsia="Times New Roman" w:cs="Times New Roman"/>
        </w:rPr>
        <w:t xml:space="preserve"> </w:t>
      </w:r>
      <w:r>
        <w:rPr>
          <w:rFonts w:ascii="Leelawadee UI" w:hAnsi="Leelawadee UI" w:eastAsia="Leelawadee UI" w:cs="Leelawadee UI"/>
        </w:rPr>
        <w:t>ដែលនឹងពេញលេញនៅពេលច្បាប់ថ្ងៃអាទិត្យមកដល់។</w:t>
      </w:r>
    </w:p>
    <w:p>
      <w:pPr>
        <w:pStyle w:val="ArticleScripture"/>
        <w:jc w:val="left"/>
      </w:pPr>
      <w:r>
        <w:rPr>
          <w:rFonts w:ascii="Times New Roman" w:hAnsi="Times New Roman" w:eastAsia="Times New Roman" w:cs="Times New Roman"/>
        </w:rPr>
        <w:t>“هل تَرِدُ الآن الكلمةُ التي أعلنتُ فيها أن نيويورك سيجرفها مدٌّ مائيّ هائل؟ هذا ما لم أقله قط. لقد قلتُ، إذ كنتُ أنظر إلى المباني العظيمة وهي ترتفع هناك، طابقًا فوق طابق: «ما أفظع المشاهد التي ستقع حين يقوم الرب ليزلزل الأرض زلزلةً شديدة! حينئذٍ تتم كلمات رؤيا 18:1–3». إن الأصحاح الثامن عشر كله من سفر الرؤيا هو إنذار بما هو آتٍ على الأرض. ولكن ليست عندي إضاءة خاصة فيما يتعلق بما سيأتي على نيويورك، سوى أنني أعلم أنه سيأتي يوم تُلقى فيه المباني العظيمة هناك إلى أسفل بفعل تقليب قدرة الله وقلبها للأمور. ومن النور المعطى لي، أعلم أن الخراب في العالم. كلمة واحدة من الرب، ولمسة واحدة من قدرته الجبارة، فتسقط هذه البُنى الضخمة. وستقع مشاهد من الرهبة بحيث لا نستطيع أن نتصور مدى هولها.” Review and Herald, July 5, 1906.</w:t>
      </w:r>
    </w:p>
    <w:p>
      <w:pPr>
        <w:pStyle w:val="ArticleBody"/>
        <w:jc w:val="left"/>
      </w:pPr>
      <w:r>
        <w:rPr>
          <w:rFonts w:ascii="Times New Roman" w:hAnsi="Times New Roman" w:eastAsia="Times New Roman" w:cs="Times New Roman"/>
        </w:rPr>
        <w:t>Cuando los «grandes edificios» de «Nueva York» fueron «derribados por la acción de volver y trastornar del poder de Dios», el 11 de septiembre de 2001, la luz del ángel de Apocalipsis dieciocho llenó toda la tierra, porque había llegado un punto de inflexión en la historia de la bestia terrestre de Apocalipsis trece.</w:t>
      </w:r>
    </w:p>
    <w:p>
      <w:pPr>
        <w:pStyle w:val="ArticleScripture"/>
        <w:jc w:val="left"/>
      </w:pPr>
      <w:r>
        <w:rPr>
          <w:rFonts w:ascii="Times New Roman" w:hAnsi="Times New Roman" w:eastAsia="Times New Roman" w:cs="Times New Roman"/>
        </w:rPr>
        <w:t>«دوران‌هایی وجود دارد که نقطهٔ عطفی در تاریخ ملت‌ها و کلیسا هستند. در عنایت خدا، هنگامی که این بحران‌های گوناگون فرا می‌رسند، نورِ لازم برای آن زمان عطا می‌شود. اگر پذیرفته شود، پیشرفت روحانی حاصل می‌گردد؛ و اگر رد شود، انحطاط روحانی و کشتی‌شکستگی در پی خواهد آمد.» Bible Echo، 26 اوت 1895.</w:t>
      </w:r>
    </w:p>
    <w:p>
      <w:pPr>
        <w:pStyle w:val="ArticleBody"/>
        <w:jc w:val="left"/>
      </w:pP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অষ্টাদশ</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১১</w:t>
      </w:r>
      <w:r>
        <w:rPr>
          <w:rFonts w:ascii="Times New Roman" w:hAnsi="Times New Roman" w:eastAsia="Times New Roman" w:cs="Times New Roman"/>
        </w:rPr>
        <w:t xml:space="preserve"> </w:t>
      </w:r>
      <w:r>
        <w:rPr>
          <w:rFonts w:ascii="Nirmala UI" w:hAnsi="Nirmala UI" w:eastAsia="Nirmala UI" w:cs="Nirmala UI"/>
        </w:rPr>
        <w:t>সেপ্টেম্বর</w:t>
      </w:r>
      <w:r>
        <w:rPr>
          <w:rFonts w:ascii="Times New Roman" w:hAnsi="Times New Roman" w:eastAsia="Times New Roman" w:cs="Times New Roman"/>
        </w:rPr>
        <w:t xml:space="preserve">, </w:t>
      </w:r>
      <w:r>
        <w:rPr>
          <w:rFonts w:ascii="Nirmala UI" w:hAnsi="Nirmala UI" w:eastAsia="Nirmala UI" w:cs="Nirmala UI"/>
        </w:rPr>
        <w:t>২০০১</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আত্মিকভাবে</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প্রত্যাখ্যান</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আত্মিকভাবে</w:t>
      </w:r>
      <w:r>
        <w:rPr>
          <w:rFonts w:ascii="Times New Roman" w:hAnsi="Times New Roman" w:eastAsia="Times New Roman" w:cs="Times New Roman"/>
        </w:rPr>
        <w:t xml:space="preserve"> </w:t>
      </w:r>
      <w:r>
        <w:rPr>
          <w:rFonts w:ascii="Nirmala UI" w:hAnsi="Nirmala UI" w:eastAsia="Nirmala UI" w:cs="Nirmala UI"/>
        </w:rPr>
        <w:t>অধঃপতিত</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বিদ্রোহী</w:t>
      </w:r>
      <w:r>
        <w:rPr>
          <w:rFonts w:ascii="Times New Roman" w:hAnsi="Times New Roman" w:eastAsia="Times New Roman" w:cs="Times New Roman"/>
        </w:rPr>
        <w:t xml:space="preserve"> </w:t>
      </w:r>
      <w:r>
        <w:rPr>
          <w:rFonts w:ascii="Nirmala UI" w:hAnsi="Nirmala UI" w:eastAsia="Nirmala UI" w:cs="Nirmala UI"/>
        </w:rPr>
        <w:t>যাত্রা</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সন্ধিক্ষণে</w:t>
      </w:r>
      <w:r>
        <w:rPr>
          <w:rFonts w:ascii="Times New Roman" w:hAnsi="Times New Roman" w:eastAsia="Times New Roman" w:cs="Times New Roman"/>
        </w:rPr>
        <w:t xml:space="preserve"> </w:t>
      </w:r>
      <w:r>
        <w:rPr>
          <w:rFonts w:ascii="Nirmala UI" w:hAnsi="Nirmala UI" w:eastAsia="Nirmala UI" w:cs="Nirmala UI"/>
        </w:rPr>
        <w:t>পৌঁছাতে</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দূতের</w:t>
      </w:r>
      <w:r>
        <w:rPr>
          <w:rFonts w:ascii="Times New Roman" w:hAnsi="Times New Roman" w:eastAsia="Times New Roman" w:cs="Times New Roman"/>
        </w:rPr>
        <w:t xml:space="preserve"> </w:t>
      </w:r>
      <w:r>
        <w:rPr>
          <w:rFonts w:ascii="Nirmala UI" w:hAnsi="Nirmala UI" w:eastAsia="Nirmala UI" w:cs="Nirmala UI"/>
        </w:rPr>
        <w:t>বার্তাবাহক</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স্বীকারোক্তিকে</w:t>
      </w:r>
      <w:r>
        <w:rPr>
          <w:rFonts w:ascii="Times New Roman" w:hAnsi="Times New Roman" w:eastAsia="Times New Roman" w:cs="Times New Roman"/>
        </w:rPr>
        <w:t xml:space="preserve"> </w:t>
      </w:r>
      <w:r>
        <w:rPr>
          <w:rFonts w:ascii="Nirmala UI" w:hAnsi="Nirmala UI" w:eastAsia="Nirmala UI" w:cs="Nirmala UI"/>
        </w:rPr>
        <w:t>চিরতরে</w:t>
      </w:r>
      <w:r>
        <w:rPr>
          <w:rFonts w:ascii="Times New Roman" w:hAnsi="Times New Roman" w:eastAsia="Times New Roman" w:cs="Times New Roman"/>
        </w:rPr>
        <w:t xml:space="preserve"> </w:t>
      </w:r>
      <w:r>
        <w:rPr>
          <w:rFonts w:ascii="Nirmala UI" w:hAnsi="Nirmala UI" w:eastAsia="Nirmala UI" w:cs="Nirmala UI"/>
        </w:rPr>
        <w:t>ধ্বংসপ্রাপ্ত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৬৬</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গালীলের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চলেনি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থেকেই</w:t>
      </w:r>
      <w:r>
        <w:rPr>
          <w:rFonts w:ascii="Times New Roman" w:hAnsi="Times New Roman" w:eastAsia="Times New Roman" w:cs="Times New Roman"/>
        </w:rPr>
        <w:t xml:space="preserve"> </w:t>
      </w:r>
      <w:r>
        <w:rPr>
          <w:rFonts w:ascii="Nirmala UI" w:hAnsi="Nirmala UI" w:eastAsia="Nirmala UI" w:cs="Nirmala UI"/>
        </w:rPr>
        <w:t>ফিরে</w:t>
      </w:r>
      <w:r>
        <w:rPr>
          <w:rFonts w:ascii="Times New Roman" w:hAnsi="Times New Roman" w:eastAsia="Times New Roman" w:cs="Times New Roman"/>
        </w:rPr>
        <w:t xml:space="preserve"> </w:t>
      </w:r>
      <w:r>
        <w:rPr>
          <w:rFonts w:ascii="Nirmala UI" w:hAnsi="Nirmala UI" w:eastAsia="Nirmala UI" w:cs="Nirmala UI"/>
        </w:rPr>
        <w:t>যাচ্ছিল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বাপ্তিস্মের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সেখানেই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পরীক্ষামূলক</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উপাসকদের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বার্তাটি</w:t>
      </w:r>
      <w:r>
        <w:rPr>
          <w:rFonts w:ascii="Times New Roman" w:hAnsi="Times New Roman" w:eastAsia="Times New Roman" w:cs="Times New Roman"/>
        </w:rPr>
        <w:t xml:space="preserve"> </w:t>
      </w:r>
      <w:r>
        <w:rPr>
          <w:rFonts w:ascii="Nirmala UI" w:hAnsi="Nirmala UI" w:eastAsia="Nirmala UI" w:cs="Nirmala UI"/>
        </w:rPr>
        <w:t>ক্ষমতাপ্রাপ্ত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যিহোয়াকীম</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নৌকাডুবি</w:t>
      </w:r>
      <w:r>
        <w:rPr>
          <w:rFonts w:ascii="Times New Roman" w:hAnsi="Times New Roman" w:eastAsia="Times New Roman" w:cs="Times New Roman"/>
        </w:rPr>
        <w:t xml:space="preserve"> </w:t>
      </w:r>
      <w:r>
        <w:rPr>
          <w:rFonts w:ascii="Nirmala UI" w:hAnsi="Nirmala UI" w:eastAsia="Nirmala UI" w:cs="Nirmala UI"/>
        </w:rPr>
        <w:t>ঘটায়</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হনানিয়</w:t>
      </w:r>
      <w:r>
        <w:rPr>
          <w:rFonts w:ascii="Times New Roman" w:hAnsi="Times New Roman" w:eastAsia="Times New Roman" w:cs="Times New Roman"/>
        </w:rPr>
        <w:t xml:space="preserve">, </w:t>
      </w:r>
      <w:r>
        <w:rPr>
          <w:rFonts w:ascii="Nirmala UI" w:hAnsi="Nirmala UI" w:eastAsia="Nirmala UI" w:cs="Nirmala UI"/>
        </w:rPr>
        <w:t>মীশায়েল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অসরিয়</w:t>
      </w:r>
      <w:r>
        <w:rPr>
          <w:rFonts w:ascii="Times New Roman" w:hAnsi="Times New Roman" w:eastAsia="Times New Roman" w:cs="Times New Roman"/>
        </w:rPr>
        <w:t xml:space="preserve"> </w:t>
      </w:r>
      <w:r>
        <w:rPr>
          <w:rFonts w:ascii="Nirmala UI" w:hAnsi="Nirmala UI" w:eastAsia="Nirmala UI" w:cs="Nirmala UI"/>
        </w:rPr>
        <w:t>বিশ্বস্তদের</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Wɔ Yuda hene Yehoiakim ahennie afe a ɛto so abiɛsa mu no, Babilon hene Nebukadnesar baa Yerusalem bɛtow hyɛɛ so. Na Awurade de Yuda hene Yehoiakim hyɛɛ ne nsa, ne Onyankopɔn fie nneɛma no bi kaa ho; na ɔde kɔɔ Sinar asase so, ne nyame fie mu, na ɔde nneɛma no kɔtoo ne nyame akorabea mu. Na ɔhene ka kyerɛɛ ne piamfohene Aspenas sɛ, ɔmfa Israelfo no mu binom, ne ɔhene asefo no mu, ne atitiriw no mu mma mmra; mmabun a wonni dɛm biara, na wɔn ho yɛ fɛ, na wɔn ho akokwaw nyansa nyinaa mu, na wɔwɔ nimdeɛ mu anifere, na wɔte nteaseɛ, na wɔwɔ tumi a ɛma wobetumi agyina ɔhene ahemfi mu, na wɔbɛtumi akyerɛkyerɛ wɔn Kaldeafo nhomasua ne wɔn kasa. Na ɔhene hyɛɛ wɔn da biara da aduan a efi ɔhene pon so ne bobesa a ɔnom no. Saa na wɔhwɛɛ wɔn mfe abiɛsa, na awiei no wobegyina ɔhene anim. Na Yuda mma no mu no na Daniel, Hanania, Misael, ne Asaria ka ho. Na piamfohene no too wɔn din foforo: ɔtoo Daniel din Beltesasar, na Hanania din Sadrak, na Misael din Mesak, na Asaria din Abednego. Nanso Daniel sii ne bo sɛ ɔrenfa ɔhene pon so aduan no anaa bobesa a ɔnom no ngu ne ho fi; enti ɔsrɛɛ piamfohene no sɛ wamma ne ho angu ne ho fi. Daniel 1:1-8.</w:t>
      </w:r>
    </w:p>
    <w:p>
      <w:pPr>
        <w:pStyle w:val="ArticleBody"/>
        <w:jc w:val="left"/>
      </w:pPr>
      <w:r>
        <w:rPr>
          <w:rFonts w:ascii="Times New Roman" w:hAnsi="Times New Roman" w:eastAsia="Times New Roman" w:cs="Times New Roman"/>
        </w:rPr>
        <w:t>Daniel, Hananiah, Mishael i Azariah bili su djeca Judina. Bili su učinjeni eunusima, te tako predstavljaju posljednji naraštaj adventizma. Nabukodonosor je, kao i mnogi drevni kraljevi, dao kastrirati četvoricu judejskih mladića, kako bi otklonio svaku zabrinutost koju bi kralj mogao imati dok su služili kao robovi i dolazili u dodir s kraljevim ženama i inočama.</w:t>
      </w:r>
    </w:p>
    <w:p>
      <w:pPr>
        <w:pStyle w:val="ArticleBody"/>
        <w:jc w:val="left"/>
      </w:pPr>
      <w:r>
        <w:rPr>
          <w:rFonts w:ascii="Times New Roman" w:hAnsi="Times New Roman" w:eastAsia="Times New Roman" w:cs="Times New Roman"/>
        </w:rPr>
        <w:t>Kiisharaattiidhaan inni dhaloota dhumaa Adventiizimii bakka bu’a; afran kanneen booda sanyiin Yihudaa deebi’ee hin jiraatu ture. Lakkoofsi afur mallattoo addunyaa maraati; kanaafuu inni dhaloota dhumaa Adventistoota Guyyaa Torbaffaa guutummaa addunyaa irra jiran, kanneen Fulbaana 11, 2001 akka raawwii Dubbii raajii Waaqayyoo beekan, bakka bu’a.</w:t>
      </w:r>
    </w:p>
    <w:p>
      <w:pPr>
        <w:pStyle w:val="ArticleBody"/>
        <w:jc w:val="left"/>
      </w:pPr>
      <w:r>
        <w:rPr>
          <w:rFonts w:ascii="Nirmala UI" w:hAnsi="Nirmala UI" w:eastAsia="Nirmala UI" w:cs="Nirmala UI"/>
        </w:rPr>
        <w:t>මෙම</w:t>
      </w:r>
      <w:r>
        <w:rPr>
          <w:rFonts w:ascii="Times New Roman" w:hAnsi="Times New Roman" w:eastAsia="Times New Roman" w:cs="Times New Roman"/>
        </w:rPr>
        <w:t xml:space="preserve"> </w:t>
      </w:r>
      <w:r>
        <w:rPr>
          <w:rFonts w:ascii="Nirmala UI" w:hAnsi="Nirmala UI" w:eastAsia="Nirmala UI" w:cs="Nirmala UI"/>
        </w:rPr>
        <w:t>සෙවන්ත්</w:t>
      </w:r>
      <w:r>
        <w:rPr>
          <w:rFonts w:ascii="Times New Roman" w:hAnsi="Times New Roman" w:eastAsia="Times New Roman" w:cs="Times New Roman"/>
        </w:rPr>
        <w:t>-</w:t>
      </w:r>
      <w:r>
        <w:rPr>
          <w:rFonts w:ascii="Nirmala UI" w:hAnsi="Nirmala UI" w:eastAsia="Nirmala UI" w:cs="Nirmala UI"/>
        </w:rPr>
        <w:t>ඩේ</w:t>
      </w:r>
      <w:r>
        <w:rPr>
          <w:rFonts w:ascii="Times New Roman" w:hAnsi="Times New Roman" w:eastAsia="Times New Roman" w:cs="Times New Roman"/>
        </w:rPr>
        <w:t xml:space="preserve"> </w:t>
      </w:r>
      <w:r>
        <w:rPr>
          <w:rFonts w:ascii="Nirmala UI" w:hAnsi="Nirmala UI" w:eastAsia="Nirmala UI" w:cs="Nirmala UI"/>
        </w:rPr>
        <w:t>ඇඩ්වෙන්ටිස්වරු</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විෂයය</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කැඳවනු</w:t>
      </w:r>
      <w:r>
        <w:rPr>
          <w:rFonts w:ascii="Times New Roman" w:hAnsi="Times New Roman" w:eastAsia="Times New Roman" w:cs="Times New Roman"/>
        </w:rPr>
        <w:t xml:space="preserve"> </w:t>
      </w:r>
      <w:r>
        <w:rPr>
          <w:rFonts w:ascii="Nirmala UI" w:hAnsi="Nirmala UI" w:eastAsia="Nirmala UI" w:cs="Nirmala UI"/>
        </w:rPr>
        <w:t>ලැබූවෝ</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උරුමය</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1863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පියවරුන්ගේ</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සමඟය</w:t>
      </w:r>
      <w:r>
        <w:rPr>
          <w:rFonts w:ascii="Times New Roman" w:hAnsi="Times New Roman" w:eastAsia="Times New Roman" w:cs="Times New Roman"/>
        </w:rPr>
        <w:t xml:space="preserve">. </w:t>
      </w:r>
      <w:r>
        <w:rPr>
          <w:rFonts w:ascii="Nirmala UI" w:hAnsi="Nirmala UI" w:eastAsia="Nirmala UI" w:cs="Nirmala UI"/>
        </w:rPr>
        <w:t>ආරම්භක</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හඳුනාගැනීම</w:t>
      </w:r>
      <w:r>
        <w:rPr>
          <w:rFonts w:ascii="Times New Roman" w:hAnsi="Times New Roman" w:eastAsia="Times New Roman" w:cs="Times New Roman"/>
        </w:rPr>
        <w:t xml:space="preserve"> </w:t>
      </w:r>
      <w:r>
        <w:rPr>
          <w:rFonts w:ascii="Nirmala UI" w:hAnsi="Nirmala UI" w:eastAsia="Nirmala UI" w:cs="Nirmala UI"/>
        </w:rPr>
        <w:t>සම්භවයෙන්ම</w:t>
      </w:r>
      <w:r>
        <w:rPr>
          <w:rFonts w:ascii="Times New Roman" w:hAnsi="Times New Roman" w:eastAsia="Times New Roman" w:cs="Times New Roman"/>
        </w:rPr>
        <w:t xml:space="preserve"> </w:t>
      </w:r>
      <w:r>
        <w:rPr>
          <w:rFonts w:ascii="Nirmala UI" w:hAnsi="Nirmala UI" w:eastAsia="Nirmala UI" w:cs="Nirmala UI"/>
        </w:rPr>
        <w:t>අසීරුය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පරම්පරා</w:t>
      </w:r>
      <w:r>
        <w:rPr>
          <w:rFonts w:ascii="Times New Roman" w:hAnsi="Times New Roman" w:eastAsia="Times New Roman" w:cs="Times New Roman"/>
        </w:rPr>
        <w:t xml:space="preserve"> </w:t>
      </w:r>
      <w:r>
        <w:rPr>
          <w:rFonts w:ascii="Nirmala UI" w:hAnsi="Nirmala UI" w:eastAsia="Nirmala UI" w:cs="Nirmala UI"/>
        </w:rPr>
        <w:t>හතරක</w:t>
      </w:r>
      <w:r>
        <w:rPr>
          <w:rFonts w:ascii="Times New Roman" w:hAnsi="Times New Roman" w:eastAsia="Times New Roman" w:cs="Times New Roman"/>
        </w:rPr>
        <w:t xml:space="preserve"> </w:t>
      </w:r>
      <w:r>
        <w:rPr>
          <w:rFonts w:ascii="Nirmala UI" w:hAnsi="Nirmala UI" w:eastAsia="Nirmala UI" w:cs="Nirmala UI"/>
        </w:rPr>
        <w:t>උත්සන්න</w:t>
      </w:r>
      <w:r>
        <w:rPr>
          <w:rFonts w:ascii="Times New Roman" w:hAnsi="Times New Roman" w:eastAsia="Times New Roman" w:cs="Times New Roman"/>
        </w:rPr>
        <w:t xml:space="preserve"> </w:t>
      </w:r>
      <w:r>
        <w:rPr>
          <w:rFonts w:ascii="Nirmala UI" w:hAnsi="Nirmala UI" w:eastAsia="Nirmala UI" w:cs="Nirmala UI"/>
        </w:rPr>
        <w:t>වෙමින්</w:t>
      </w:r>
      <w:r>
        <w:rPr>
          <w:rFonts w:ascii="Times New Roman" w:hAnsi="Times New Roman" w:eastAsia="Times New Roman" w:cs="Times New Roman"/>
        </w:rPr>
        <w:t xml:space="preserve"> </w:t>
      </w:r>
      <w:r>
        <w:rPr>
          <w:rFonts w:ascii="Nirmala UI" w:hAnsi="Nirmala UI" w:eastAsia="Nirmala UI" w:cs="Nirmala UI"/>
        </w:rPr>
        <w:t>ගිය</w:t>
      </w:r>
      <w:r>
        <w:rPr>
          <w:rFonts w:ascii="Times New Roman" w:hAnsi="Times New Roman" w:eastAsia="Times New Roman" w:cs="Times New Roman"/>
        </w:rPr>
        <w:t xml:space="preserve"> </w:t>
      </w:r>
      <w:r>
        <w:rPr>
          <w:rFonts w:ascii="Nirmala UI" w:hAnsi="Nirmala UI" w:eastAsia="Nirmala UI" w:cs="Nirmala UI"/>
        </w:rPr>
        <w:t>කැරැල්ලේ</w:t>
      </w:r>
      <w:r>
        <w:rPr>
          <w:rFonts w:ascii="Times New Roman" w:hAnsi="Times New Roman" w:eastAsia="Times New Roman" w:cs="Times New Roman"/>
        </w:rPr>
        <w:t xml:space="preserve"> </w:t>
      </w:r>
      <w:r>
        <w:rPr>
          <w:rFonts w:ascii="Nirmala UI" w:hAnsi="Nirmala UI" w:eastAsia="Nirmala UI" w:cs="Nirmala UI"/>
        </w:rPr>
        <w:t>සම්ප්</w:t>
      </w:r>
      <w:r>
        <w:rPr>
          <w:rFonts w:ascii="Times New Roman" w:hAnsi="Times New Roman" w:eastAsia="Times New Roman" w:cs="Times New Roman"/>
        </w:rPr>
        <w:t>‍</w:t>
      </w:r>
      <w:r>
        <w:rPr>
          <w:rFonts w:ascii="Nirmala UI" w:hAnsi="Nirmala UI" w:eastAsia="Nirmala UI" w:cs="Nirmala UI"/>
        </w:rPr>
        <w:t>රදායන්</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චාරිත්</w:t>
      </w:r>
      <w:r>
        <w:rPr>
          <w:rFonts w:ascii="Times New Roman" w:hAnsi="Times New Roman" w:eastAsia="Times New Roman" w:cs="Times New Roman"/>
        </w:rPr>
        <w:t>‍</w:t>
      </w:r>
      <w:r>
        <w:rPr>
          <w:rFonts w:ascii="Nirmala UI" w:hAnsi="Nirmala UI" w:eastAsia="Nirmala UI" w:cs="Nirmala UI"/>
        </w:rPr>
        <w:t>රයන්ගෙන්</w:t>
      </w:r>
      <w:r>
        <w:rPr>
          <w:rFonts w:ascii="Times New Roman" w:hAnsi="Times New Roman" w:eastAsia="Times New Roman" w:cs="Times New Roman"/>
        </w:rPr>
        <w:t xml:space="preserve"> </w:t>
      </w:r>
      <w:r>
        <w:rPr>
          <w:rFonts w:ascii="Nirmala UI" w:hAnsi="Nirmala UI" w:eastAsia="Nirmala UI" w:cs="Nirmala UI"/>
        </w:rPr>
        <w:t>වැසී</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හඳුනාගැනීම</w:t>
      </w:r>
      <w:r>
        <w:rPr>
          <w:rFonts w:ascii="Times New Roman" w:hAnsi="Times New Roman" w:eastAsia="Times New Roman" w:cs="Times New Roman"/>
        </w:rPr>
        <w:t xml:space="preserve"> </w:t>
      </w:r>
      <w:r>
        <w:rPr>
          <w:rFonts w:ascii="Nirmala UI" w:hAnsi="Nirmala UI" w:eastAsia="Nirmala UI" w:cs="Nirmala UI"/>
        </w:rPr>
        <w:t>දුෂ්කර</w:t>
      </w:r>
      <w:r>
        <w:rPr>
          <w:rFonts w:ascii="Times New Roman" w:hAnsi="Times New Roman" w:eastAsia="Times New Roman" w:cs="Times New Roman"/>
        </w:rPr>
        <w:t xml:space="preserve"> </w:t>
      </w:r>
      <w:r>
        <w:rPr>
          <w:rFonts w:ascii="Nirmala UI" w:hAnsi="Nirmala UI" w:eastAsia="Nirmala UI" w:cs="Nirmala UI"/>
        </w:rPr>
        <w:t>වුවද</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නවවන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අවසානයේ</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කළාක්</w:t>
      </w:r>
      <w:r>
        <w:rPr>
          <w:rFonts w:ascii="Times New Roman" w:hAnsi="Times New Roman" w:eastAsia="Times New Roman" w:cs="Times New Roman"/>
        </w:rPr>
        <w:t xml:space="preserve"> </w:t>
      </w:r>
      <w:r>
        <w:rPr>
          <w:rFonts w:ascii="Nirmala UI" w:hAnsi="Nirmala UI" w:eastAsia="Nirmala UI" w:cs="Nirmala UI"/>
        </w:rPr>
        <w:t>මෙන්</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පිළිගත</w:t>
      </w:r>
      <w:r>
        <w:rPr>
          <w:rFonts w:ascii="Times New Roman" w:hAnsi="Times New Roman" w:eastAsia="Times New Roman" w:cs="Times New Roman"/>
        </w:rPr>
        <w:t xml:space="preserve"> </w:t>
      </w:r>
      <w:r>
        <w:rPr>
          <w:rFonts w:ascii="Nirmala UI" w:hAnsi="Nirmala UI" w:eastAsia="Nirmala UI" w:cs="Nirmala UI"/>
        </w:rPr>
        <w:t>යුතුය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එසේ</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දෙවියන්වහන්සේගේ</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වචනය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හඳුනාගැනීමෙනි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Dembi bɔvɔ kɛ Daniel kɛ nyi bɔ yaa ba lɛɛ ba tɔɔlɔɔ lɔ, yaa ba faa kɛ a yikɛ a tɔɔrɔ a yɛlɛ a kɔnɔɔ mɔɔ ba yɛlɛ yi kɛ heathen yi kɛ ba yɔɔ lɔɔ. Mɔɔ 1863, Laodicean Adventism bɛ bɔɔ lɔɔ mɔɔ biblikal methodology yi apostate Protestantism kɛ Catholicism yi lɔ, ni ba taa Miller yɛ identification yi “seven times” yi Leviticus twenty-six lɔ. Dembi oyi Daniel kɛ nyi bɔ yaa ba lɛɛ ba tɔɔlɔɔ lɔ, bɛ represented yi king Hezekiah.</w:t>
      </w:r>
    </w:p>
    <w:p>
      <w:pPr>
        <w:pStyle w:val="ArticleBody"/>
        <w:jc w:val="left"/>
      </w:pPr>
      <w:r>
        <w:rPr>
          <w:rFonts w:ascii="Times New Roman" w:hAnsi="Times New Roman" w:eastAsia="Times New Roman" w:cs="Times New Roman"/>
        </w:rPr>
        <w:t>Kuningas Hiskia anoi Herralta, ettei hänen tarvitsisi kuolla, ja hänen rukoukseensa vastattiin, kun Herra antoi hänelle vielä 15 vuotta. Näin tehdessään hän sitten siitti Manassen, yhden Juudan jumalattomimmista kuninkaista, mutta myös sen kuninkaan, jonka kohdalla alkaa Juudan asteittainen, seitsenvaiheinen valloittaminen ja orjuuttaminen. Vuonna 1856 Tosi Todistaja tuli kolkuttamaan laodikealaisen adventismin ovelle, mutta he valitsivat elää eivätkä kuolla itselleen. Vuoteen 1863 mennessä he olivat rakentaneet uudelleen “Jerikon” ja aloittaneet kiihtyvän kapinan, joka lopulta esti heitä tunnistamasta 11. syyskuuta 2001 heidän kolmivaiheisen matkansa alkuna hengellisen Babylonin orjuuteen, matkan, joka päättyy sunnuntailakiin.</w:t>
      </w:r>
    </w:p>
    <w:p>
      <w:pPr>
        <w:pStyle w:val="ArticleBody"/>
        <w:jc w:val="left"/>
      </w:pPr>
      <w:r>
        <w:rPr>
          <w:rFonts w:ascii="Times New Roman" w:hAnsi="Times New Roman" w:eastAsia="Times New Roman" w:cs="Times New Roman"/>
        </w:rPr>
        <w:t>Para el rey Ezequías, 1863 llegó cuando le fue concedida su oración de vivir. El Señor proveyó una señal de que su oración había sido aceptada. Dios confirmó la oración moviendo el sol, y los babilonios vieron la actividad de Dios en los cielos, aunque no sabían lo que significaba. Entonces los babilonios vinieron a Jerusalén para averiguar acerca del Dios que tenía poder para controlar el sol. En lugar de glorificar al Dios del Cielo, el rey Ezequías, en vez de morir al yo, escogió glorificar su templo y su ciudad en lugar del Dios que había escogido poner Su nombre en ese templo y en esa ciudad.</w:t>
      </w:r>
    </w:p>
    <w:p>
      <w:pPr>
        <w:pStyle w:val="ArticleBody"/>
        <w:jc w:val="left"/>
      </w:pPr>
      <w:r>
        <w:rPr>
          <w:rFonts w:ascii="Times New Roman" w:hAnsi="Times New Roman" w:eastAsia="Times New Roman" w:cs="Times New Roman"/>
        </w:rPr>
        <w:t>Cette rébellion fit venir la prophétie selon laquelle des enfants issus de sa lignée deviendraient esclaves et eunuques à Babylone. Ces enfants étaient Daniel, Hanania, Mischaël et Azaria, et ils représentent la génération finale spirituelle de ces adventistes du septième jour qui reconnaissent le 11 septembre 2001 comme un tournant dans l’histoire des nations du monde et de l’Église, lorsque est donnée la lumière qui doit éprouver et sceller les cent quarante-quatre mille.</w:t>
      </w:r>
    </w:p>
    <w:p>
      <w:pPr>
        <w:pStyle w:val="ArticleScripture"/>
        <w:jc w:val="left"/>
      </w:pPr>
      <w:r>
        <w:rPr>
          <w:rFonts w:ascii="Times New Roman" w:hAnsi="Times New Roman" w:eastAsia="Times New Roman" w:cs="Times New Roman"/>
        </w:rPr>
        <w:t>في تلك الأيام مرض حزقيا مرضًا للموت. فجاء إليه إشعياء النبي ابن آموص وقال له: هكذا يقول الرب: أوصِ بيتك، لأنك تموت ولا تعيش. فحوَّل وجهه إلى الحائط، وصلّى إلى الرب قائلًا: آه يا رب، اذكر الآن كيف سرت أمامك بالأمانة وبقلب كامل، وعملت ما هو صالح في عينيك. وبكى حزقيا بكاءً عظيمًا. وحدث أنه قبل أن يخرج إشعياء إلى الدار الوسطى، كانت كلمة الرب إليه قائلة: ارجع وقل لحزقيا رئيس شعبي: هكذا يقول الرب إله داود أبيك: قد سمعت صلاتك، قد رأيت دموعك. هأنذا أشفيك. في اليوم الثالث تصعد إلى بيت الرب. وأزيد على أيامك خمس عشرة سنة، وأنقذك وهذه المدينة من يد ملك أشور، وأحامي عن هذه المدينة من أجل نفسي ومن أجل داود عبدي. وقال إشعياء: خذوا قرصًا من التين. فأخذوا ووضعوه على الدبل فبرئ. وقال حزقيا لإشعياء: ما العلامة أن الرب يشفيني، فأصعد في اليوم الثالث إلى بيت الرب؟ فقال إشعياء: هذه لك علامة من قِبَل الرب أن الرب يفعل الأمر الذي تكلم به: هل يتقدم الظل عشر درجات أم يرجع عشر درجات؟ فأجاب حزقيا: إنه يسير على الظل أن ينزل عشر درجات. لا، بل ليرجع الظل إلى الوراء عشر درجات. فصرخ إشعياء النبي إلى الرب، فرجع الظل عشر درجات إلى الوراء، بالدرجات التي كان قد نزلها على درجات آحاز. في ذلك الزمان أرسل برودخ بلادان بن بلادان ملك بابل رسائل وهدية إلى حزقيا، لأنه سمع أن حزقيا قد مرض. فسمع لهم حزقيا، وأراهم بيت أمتعته كله: الفضة والذهب والأطياب والدهن الكريم وبيت سلاحه كله، وكل ما وُجد في خزائنه. لم يكن شيء في بيته ولا في كل مملكته إلا وأراه لهم حزقيا. فجاء إشعياء النبي إلى الملك حزقيا وقال له: ماذا قال هؤلاء الرجال؟ ومن أين جاءوا إليك؟ فقال حزقيا: قد جاءوا من أرض بعيدة، من بابل. فقال: ماذا رأوا في بيتك؟ فأجاب حزقيا: قد رأوا كل ما في بيتي. ليس في خزائني شيء لم أُرِهِم إياه. فقال إشعياء لحزقيا: اسمع كلمة الرب. هوذا أيام تأتي يُنقل فيها إلى بابل كل ما في بيتك، وما ادخره آباؤك إلى هذا اليوم. لا يُترك شيء، يقول الرب. ومن بنيك الذين يخرجون منك، الذين تلدهم، يأخذون، فيكونون خصيانًا في قصر ملك بابل. فقال حزقيا لإشعياء: صالحة هي كلمة الرب التي تكلمت بها. ثم قال: أليس إنما إن كان سلام وحق في أيامي؟ وبقية أمور حزقيا وكل جبروته، وكيف صنع البركة والقناة وأدخل الماء إلى المدينة، أما هي مكتوبة في سفر أخبار الأيام لملوك يهوذا؟ ثم اضطجع حزقيا مع آبائه، وملك منسّى ابنه عوضًا عنه. 2 ملوك 20:1–21.</w:t>
      </w:r>
    </w:p>
    <w:p>
      <w:pPr>
        <w:pStyle w:val="ArticleBody"/>
        <w:jc w:val="left"/>
      </w:pPr>
      <w:r>
        <w:rPr>
          <w:rFonts w:ascii="Nirmala UI" w:hAnsi="Nirmala UI" w:eastAsia="Nirmala UI" w:cs="Nirmala UI"/>
        </w:rPr>
        <w:t>वट्टेक्कात्तिं</w:t>
      </w:r>
      <w:r>
        <w:rPr>
          <w:rFonts w:ascii="Times New Roman" w:hAnsi="Times New Roman" w:eastAsia="Times New Roman" w:cs="Times New Roman"/>
        </w:rPr>
        <w:t xml:space="preserve"> </w:t>
      </w:r>
      <w:r>
        <w:rPr>
          <w:rFonts w:ascii="Nirmala UI" w:hAnsi="Nirmala UI" w:eastAsia="Nirmala UI" w:cs="Nirmala UI"/>
        </w:rPr>
        <w:t>काणिक्कुन्नु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Mînase dema ku dest bi padîşahiyê kir diwanzdeh salî bû, û pênc û pêncî sal li Orşelîmê padîşahî kir. Navê diya wî Hephzibah bû. 2 Padîşahan 21:1.</w:t>
      </w:r>
    </w:p>
    <w:p>
      <w:pPr>
        <w:pStyle w:val="ArticleBody"/>
        <w:jc w:val="left"/>
      </w:pPr>
      <w:r>
        <w:rPr>
          <w:rFonts w:ascii="Times New Roman" w:hAnsi="Times New Roman" w:eastAsia="Times New Roman" w:cs="Times New Roman"/>
        </w:rPr>
        <w:t>King Hezekiah hatte besser auf den Willen des Herrn gehört, sein Haus bestellt und sterben sollen. Stattdessen erhielt er fünfzehn weitere Jahre, und drei Jahre später wurde der gottlose Manasse geboren. Was wäre 1856 geschehen, wenn der Adventismus den Übergang von Philadelphia nach Laodizea angenommen, sein Haus in Ordnung gebracht und die grundlegenden Wahrheiten William Millers unversehrt bewahrt hätte? Ich nehme an, wir werden die Antwort auf diese Frage niemals erfahren; was wir jedoch wissen, ist dies: „Daniel nahm sich in seinem Herzen vor, sich nicht mit der Speise des Königs und mit dem Wein, den er trank, zu verunreinigen.“</w:t>
      </w:r>
    </w:p>
    <w:p>
      <w:pPr>
        <w:pStyle w:val="ArticleBody"/>
        <w:jc w:val="left"/>
      </w:pPr>
      <w:r>
        <w:rPr>
          <w:rFonts w:ascii="Times New Roman" w:hAnsi="Times New Roman" w:eastAsia="Times New Roman" w:cs="Times New Roman"/>
        </w:rPr>
        <w:t>Nous poursuivrons le chapitre un de Daniel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Danieli - Nambari Nane</dc:title>
  <dc:subject>Un processus</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