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unième</w:t>
      </w:r>
    </w:p>
    <w:p>
      <w:pPr>
        <w:pStyle w:val="ArticleSubtitle"/>
        <w:jc w:val="left"/>
      </w:pPr>
      <w:r>
        <w:rPr>
          <w:rFonts w:ascii="Arial" w:hAnsi="Arial" w:eastAsia="Arial" w:cs="Arial"/>
        </w:rPr>
        <w:t>The Messenger of the Covenant: From Purification to Purging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Dat wëch, an där Christus de Bond bestätegt huet, huet d’Zäitspan vum sengem Daf bis zu deem Ament duergestallt, wou Christus am himmlesche Hellegtum beim Steenegung vum Stephanus opgestanen ass.</w:t>
      </w:r>
    </w:p>
    <w:p>
      <w:pPr>
        <w:pStyle w:val="ArticleScripture"/>
        <w:jc w:val="left"/>
      </w:pPr>
      <w:r>
        <w:rPr>
          <w:rFonts w:ascii="Times New Roman" w:hAnsi="Times New Roman" w:eastAsia="Times New Roman" w:cs="Times New Roman"/>
        </w:rPr>
        <w:t>Amma shi, cike da Ruhu Mai Tsarki, ya zura ido sosai zuwa sama, ya ga ɗaukakar Allah, da Yesu yana tsaye a hannun dama na Allah, Ya ce, Ga shi, ina ganin sammai a buɗe, da Ɗan Mutum yana tsaye a hannun dama na Allah. Sai suka yi ƙara da babbar murya, suka toshe kunnuwansu, suka taso masa gaba ɗaya, Suka fitar da shi waje da birni, suka jejjefe shi da duwatsu; shaidun kuwa suka ajiye tufafinsu a ƙafafun wani saurayi, wanda sunansa Shawulu. Suka kuwa jejjefi Istafanus, yana kiran Allah, yana cewa, Ubangiji Yesu, ka karɓi ruhuna. Sai ya durƙusa, ya yi kira da babbar murya, Ubangiji, kada ka ɗora musu wannan zunubi. Da ya faɗi haka, sai ya yi barci. Ayyukan Manzanni 7:55–60.</w:t>
      </w:r>
    </w:p>
    <w:p>
      <w:pPr>
        <w:pStyle w:val="ArticleBody"/>
        <w:jc w:val="left"/>
      </w:pPr>
      <w:r>
        <w:rPr>
          <w:rFonts w:ascii="Times New Roman" w:hAnsi="Times New Roman" w:eastAsia="Times New Roman" w:cs="Times New Roman"/>
        </w:rPr>
        <w:t>Sa Esteban ay binato at si Miguel ay tumindig, ang ebanghelyo ay napasa mga Gentil, sapagkat hanggang sa panahong iyon ang ebanghelyo ay nakalaan lamang sa mga Judio.</w:t>
      </w:r>
    </w:p>
    <w:p>
      <w:pPr>
        <w:pStyle w:val="ArticleScripture"/>
        <w:jc w:val="left"/>
      </w:pPr>
      <w:r>
        <w:rPr>
          <w:rFonts w:ascii="Times New Roman" w:hAnsi="Times New Roman" w:eastAsia="Times New Roman" w:cs="Times New Roman"/>
        </w:rPr>
        <w:t>«Ангел затем сказал: “И утвердит завет для многих на одну седмину [семь лет]”. В течение семи лет после того, как Спаситель вступил в Своё служение, Евангелие должно было возвещаться преимущественно иудеям: три с половиной года — Самим Христом, а затем — апостолами. “А в половине седмины прекратится жертва и приношение”. Даниил 9:27. Весной 31 г. по Р. Х. Христос, истинная Жертва, был принесён на Голгофе. Тогда завеса храма раздралась надвое, показывая, что святость и значение жертвенного служения отошли. Настало время прекратиться земной жертве и приношению.»</w:t>
      </w:r>
    </w:p>
    <w:p>
      <w:pPr>
        <w:pStyle w:val="ArticleScripture"/>
        <w:jc w:val="left"/>
      </w:pPr>
      <w:r>
        <w:rPr>
          <w:rFonts w:ascii="Times New Roman" w:hAnsi="Times New Roman" w:eastAsia="Times New Roman" w:cs="Times New Roman"/>
        </w:rPr>
        <w:t>«این یک هفته—هفت سال—در سال ۳۴ میلادی به پایان رسید. آنگاه یهودیان با سنگسار کردن استیفان، سرانجام ردّ خود نسبت به انجیل را مُهر کردند؛ شاگردانی که بر اثر جفا پراکنده شده بودند، «در همه‌جا می‌گشتند و به کلام موعظه می‌کردند» (اعمال ۸:۴)؛ و اندکی پس از آن، شائولِ جفاکار ایمان آورد و پولُس، رسولِ امت‌ها، گردید.» آرزوی اعصار، ۲۳۳.</w:t>
      </w:r>
    </w:p>
    <w:p>
      <w:pPr>
        <w:pStyle w:val="ArticleBody"/>
        <w:jc w:val="left"/>
      </w:pPr>
      <w:r>
        <w:rPr>
          <w:rFonts w:ascii="Times New Roman" w:hAnsi="Times New Roman" w:eastAsia="Times New Roman" w:cs="Times New Roman"/>
        </w:rPr>
        <w:t>Mu mwaka wa 34, icyumweru cyera (iminsi ibihumbi bibiri magana atanu na makumyabiri) cyarasojwe, kandi Isirayeli ya kera itandukanywa n’Imana; igihe cyabo cy’igeragezwa cyari cyarangiye rwose. Kuri uwo mwanya, igihano cyagombaga kugera kuri Isirayeli ya kera kubera kwanga isezerano no kubambisha Umwana w’Imana cyari kiyobowe n’urubanza nyakubahwa rw’Imana. Imana, mu kwihangana kwayo kwuzuye imbabazi, yasubitse kurimburwa kwa Yerusalemu kugeza ku kugotwa no kurimburwa kwayo kuva mu mwaka wa 66 nyuma ya Kristo kugeza mu mwaka wa 70 nyuma ya Kristo.</w:t>
      </w:r>
    </w:p>
    <w:p>
      <w:pPr>
        <w:pStyle w:val="ArticleBody"/>
        <w:jc w:val="left"/>
      </w:pPr>
      <w:r>
        <w:rPr>
          <w:rFonts w:ascii="Times New Roman" w:hAnsi="Times New Roman" w:eastAsia="Times New Roman" w:cs="Times New Roman"/>
        </w:rPr>
        <w:t>Одломците во деветтата глава од Даниел, кои ја определуваат седмицата во која Христос го потврди заветот, исто така покажуваат дека паганскиот Рим („кнезот што ќе дојде“) ќе ги разори градот и светилиштето; но Бог, во Својата долготрпелива милост, им даде време на чедата на древниот Израел да го чујат евангелието и да донесат одлука, како што направиле нивните татковци, за време на седумгодишниот период на Христовата и на апостолската служба меѓу нив.</w:t>
      </w:r>
    </w:p>
    <w:p>
      <w:pPr>
        <w:pStyle w:val="ArticleScripture"/>
        <w:jc w:val="left"/>
      </w:pPr>
      <w:r>
        <w:rPr>
          <w:rFonts w:ascii="Times New Roman" w:hAnsi="Times New Roman" w:eastAsia="Times New Roman" w:cs="Times New Roman"/>
        </w:rPr>
        <w:t>«Preskaŭ dum kvardek jaroj post kiam la pereo de Jerusalem estis proklamita de Kristo mem, la Sinjoro prokrastis Siajn juĝojn kontraŭ la urbo kaj la nacio. Mirinda estis la pacienca longtoleremo de Dio al la malakceptintoj de Lia evangelio kaj al la murdintoj de Lia Filo. La parabolo pri la senfrukta arbo prezentis la rilaton de Dio al la juda nacio. La ordono estis elirinta: “Dehaku ĝin; kial ĝi senutile okupas la teron?” (Luke 13:7) sed dia kompato ankoraŭ iom da tempo ĝin ŝparis. Ankoraŭ estis multaj inter la Judoj, kiuj ne konis la karakteron kaj la laboron de Kristo. Kaj la infanoj ne estis ĝuintaj la ŝancojn nek ricevintaj la lumon, kiun iliaj gepatroj malŝatis. Per la predikado de la apostoloj kaj iliaj kunlaborantoj Dio igus lumon brili sur ilin; al ili estus permesite vidi, kiel la profetaĵo estis plenumita, ne nur en la naskiĝo kaj vivo de Kristo, sed ankaŭ en Lia morto kaj releviĝo. La infanoj ne estis kondamnitaj pro la pekoj de la gepatroj; sed kiam, kun kono de la tuta lumo donita al iliaj gepatroj, la infanoj malakceptis la aldonan lumon donacitan al ili mem, ili fariĝis partoprenantoj en la pekoj de la gepatroj, kaj plenigis la mezuron de sia malvirteco. »</w:t>
      </w:r>
    </w:p>
    <w:p>
      <w:pPr>
        <w:pStyle w:val="ArticleScripture"/>
        <w:jc w:val="left"/>
      </w:pPr>
      <w:r>
        <w:rPr>
          <w:rFonts w:ascii="Times New Roman" w:hAnsi="Times New Roman" w:eastAsia="Times New Roman" w:cs="Times New Roman"/>
        </w:rPr>
        <w:t>„Долготърпението на Бога към Йерусалим само утвърди юдеите в тяхното упорито неразкаяние. Със своята омраза и жестокост към учениците на Исус те отхвърлиха последното предложение на милост. Тогава Бог оттегли Своята закрила от тях и премахна Своята възпираща сила над Сатана и неговите ангели, и народът бе оставен под властта на водача, когото бе избрал. Неговите чада бяха презрели Христовата благодат, която би им дала възможност да покорят злите си подтици, а сега те станаха техни завоеватели. Сатана разпали най-яростните и най-покварени страсти на душата. Хората не разсъждаваха; те бяха отвъд разума — управлявани от подтик и сляпа ярост. Те станаха сатанински в своята жестокост. В семейството и в народа, сред най-висшите и най-низшите съсловия еднакво, имаше подозрение, завист, омраза, разпри, бунт, убийство. Никъде нямаше безопасност. Приятели и роднини се предаваха един друг. Родители убиваха децата си, и деца — родителите си. Управниците на народа нямаха власт да управляват самите себе си. Необузданите страсти ги превърнаха в тирани. Юдеите бяха приели лъжливо свидетелство, за да осъдят невинния Божи Син. Сега лъжливи обвинения правеха собствения им живот несигурен. С делата си те отдавна казваха: „Нека Светият Израилев престане да бъде пред нас.“ Исая 30:11. Сега желанието им бе изпълнено. Божият страх вече не ги смущаваше. Сатана стоеше начело на народа и най-висшите граждански и религиозни власти бяха под неговото влияние.“ Великата борба, 27, 28.</w:t>
      </w:r>
    </w:p>
    <w:p>
      <w:pPr>
        <w:pStyle w:val="ArticleBody"/>
        <w:jc w:val="left"/>
      </w:pPr>
      <w:r>
        <w:rPr>
          <w:rFonts w:ascii="Nirmala UI" w:hAnsi="Nirmala UI" w:eastAsia="Nirmala UI" w:cs="Nirmala UI"/>
        </w:rPr>
        <w:t>কবিনিয়মের</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একমাত্র</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সঙ্গেই</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৩৪</w:t>
      </w:r>
      <w:r>
        <w:rPr>
          <w:rFonts w:ascii="Times New Roman" w:hAnsi="Times New Roman" w:eastAsia="Times New Roman" w:cs="Times New Roman"/>
        </w:rPr>
        <w:t xml:space="preserve"> </w:t>
      </w:r>
      <w:r>
        <w:rPr>
          <w:rFonts w:ascii="Nirmala UI" w:hAnsi="Nirmala UI" w:eastAsia="Nirmala UI" w:cs="Nirmala UI"/>
        </w:rPr>
        <w:t>খ্রিষ্টাব্দে</w:t>
      </w:r>
      <w:r>
        <w:rPr>
          <w:rFonts w:ascii="Times New Roman" w:hAnsi="Times New Roman" w:eastAsia="Times New Roman" w:cs="Times New Roman"/>
        </w:rPr>
        <w:t xml:space="preserve">, </w:t>
      </w:r>
      <w:r>
        <w:rPr>
          <w:rFonts w:ascii="Nirmala UI" w:hAnsi="Nirmala UI" w:eastAsia="Nirmala UI" w:cs="Nirmala UI"/>
        </w:rPr>
        <w:t>স্তেফনের</w:t>
      </w:r>
      <w:r>
        <w:rPr>
          <w:rFonts w:ascii="Times New Roman" w:hAnsi="Times New Roman" w:eastAsia="Times New Roman" w:cs="Times New Roman"/>
        </w:rPr>
        <w:t xml:space="preserve"> </w:t>
      </w:r>
      <w:r>
        <w:rPr>
          <w:rFonts w:ascii="Nirmala UI" w:hAnsi="Nirmala UI" w:eastAsia="Nirmala UI" w:cs="Nirmala UI"/>
        </w:rPr>
        <w:t>প্রস্তরাঘাতে</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অইহুদিদের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করুণায়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সময়বিন্দুটিকে</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স্থগিত</w:t>
      </w:r>
      <w:r>
        <w:rPr>
          <w:rFonts w:ascii="Times New Roman" w:hAnsi="Times New Roman" w:eastAsia="Times New Roman" w:cs="Times New Roman"/>
        </w:rPr>
        <w:t xml:space="preserve"> </w:t>
      </w:r>
      <w:r>
        <w:rPr>
          <w:rFonts w:ascii="Nirmala UI" w:hAnsi="Nirmala UI" w:eastAsia="Nirmala UI" w:cs="Nirmala UI"/>
        </w:rPr>
        <w:t>রেখেছিলেন।</w:t>
      </w:r>
    </w:p>
    <w:p>
      <w:pPr>
        <w:pStyle w:val="ArticleBody"/>
        <w:jc w:val="left"/>
      </w:pPr>
      <w:r>
        <w:rPr>
          <w:rFonts w:ascii="Leelawadee UI" w:hAnsi="Leelawadee UI" w:eastAsia="Leelawadee UI" w:cs="Leelawadee UI"/>
        </w:rPr>
        <w:t>พันธสัญญูตแห่งพันธสัญญา</w:t>
      </w:r>
      <w:r>
        <w:rPr>
          <w:rFonts w:ascii="Times New Roman" w:hAnsi="Times New Roman" w:eastAsia="Times New Roman" w:cs="Times New Roman"/>
        </w:rPr>
        <w:t xml:space="preserve"> </w:t>
      </w:r>
      <w:r>
        <w:rPr>
          <w:rFonts w:ascii="Leelawadee UI" w:hAnsi="Leelawadee UI" w:eastAsia="Leelawadee UI" w:cs="Leelawadee UI"/>
        </w:rPr>
        <w:t>โดยเป็นการสำเร็จตามมาลาคีบทที่สาม</w:t>
      </w:r>
      <w:r>
        <w:rPr>
          <w:rFonts w:ascii="Times New Roman" w:hAnsi="Times New Roman" w:eastAsia="Times New Roman" w:cs="Times New Roman"/>
        </w:rPr>
        <w:t xml:space="preserve"> </w:t>
      </w:r>
      <w:r>
        <w:rPr>
          <w:rFonts w:ascii="Leelawadee UI" w:hAnsi="Leelawadee UI" w:eastAsia="Leelawadee UI" w:cs="Leelawadee UI"/>
        </w:rPr>
        <w:t>พระคริสต์ทรงชำระพระวิหารสองครั้ง</w:t>
      </w:r>
      <w:r>
        <w:rPr>
          <w:rFonts w:ascii="Times New Roman" w:hAnsi="Times New Roman" w:eastAsia="Times New Roman" w:cs="Times New Roman"/>
        </w:rPr>
        <w:t xml:space="preserve"> </w:t>
      </w:r>
      <w:r>
        <w:rPr>
          <w:rFonts w:ascii="Leelawadee UI" w:hAnsi="Leelawadee UI" w:eastAsia="Leelawadee UI" w:cs="Leelawadee UI"/>
        </w:rPr>
        <w:t>พระองค์ทรงกระทำเช่นนั้นในช่วงระยะเวลาที่ทรงแยกไว้เป็นพิเศษสำหรับชนชาติแห่งพันธสัญญาซึ่งในขณะนั้นกำลังถูกทรงผ่านเลยและทรงหย่าร้าง</w:t>
      </w:r>
      <w:r>
        <w:rPr>
          <w:rFonts w:ascii="Times New Roman" w:hAnsi="Times New Roman" w:eastAsia="Times New Roman" w:cs="Times New Roman"/>
        </w:rPr>
        <w:t xml:space="preserve"> </w:t>
      </w:r>
      <w:r>
        <w:rPr>
          <w:rFonts w:ascii="Leelawadee UI" w:hAnsi="Leelawadee UI" w:eastAsia="Leelawadee UI" w:cs="Leelawadee UI"/>
        </w:rPr>
        <w:t>และอีกทั้งสำหรับบรรดาผู้ซึ่งต่อมาจะกลายเป็นชนชาติที่ทรงเลือกสรรใหม่</w:t>
      </w:r>
      <w:r>
        <w:rPr>
          <w:rFonts w:ascii="Times New Roman" w:hAnsi="Times New Roman" w:eastAsia="Times New Roman" w:cs="Times New Roman"/>
        </w:rPr>
        <w:t xml:space="preserve"> </w:t>
      </w:r>
      <w:r>
        <w:rPr>
          <w:rFonts w:ascii="Leelawadee UI" w:hAnsi="Leelawadee UI" w:eastAsia="Leelawadee UI" w:cs="Leelawadee UI"/>
        </w:rPr>
        <w:t>เมื่อช่วงระยะเวลานั้นสิ้นสุดลง</w:t>
      </w:r>
      <w:r>
        <w:rPr>
          <w:rFonts w:ascii="Times New Roman" w:hAnsi="Times New Roman" w:eastAsia="Times New Roman" w:cs="Times New Roman"/>
        </w:rPr>
        <w:t xml:space="preserve"> </w:t>
      </w:r>
      <w:r>
        <w:rPr>
          <w:rFonts w:ascii="Leelawadee UI" w:hAnsi="Leelawadee UI" w:eastAsia="Leelawadee UI" w:cs="Leelawadee UI"/>
        </w:rPr>
        <w:t>เวลาของการพิพากษาเชิงบริหารของพระเจ้าก็เริ่มต้นขึ้น</w:t>
      </w:r>
      <w:r>
        <w:rPr>
          <w:rFonts w:ascii="Times New Roman" w:hAnsi="Times New Roman" w:eastAsia="Times New Roman" w:cs="Times New Roman"/>
        </w:rPr>
        <w:t xml:space="preserve"> </w:t>
      </w:r>
      <w:r>
        <w:rPr>
          <w:rFonts w:ascii="Leelawadee UI" w:hAnsi="Leelawadee UI" w:eastAsia="Leelawadee UI" w:cs="Leelawadee UI"/>
        </w:rPr>
        <w:t>ยอห์นผู้ให้บัพติศมาเป็นผู้สื่อสารซึ่งได้เตรียมทางไว้สำหรับพระราชกิจของพระคริสต์ในการทรงยกชนชาติที่ทรงเลือกสรรใหม่ขึ้นมา</w:t>
      </w:r>
      <w:r>
        <w:rPr>
          <w:rFonts w:ascii="Times New Roman" w:hAnsi="Times New Roman" w:eastAsia="Times New Roman" w:cs="Times New Roman"/>
        </w:rPr>
        <w:t xml:space="preserve"> </w:t>
      </w:r>
      <w:r>
        <w:rPr>
          <w:rFonts w:ascii="Leelawadee UI" w:hAnsi="Leelawadee UI" w:eastAsia="Leelawadee UI" w:cs="Leelawadee UI"/>
        </w:rPr>
        <w:t>ซึ่งพระองค์จะทรงเข้าทำพันธสัญญาด้วย</w:t>
      </w:r>
    </w:p>
    <w:p>
      <w:pPr>
        <w:pStyle w:val="ArticleBody"/>
        <w:jc w:val="left"/>
      </w:pPr>
      <w:r>
        <w:rPr>
          <w:rFonts w:ascii="Times New Roman" w:hAnsi="Times New Roman" w:eastAsia="Times New Roman" w:cs="Times New Roman"/>
        </w:rPr>
        <w:t>Les deux purifications du temple étaient des leçons vivantes révélant l’œuvre du Christ dans la purification du temple de l’âme. Lorsque le Messager de l’Alliance paraît soudainement au chapitre trois de Malachie, Il purifie et épure aussi les fils de Lévi, afin de produire une offrande comme aux jours d’autrefois.</w:t>
      </w:r>
    </w:p>
    <w:p>
      <w:pPr>
        <w:pStyle w:val="ArticleScripture"/>
        <w:jc w:val="left"/>
      </w:pPr>
      <w:r>
        <w:rPr>
          <w:rFonts w:ascii="Times New Roman" w:hAnsi="Times New Roman" w:eastAsia="Times New Roman" w:cs="Times New Roman"/>
        </w:rPr>
        <w:t>Lakini ni nani awezaye kustahimili siku ya kuja kwake? na ni nani atakayesimama atakapoonekana? kwa maana yeye ni kama moto wa msafishaji, na kama sabuni ya mfua nguo; naye ataketi kama msafishaji na mtakaso wa fedha; naye atawatakasa wana wa Lawi, na kuwasafisha kama dhahabu na fedha, ili wamtolee Bwana toleo katika haki. Ndipo toleo la Yuda na Yerusalemu litapendeza machoni pa Bwana, kama katika siku za kale, na kama katika miaka ya zamani. Malaki 3:2–3.</w:t>
      </w:r>
    </w:p>
    <w:p>
      <w:pPr>
        <w:pStyle w:val="ArticleBody"/>
        <w:jc w:val="left"/>
      </w:pPr>
      <w:r>
        <w:rPr>
          <w:rFonts w:ascii="Nirmala UI" w:hAnsi="Nirmala UI" w:eastAsia="Nirmala UI" w:cs="Nirmala UI"/>
        </w:rPr>
        <w:t>മലാഖി</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ദേവാലയത്തിന്റെ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ശുദ്ധീകരണങ്ങളും</w:t>
      </w:r>
      <w:r>
        <w:rPr>
          <w:rFonts w:ascii="Times New Roman" w:hAnsi="Times New Roman" w:eastAsia="Times New Roman" w:cs="Times New Roman"/>
        </w:rPr>
        <w:t xml:space="preserve"> </w:t>
      </w:r>
      <w:r>
        <w:rPr>
          <w:rFonts w:ascii="Nirmala UI" w:hAnsi="Nirmala UI" w:eastAsia="Nirmala UI" w:cs="Nirmala UI"/>
        </w:rPr>
        <w:t>ഉടമ്പടിയുടെ</w:t>
      </w:r>
      <w:r>
        <w:rPr>
          <w:rFonts w:ascii="Times New Roman" w:hAnsi="Times New Roman" w:eastAsia="Times New Roman" w:cs="Times New Roman"/>
        </w:rPr>
        <w:t xml:space="preserve"> </w:t>
      </w:r>
      <w:r>
        <w:rPr>
          <w:rFonts w:ascii="Nirmala UI" w:hAnsi="Nirmala UI" w:eastAsia="Nirmala UI" w:cs="Nirmala UI"/>
        </w:rPr>
        <w:t>ദൂതൻ</w:t>
      </w:r>
      <w:r>
        <w:rPr>
          <w:rFonts w:ascii="Times New Roman" w:hAnsi="Times New Roman" w:eastAsia="Times New Roman" w:cs="Times New Roman"/>
        </w:rPr>
        <w:t xml:space="preserve"> </w:t>
      </w:r>
      <w:r>
        <w:rPr>
          <w:rFonts w:ascii="Nirmala UI" w:hAnsi="Nirmala UI" w:eastAsia="Nirmala UI" w:cs="Nirmala UI"/>
        </w:rPr>
        <w:t>നിർവഹിക്കുന്ന</w:t>
      </w:r>
      <w:r>
        <w:rPr>
          <w:rFonts w:ascii="Times New Roman" w:hAnsi="Times New Roman" w:eastAsia="Times New Roman" w:cs="Times New Roman"/>
        </w:rPr>
        <w:t xml:space="preserve"> </w:t>
      </w:r>
      <w:r>
        <w:rPr>
          <w:rFonts w:ascii="Nirmala UI" w:hAnsi="Nirmala UI" w:eastAsia="Nirmala UI" w:cs="Nirmala UI"/>
        </w:rPr>
        <w:t>ലേവിയുടെ</w:t>
      </w:r>
      <w:r>
        <w:rPr>
          <w:rFonts w:ascii="Times New Roman" w:hAnsi="Times New Roman" w:eastAsia="Times New Roman" w:cs="Times New Roman"/>
        </w:rPr>
        <w:t xml:space="preserve"> </w:t>
      </w:r>
      <w:r>
        <w:rPr>
          <w:rFonts w:ascii="Nirmala UI" w:hAnsi="Nirmala UI" w:eastAsia="Nirmala UI" w:cs="Nirmala UI"/>
        </w:rPr>
        <w:t>പുത്രന്മാരുടെ</w:t>
      </w:r>
      <w:r>
        <w:rPr>
          <w:rFonts w:ascii="Times New Roman" w:hAnsi="Times New Roman" w:eastAsia="Times New Roman" w:cs="Times New Roman"/>
        </w:rPr>
        <w:t xml:space="preserve"> </w:t>
      </w:r>
      <w:r>
        <w:rPr>
          <w:rFonts w:ascii="Nirmala UI" w:hAnsi="Nirmala UI" w:eastAsia="Nirmala UI" w:cs="Nirmala UI"/>
        </w:rPr>
        <w:t>വിശ്വാസത്തിന്റെ</w:t>
      </w:r>
      <w:r>
        <w:rPr>
          <w:rFonts w:ascii="Times New Roman" w:hAnsi="Times New Roman" w:eastAsia="Times New Roman" w:cs="Times New Roman"/>
        </w:rPr>
        <w:t xml:space="preserve"> </w:t>
      </w:r>
      <w:r>
        <w:rPr>
          <w:rFonts w:ascii="Nirmala UI" w:hAnsi="Nirmala UI" w:eastAsia="Nirmala UI" w:cs="Nirmala UI"/>
        </w:rPr>
        <w:t>പരിപൂർണ്ണതയെ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ലേവിയുടെ</w:t>
      </w:r>
      <w:r>
        <w:rPr>
          <w:rFonts w:ascii="Times New Roman" w:hAnsi="Times New Roman" w:eastAsia="Times New Roman" w:cs="Times New Roman"/>
        </w:rPr>
        <w:t xml:space="preserve"> </w:t>
      </w:r>
      <w:r>
        <w:rPr>
          <w:rFonts w:ascii="Nirmala UI" w:hAnsi="Nirmala UI" w:eastAsia="Nirmala UI" w:cs="Nirmala UI"/>
        </w:rPr>
        <w:t>പുത്രന്മാരുടെ</w:t>
      </w:r>
      <w:r>
        <w:rPr>
          <w:rFonts w:ascii="Times New Roman" w:hAnsi="Times New Roman" w:eastAsia="Times New Roman" w:cs="Times New Roman"/>
        </w:rPr>
        <w:t xml:space="preserve"> </w:t>
      </w:r>
      <w:r>
        <w:rPr>
          <w:rFonts w:ascii="Nirmala UI" w:hAnsi="Nirmala UI" w:eastAsia="Nirmala UI" w:cs="Nirmala UI"/>
        </w:rPr>
        <w:t>വിശ്വാസത്തിന്റെ</w:t>
      </w:r>
      <w:r>
        <w:rPr>
          <w:rFonts w:ascii="Times New Roman" w:hAnsi="Times New Roman" w:eastAsia="Times New Roman" w:cs="Times New Roman"/>
        </w:rPr>
        <w:t xml:space="preserve"> </w:t>
      </w:r>
      <w:r>
        <w:rPr>
          <w:rFonts w:ascii="Nirmala UI" w:hAnsi="Nirmala UI" w:eastAsia="Nirmala UI" w:cs="Nirmala UI"/>
        </w:rPr>
        <w:t>പരിപൂർണ്ണത</w:t>
      </w:r>
      <w:r>
        <w:rPr>
          <w:rFonts w:ascii="Times New Roman" w:hAnsi="Times New Roman" w:eastAsia="Times New Roman" w:cs="Times New Roman"/>
        </w:rPr>
        <w:t xml:space="preserve"> </w:t>
      </w:r>
      <w:r>
        <w:rPr>
          <w:rFonts w:ascii="Nirmala UI" w:hAnsi="Nirmala UI" w:eastAsia="Nirmala UI" w:cs="Nirmala UI"/>
        </w:rPr>
        <w:t>സ്വർണ്ണത്തിന്റെ</w:t>
      </w:r>
      <w:r>
        <w:rPr>
          <w:rFonts w:ascii="Times New Roman" w:hAnsi="Times New Roman" w:eastAsia="Times New Roman" w:cs="Times New Roman"/>
        </w:rPr>
        <w:t xml:space="preserve"> </w:t>
      </w:r>
      <w:r>
        <w:rPr>
          <w:rFonts w:ascii="Nirmala UI" w:hAnsi="Nirmala UI" w:eastAsia="Nirmala UI" w:cs="Nirmala UI"/>
        </w:rPr>
        <w:t>ശുദ്ധീകരണത്താൽ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«Կանխավ պիտի լինի, առողջարանում որևէ ազդեցություն ունեցող բոլորի մեջ, Աստծո կամքին հարմարում, անձի խոնարհեցում, սրտի բացում Քրիստոսի Հոգու թանկագին ազդեցությանը։ Հրով փորձված ոսկին ներկայացնում է սեր և հավատ։ Շատերը գրեթե զուրկ են սիրուց։ Ինքնաբավությունը կուրացնում է նրանց աչքերը իրենց մեծ կարիքի հանդեպ։ Կա հաստատուն անհրաժեշտություն Աստծուն ամենօրյա դարձի, կրոնական կյանքում նոր, խոր և ամենօրյա փորձառության»։ Վկայություններ, հատոր 4, 558։</w:t>
      </w:r>
    </w:p>
    <w:p>
      <w:pPr>
        <w:pStyle w:val="ArticleBody"/>
        <w:jc w:val="left"/>
      </w:pPr>
      <w:r>
        <w:rPr>
          <w:rFonts w:ascii="Times New Roman" w:hAnsi="Times New Roman" w:eastAsia="Times New Roman" w:cs="Times New Roman"/>
        </w:rPr>
        <w:t>Malaïki chapitre trois, et les deux purifications du temple représentent une perfection de la compréhension de l’accroissement de la connaissance au sein des sages, qui sont les fils de Lévi, laquelle est accomplie par le Messager de l’Alliance. La perfection des fils de Lévi est représentée par la purification de l’argent.</w:t>
      </w:r>
    </w:p>
    <w:p>
      <w:pPr>
        <w:pStyle w:val="ArticleScripture"/>
        <w:jc w:val="left"/>
      </w:pPr>
      <w:r>
        <w:rPr>
          <w:rFonts w:ascii="Times New Roman" w:hAnsi="Times New Roman" w:eastAsia="Times New Roman" w:cs="Times New Roman"/>
        </w:rPr>
        <w:t>Herrens ord är rena ord, såsom silver luttrat i en jordugn, renat sju gånger. Psalm 12:6.</w:t>
      </w:r>
    </w:p>
    <w:p>
      <w:pPr>
        <w:pStyle w:val="ArticleBody"/>
        <w:jc w:val="left"/>
      </w:pPr>
      <w:r>
        <w:rPr>
          <w:rFonts w:ascii="Times New Roman" w:hAnsi="Times New Roman" w:eastAsia="Times New Roman" w:cs="Times New Roman"/>
        </w:rPr>
        <w:t>Agbɛnla ƒe Dɔla la nàtsɔ nu atsɔ ami Levi viwo abe klosalo kple sika ene. Mawu ƒe Nyae nye si tsɔa amenuveve va, elabena woaŋlɔ ame ɖe eƒe nɔnɔme me nye lae nye ameɖedzesi kple kɔkɔenyenye.</w:t>
      </w:r>
    </w:p>
    <w:p>
      <w:pPr>
        <w:pStyle w:val="ArticleScripture"/>
        <w:jc w:val="left"/>
      </w:pP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17:17.</w:t>
      </w:r>
    </w:p>
    <w:p>
      <w:pPr>
        <w:pStyle w:val="ArticleBody"/>
        <w:jc w:val="left"/>
      </w:pPr>
      <w:r>
        <w:rPr>
          <w:rFonts w:ascii="Nirmala UI" w:hAnsi="Nirmala UI" w:eastAsia="Nirmala UI" w:cs="Nirmala UI"/>
        </w:rPr>
        <w:t>યોહાન</w:t>
      </w:r>
      <w:r>
        <w:rPr>
          <w:rFonts w:ascii="Times New Roman" w:hAnsi="Times New Roman" w:eastAsia="Times New Roman" w:cs="Times New Roman"/>
        </w:rPr>
        <w:t xml:space="preserve"> </w:t>
      </w:r>
      <w:r>
        <w:rPr>
          <w:rFonts w:ascii="Nirmala UI" w:hAnsi="Nirmala UI" w:eastAsia="Nirmala UI" w:cs="Nirmala UI"/>
        </w:rPr>
        <w:t>બાપ્તિસ્માદાતા</w:t>
      </w:r>
      <w:r>
        <w:rPr>
          <w:rFonts w:ascii="Times New Roman" w:hAnsi="Times New Roman" w:eastAsia="Times New Roman" w:cs="Times New Roman"/>
        </w:rPr>
        <w:t xml:space="preserve"> </w:t>
      </w:r>
      <w:r>
        <w:rPr>
          <w:rFonts w:ascii="Nirmala UI" w:hAnsi="Nirmala UI" w:eastAsia="Nirmala UI" w:cs="Nirmala UI"/>
        </w:rPr>
        <w:t>મલાખી</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ત્રણની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પરિપૂર્ણતામાં</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સંદર્ભમાં</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સ્વભાવથી</w:t>
      </w:r>
      <w:r>
        <w:rPr>
          <w:rFonts w:ascii="Times New Roman" w:hAnsi="Times New Roman" w:eastAsia="Times New Roman" w:cs="Times New Roman"/>
        </w:rPr>
        <w:t xml:space="preserve"> </w:t>
      </w:r>
      <w:r>
        <w:rPr>
          <w:rFonts w:ascii="Nirmala UI" w:hAnsi="Nirmala UI" w:eastAsia="Nirmala UI" w:cs="Nirmala UI"/>
        </w:rPr>
        <w:t>ચારગુંણો</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કાર્યમાં</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થનારી</w:t>
      </w:r>
      <w:r>
        <w:rPr>
          <w:rFonts w:ascii="Times New Roman" w:hAnsi="Times New Roman" w:eastAsia="Times New Roman" w:cs="Times New Roman"/>
        </w:rPr>
        <w:t xml:space="preserve"> </w:t>
      </w:r>
      <w:r>
        <w:rPr>
          <w:rFonts w:ascii="Nirmala UI" w:hAnsi="Nirmala UI" w:eastAsia="Nirmala UI" w:cs="Nirmala UI"/>
        </w:rPr>
        <w:t>શુદ્ધિકરણની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સામેલ</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શુદ્ધિકરણનું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ધાન્ય</w:t>
      </w:r>
      <w:r>
        <w:rPr>
          <w:rFonts w:ascii="Times New Roman" w:hAnsi="Times New Roman" w:eastAsia="Times New Roman" w:cs="Times New Roman"/>
        </w:rPr>
        <w:t xml:space="preserve"> </w:t>
      </w:r>
      <w:r>
        <w:rPr>
          <w:rFonts w:ascii="Nirmala UI" w:hAnsi="Nirmala UI" w:eastAsia="Nirmala UI" w:cs="Nirmala UI"/>
        </w:rPr>
        <w:t>મંડાણની</w:t>
      </w:r>
      <w:r>
        <w:rPr>
          <w:rFonts w:ascii="Times New Roman" w:hAnsi="Times New Roman" w:eastAsia="Times New Roman" w:cs="Times New Roman"/>
        </w:rPr>
        <w:t xml:space="preserve"> </w:t>
      </w:r>
      <w:r>
        <w:rPr>
          <w:rFonts w:ascii="Nirmala UI" w:hAnsi="Nirmala UI" w:eastAsia="Nirmala UI" w:cs="Nirmala UI"/>
        </w:rPr>
        <w:t>જગ્યા</w:t>
      </w:r>
      <w:r>
        <w:rPr>
          <w:rFonts w:ascii="Times New Roman" w:hAnsi="Times New Roman" w:eastAsia="Times New Roman" w:cs="Times New Roman"/>
        </w:rPr>
        <w:t xml:space="preserve"> </w:t>
      </w:r>
      <w:r>
        <w:rPr>
          <w:rFonts w:ascii="Nirmala UI" w:hAnsi="Nirmala UI" w:eastAsia="Nirmala UI" w:cs="Nirmala UI"/>
        </w:rPr>
        <w:t>ઝાડવાની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ઓળખાવ્યું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અગાઉ</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કરાયેલા</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પસાર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મૂકવાની</w:t>
      </w:r>
      <w:r>
        <w:rPr>
          <w:rFonts w:ascii="Times New Roman" w:hAnsi="Times New Roman" w:eastAsia="Times New Roman" w:cs="Times New Roman"/>
        </w:rPr>
        <w:t xml:space="preserve"> </w:t>
      </w:r>
      <w:r>
        <w:rPr>
          <w:rFonts w:ascii="Nirmala UI" w:hAnsi="Nirmala UI" w:eastAsia="Nirmala UI" w:cs="Nirmala UI"/>
        </w:rPr>
        <w:t>પ્રક્રિયામાં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લાઓદિકેયાનો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પિતૃઓના</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બતાવવામાં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તમામ</w:t>
      </w:r>
      <w:r>
        <w:rPr>
          <w:rFonts w:ascii="Times New Roman" w:hAnsi="Times New Roman" w:eastAsia="Times New Roman" w:cs="Times New Roman"/>
        </w:rPr>
        <w:t xml:space="preserve"> </w:t>
      </w:r>
      <w:r>
        <w:rPr>
          <w:rFonts w:ascii="Nirmala UI" w:hAnsi="Nirmala UI" w:eastAsia="Nirmala UI" w:cs="Nirmala UI"/>
        </w:rPr>
        <w:t>હકીકતોને</w:t>
      </w:r>
      <w:r>
        <w:rPr>
          <w:rFonts w:ascii="Times New Roman" w:hAnsi="Times New Roman" w:eastAsia="Times New Roman" w:cs="Times New Roman"/>
        </w:rPr>
        <w:t xml:space="preserve"> “</w:t>
      </w:r>
      <w:r>
        <w:rPr>
          <w:rFonts w:ascii="Nirmala UI" w:hAnsi="Nirmala UI" w:eastAsia="Nirmala UI" w:cs="Nirmala UI"/>
        </w:rPr>
        <w:t>આવનારા</w:t>
      </w:r>
      <w:r>
        <w:rPr>
          <w:rFonts w:ascii="Times New Roman" w:hAnsi="Times New Roman" w:eastAsia="Times New Roman" w:cs="Times New Roman"/>
        </w:rPr>
        <w:t xml:space="preserve"> </w:t>
      </w:r>
      <w:r>
        <w:rPr>
          <w:rFonts w:ascii="Nirmala UI" w:hAnsi="Nirmala UI" w:eastAsia="Nirmala UI" w:cs="Nirmala UI"/>
        </w:rPr>
        <w:t>કોપ</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પરિપ્રેક્ષ્યમાં</w:t>
      </w:r>
      <w:r>
        <w:rPr>
          <w:rFonts w:ascii="Times New Roman" w:hAnsi="Times New Roman" w:eastAsia="Times New Roman" w:cs="Times New Roman"/>
        </w:rPr>
        <w:t xml:space="preserve"> </w:t>
      </w:r>
      <w:r>
        <w:rPr>
          <w:rFonts w:ascii="Nirmala UI" w:hAnsi="Nirmala UI" w:eastAsia="Nirmala UI" w:cs="Nirmala UI"/>
        </w:rPr>
        <w:t>મૂક્યાં</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વ્યક્તિના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ક્યારેય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શૈક્ષણિક</w:t>
      </w:r>
      <w:r>
        <w:rPr>
          <w:rFonts w:ascii="Times New Roman" w:hAnsi="Times New Roman" w:eastAsia="Times New Roman" w:cs="Times New Roman"/>
        </w:rPr>
        <w:t xml:space="preserve"> </w:t>
      </w:r>
      <w:r>
        <w:rPr>
          <w:rFonts w:ascii="Nirmala UI" w:hAnsi="Nirmala UI" w:eastAsia="Nirmala UI" w:cs="Nirmala UI"/>
        </w:rPr>
        <w:t>પ્રણાલીમાં</w:t>
      </w:r>
      <w:r>
        <w:rPr>
          <w:rFonts w:ascii="Times New Roman" w:hAnsi="Times New Roman" w:eastAsia="Times New Roman" w:cs="Times New Roman"/>
        </w:rPr>
        <w:t xml:space="preserve"> </w:t>
      </w:r>
      <w:r>
        <w:rPr>
          <w:rFonts w:ascii="Nirmala UI" w:hAnsi="Nirmala UI" w:eastAsia="Nirmala UI" w:cs="Nirmala UI"/>
        </w:rPr>
        <w:t>શિક્ષણ</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પસાર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મૂકવામાં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«با یوحناى تعمیددهنده، خداوند براى خود رسولى برانگیخت تا راه خداوند را مهیا سازد. او مى‌بایست به جهان در توبیخ و محکوم ساختن گناه، شهادتى استوار و بى‌بیم دهد. لوقا، در اعلام مأموریت و کار او، مى‌گوید: «و او پیشِ روى وى، به روح و قوتِ الیاس، خواهد رفت تا دل‌هاى پدران را به سوى فرزندان بازگرداند، و نافرمانان را به حکمت عادلان، تا قومى مهیا براى خداوند آماده سازد» (لوقا ۱:۱۷).»</w:t>
      </w:r>
    </w:p>
    <w:p>
      <w:pPr>
        <w:pStyle w:val="ArticleScripture"/>
        <w:jc w:val="left"/>
      </w:pPr>
      <w:r>
        <w:rPr>
          <w:rFonts w:ascii="Microsoft YaHei" w:hAnsi="Microsoft YaHei" w:eastAsia="Microsoft YaHei" w:cs="Microsoft YaHei"/>
        </w:rPr>
        <w:t>「</w:t>
      </w:r>
      <w:r>
        <w:rPr>
          <w:rFonts w:ascii="MS Gothic" w:hAnsi="MS Gothic" w:eastAsia="MS Gothic" w:cs="MS Gothic"/>
        </w:rPr>
        <w:t>パリサイ</w:t>
      </w:r>
      <w:r>
        <w:rPr>
          <w:rFonts w:ascii="Microsoft YaHei" w:hAnsi="Microsoft YaHei" w:eastAsia="Microsoft YaHei" w:cs="Microsoft YaHei"/>
        </w:rPr>
        <w:t>人</w:t>
      </w:r>
      <w:r>
        <w:rPr>
          <w:rFonts w:ascii="MS Gothic" w:hAnsi="MS Gothic" w:eastAsia="MS Gothic" w:cs="MS Gothic"/>
        </w:rPr>
        <w:t>やサドカイ</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多</w:t>
      </w:r>
      <w:r>
        <w:rPr>
          <w:rFonts w:ascii="MS Gothic" w:hAnsi="MS Gothic" w:eastAsia="MS Gothic" w:cs="MS Gothic"/>
        </w:rPr>
        <w:t>くがヨハネのバプテスマに</w:t>
      </w:r>
      <w:r>
        <w:rPr>
          <w:rFonts w:ascii="Microsoft YaHei" w:hAnsi="Microsoft YaHei" w:eastAsia="Microsoft YaHei" w:cs="Microsoft YaHei"/>
        </w:rPr>
        <w:t>来</w:t>
      </w:r>
      <w:r>
        <w:rPr>
          <w:rFonts w:ascii="MS Gothic" w:hAnsi="MS Gothic" w:eastAsia="MS Gothic" w:cs="MS Gothic"/>
        </w:rPr>
        <w:t>たのを</w:t>
      </w:r>
      <w:r>
        <w:rPr>
          <w:rFonts w:ascii="Microsoft YaHei" w:hAnsi="Microsoft YaHei" w:eastAsia="Microsoft YaHei" w:cs="Microsoft YaHei"/>
        </w:rPr>
        <w:t>見</w:t>
      </w:r>
      <w:r>
        <w:rPr>
          <w:rFonts w:ascii="MS Gothic" w:hAnsi="MS Gothic" w:eastAsia="MS Gothic" w:cs="MS Gothic"/>
        </w:rPr>
        <w:t>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向</w:t>
      </w:r>
      <w:r>
        <w:rPr>
          <w:rFonts w:ascii="MS Gothic" w:hAnsi="MS Gothic" w:eastAsia="MS Gothic" w:cs="MS Gothic"/>
        </w:rPr>
        <w:t>かって</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まむしの</w:t>
      </w:r>
      <w:r>
        <w:rPr>
          <w:rFonts w:ascii="Microsoft YaHei" w:hAnsi="Microsoft YaHei" w:eastAsia="Microsoft YaHei" w:cs="Microsoft YaHei"/>
        </w:rPr>
        <w:t>子</w:t>
      </w:r>
      <w:r>
        <w:rPr>
          <w:rFonts w:ascii="MS Gothic" w:hAnsi="MS Gothic" w:eastAsia="MS Gothic" w:cs="MS Gothic"/>
        </w:rPr>
        <w:t>らよ</w:t>
      </w:r>
      <w:r>
        <w:rPr>
          <w:rFonts w:ascii="Microsoft YaHei" w:hAnsi="Microsoft YaHei" w:eastAsia="Microsoft YaHei" w:cs="Microsoft YaHei"/>
        </w:rPr>
        <w:t>、来</w:t>
      </w:r>
      <w:r>
        <w:rPr>
          <w:rFonts w:ascii="MS Gothic" w:hAnsi="MS Gothic" w:eastAsia="MS Gothic" w:cs="MS Gothic"/>
        </w:rPr>
        <w:t>たるべき</w:t>
      </w:r>
      <w:r>
        <w:rPr>
          <w:rFonts w:ascii="Microsoft YaHei" w:hAnsi="Microsoft YaHei" w:eastAsia="Microsoft YaHei" w:cs="Microsoft YaHei"/>
        </w:rPr>
        <w:t>御怒</w:t>
      </w:r>
      <w:r>
        <w:rPr>
          <w:rFonts w:ascii="MS Gothic" w:hAnsi="MS Gothic" w:eastAsia="MS Gothic" w:cs="MS Gothic"/>
        </w:rPr>
        <w:t>りを</w:t>
      </w:r>
      <w:r>
        <w:rPr>
          <w:rFonts w:ascii="Microsoft YaHei" w:hAnsi="Microsoft YaHei" w:eastAsia="Microsoft YaHei" w:cs="Microsoft YaHei"/>
        </w:rPr>
        <w:t>免</w:t>
      </w:r>
      <w:r>
        <w:rPr>
          <w:rFonts w:ascii="MS Gothic" w:hAnsi="MS Gothic" w:eastAsia="MS Gothic" w:cs="MS Gothic"/>
        </w:rPr>
        <w:t>れようとして</w:t>
      </w:r>
      <w:r>
        <w:rPr>
          <w:rFonts w:ascii="Microsoft YaHei" w:hAnsi="Microsoft YaHei" w:eastAsia="Microsoft YaHei" w:cs="Microsoft YaHei"/>
        </w:rPr>
        <w:t>逃</w:t>
      </w:r>
      <w:r>
        <w:rPr>
          <w:rFonts w:ascii="MS Gothic" w:hAnsi="MS Gothic" w:eastAsia="MS Gothic" w:cs="MS Gothic"/>
        </w:rPr>
        <w:t>げよと</w:t>
      </w:r>
      <w:r>
        <w:rPr>
          <w:rFonts w:ascii="Microsoft YaHei" w:hAnsi="Microsoft YaHei" w:eastAsia="Microsoft YaHei" w:cs="Microsoft YaHei"/>
        </w:rPr>
        <w:t>、</w:t>
      </w:r>
      <w:r>
        <w:rPr>
          <w:rFonts w:ascii="MS Gothic" w:hAnsi="MS Gothic" w:eastAsia="MS Gothic" w:cs="MS Gothic"/>
        </w:rPr>
        <w:t>だれがあなたがたに</w:t>
      </w:r>
      <w:r>
        <w:rPr>
          <w:rFonts w:ascii="Microsoft YaHei" w:hAnsi="Microsoft YaHei" w:eastAsia="Microsoft YaHei" w:cs="Microsoft YaHei"/>
        </w:rPr>
        <w:t>警告</w:t>
      </w:r>
      <w:r>
        <w:rPr>
          <w:rFonts w:ascii="MS Gothic" w:hAnsi="MS Gothic" w:eastAsia="MS Gothic" w:cs="MS Gothic"/>
        </w:rPr>
        <w:t>したのか</w:t>
      </w:r>
      <w:r>
        <w:rPr>
          <w:rFonts w:ascii="Times New Roman" w:hAnsi="Times New Roman" w:eastAsia="Times New Roman" w:cs="Times New Roman"/>
        </w:rPr>
        <w:t>.</w:t>
      </w:r>
      <w:r>
        <w:rPr>
          <w:rFonts w:ascii="MS Gothic" w:hAnsi="MS Gothic" w:eastAsia="MS Gothic" w:cs="MS Gothic"/>
        </w:rPr>
        <w:t>それなら</w:t>
      </w:r>
      <w:r>
        <w:rPr>
          <w:rFonts w:ascii="Microsoft YaHei" w:hAnsi="Microsoft YaHei" w:eastAsia="Microsoft YaHei" w:cs="Microsoft YaHei"/>
        </w:rPr>
        <w:t>、悔</w:t>
      </w:r>
      <w:r>
        <w:rPr>
          <w:rFonts w:ascii="MS Gothic" w:hAnsi="MS Gothic" w:eastAsia="MS Gothic" w:cs="MS Gothic"/>
        </w:rPr>
        <w:t>い</w:t>
      </w:r>
      <w:r>
        <w:rPr>
          <w:rFonts w:ascii="Microsoft YaHei" w:hAnsi="Microsoft YaHei" w:eastAsia="Microsoft YaHei" w:cs="Microsoft YaHei"/>
        </w:rPr>
        <w:t>改</w:t>
      </w:r>
      <w:r>
        <w:rPr>
          <w:rFonts w:ascii="MS Gothic" w:hAnsi="MS Gothic" w:eastAsia="MS Gothic" w:cs="MS Gothic"/>
        </w:rPr>
        <w:t>めにふさわしい</w:t>
      </w:r>
      <w:r>
        <w:rPr>
          <w:rFonts w:ascii="Microsoft YaHei" w:hAnsi="Microsoft YaHei" w:eastAsia="Microsoft YaHei" w:cs="Microsoft YaHei"/>
        </w:rPr>
        <w:t>実</w:t>
      </w:r>
      <w:r>
        <w:rPr>
          <w:rFonts w:ascii="MS Gothic" w:hAnsi="MS Gothic" w:eastAsia="MS Gothic" w:cs="MS Gothic"/>
        </w:rPr>
        <w:t>を</w:t>
      </w:r>
      <w:r>
        <w:rPr>
          <w:rFonts w:ascii="Microsoft YaHei" w:hAnsi="Microsoft YaHei" w:eastAsia="Microsoft YaHei" w:cs="Microsoft YaHei"/>
        </w:rPr>
        <w:t>結</w:t>
      </w:r>
      <w:r>
        <w:rPr>
          <w:rFonts w:ascii="MS Gothic" w:hAnsi="MS Gothic" w:eastAsia="MS Gothic" w:cs="MS Gothic"/>
        </w:rPr>
        <w:t>べ</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、心</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w:t>
      </w:r>
      <w:r>
        <w:rPr>
          <w:rFonts w:ascii="MS Gothic" w:hAnsi="MS Gothic" w:eastAsia="MS Gothic" w:cs="MS Gothic"/>
        </w:rPr>
        <w:t>われわれの</w:t>
      </w:r>
      <w:r>
        <w:rPr>
          <w:rFonts w:ascii="Microsoft YaHei" w:hAnsi="Microsoft YaHei" w:eastAsia="Microsoft YaHei" w:cs="Microsoft YaHei"/>
        </w:rPr>
        <w:t>父</w:t>
      </w:r>
      <w:r>
        <w:rPr>
          <w:rFonts w:ascii="MS Gothic" w:hAnsi="MS Gothic" w:eastAsia="MS Gothic" w:cs="MS Gothic"/>
        </w:rPr>
        <w:t>はアブラハムだ</w:t>
      </w:r>
      <w:r>
        <w:rPr>
          <w:rFonts w:ascii="Microsoft YaHei" w:hAnsi="Microsoft YaHei" w:eastAsia="Microsoft YaHei" w:cs="Microsoft YaHei"/>
        </w:rPr>
        <w:t>、</w:t>
      </w:r>
      <w:r>
        <w:rPr>
          <w:rFonts w:ascii="MS Gothic" w:hAnsi="MS Gothic" w:eastAsia="MS Gothic" w:cs="MS Gothic"/>
        </w:rPr>
        <w:t>などと</w:t>
      </w:r>
      <w:r>
        <w:rPr>
          <w:rFonts w:ascii="Microsoft YaHei" w:hAnsi="Microsoft YaHei" w:eastAsia="Microsoft YaHei" w:cs="Microsoft YaHei"/>
        </w:rPr>
        <w:t>言</w:t>
      </w:r>
      <w:r>
        <w:rPr>
          <w:rFonts w:ascii="MS Gothic" w:hAnsi="MS Gothic" w:eastAsia="MS Gothic" w:cs="MS Gothic"/>
        </w:rPr>
        <w:t>い</w:t>
      </w:r>
      <w:r>
        <w:rPr>
          <w:rFonts w:ascii="Microsoft YaHei" w:hAnsi="Microsoft YaHei" w:eastAsia="Microsoft YaHei" w:cs="Microsoft YaHei"/>
        </w:rPr>
        <w:t>始</w:t>
      </w:r>
      <w:r>
        <w:rPr>
          <w:rFonts w:ascii="MS Gothic" w:hAnsi="MS Gothic" w:eastAsia="MS Gothic" w:cs="MS Gothic"/>
        </w:rPr>
        <w:t>めてはならない</w:t>
      </w:r>
      <w:r>
        <w:rPr>
          <w:rFonts w:ascii="Times New Roman" w:hAnsi="Times New Roman" w:eastAsia="Times New Roman" w:cs="Times New Roman"/>
        </w:rPr>
        <w:t>.</w:t>
      </w:r>
      <w:r>
        <w:rPr>
          <w:rFonts w:ascii="MS Gothic" w:hAnsi="MS Gothic" w:eastAsia="MS Gothic" w:cs="MS Gothic"/>
        </w:rPr>
        <w:t>あなたがたに</w:t>
      </w:r>
      <w:r>
        <w:rPr>
          <w:rFonts w:ascii="Microsoft YaHei" w:hAnsi="Microsoft YaHei" w:eastAsia="Microsoft YaHei" w:cs="Microsoft YaHei"/>
        </w:rPr>
        <w:t>言</w:t>
      </w:r>
      <w:r>
        <w:rPr>
          <w:rFonts w:ascii="MS Gothic" w:hAnsi="MS Gothic" w:eastAsia="MS Gothic" w:cs="MS Gothic"/>
        </w:rPr>
        <w:t>うが</w:t>
      </w:r>
      <w:r>
        <w:rPr>
          <w:rFonts w:ascii="Microsoft YaHei" w:hAnsi="Microsoft YaHei" w:eastAsia="Microsoft YaHei" w:cs="Microsoft YaHei"/>
        </w:rPr>
        <w:t>、神</w:t>
      </w:r>
      <w:r>
        <w:rPr>
          <w:rFonts w:ascii="MS Gothic" w:hAnsi="MS Gothic" w:eastAsia="MS Gothic" w:cs="MS Gothic"/>
        </w:rPr>
        <w:t>はこれらの</w:t>
      </w:r>
      <w:r>
        <w:rPr>
          <w:rFonts w:ascii="Microsoft YaHei" w:hAnsi="Microsoft YaHei" w:eastAsia="Microsoft YaHei" w:cs="Microsoft YaHei"/>
        </w:rPr>
        <w:t>石</w:t>
      </w:r>
      <w:r>
        <w:rPr>
          <w:rFonts w:ascii="MS Gothic" w:hAnsi="MS Gothic" w:eastAsia="MS Gothic" w:cs="MS Gothic"/>
        </w:rPr>
        <w:t>からでも</w:t>
      </w:r>
      <w:r>
        <w:rPr>
          <w:rFonts w:ascii="Microsoft YaHei" w:hAnsi="Microsoft YaHei" w:eastAsia="Microsoft YaHei" w:cs="Microsoft YaHei"/>
        </w:rPr>
        <w:t>、</w:t>
      </w:r>
      <w:r>
        <w:rPr>
          <w:rFonts w:ascii="MS Gothic" w:hAnsi="MS Gothic" w:eastAsia="MS Gothic" w:cs="MS Gothic"/>
        </w:rPr>
        <w:t>アブラハムの</w:t>
      </w:r>
      <w:r>
        <w:rPr>
          <w:rFonts w:ascii="Microsoft YaHei" w:hAnsi="Microsoft YaHei" w:eastAsia="Microsoft YaHei" w:cs="Microsoft YaHei"/>
        </w:rPr>
        <w:t>子</w:t>
      </w:r>
      <w:r>
        <w:rPr>
          <w:rFonts w:ascii="MS Gothic" w:hAnsi="MS Gothic" w:eastAsia="MS Gothic" w:cs="MS Gothic"/>
        </w:rPr>
        <w:t>らを</w:t>
      </w:r>
      <w:r>
        <w:rPr>
          <w:rFonts w:ascii="Microsoft YaHei" w:hAnsi="Microsoft YaHei" w:eastAsia="Microsoft YaHei" w:cs="Microsoft YaHei"/>
        </w:rPr>
        <w:t>起</w:t>
      </w:r>
      <w:r>
        <w:rPr>
          <w:rFonts w:ascii="MS Gothic" w:hAnsi="MS Gothic" w:eastAsia="MS Gothic" w:cs="MS Gothic"/>
        </w:rPr>
        <w:t>こすことがおできになる</w:t>
      </w:r>
      <w:r>
        <w:rPr>
          <w:rFonts w:ascii="Times New Roman" w:hAnsi="Times New Roman" w:eastAsia="Times New Roman" w:cs="Times New Roman"/>
        </w:rPr>
        <w:t>.</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w:t>
      </w:r>
      <w:r>
        <w:rPr>
          <w:rFonts w:ascii="MS Gothic" w:hAnsi="MS Gothic" w:eastAsia="MS Gothic" w:cs="MS Gothic"/>
        </w:rPr>
        <w:t>おのもおの</w:t>
      </w:r>
      <w:r>
        <w:rPr>
          <w:rFonts w:ascii="Microsoft YaHei" w:hAnsi="Microsoft YaHei" w:eastAsia="Microsoft YaHei" w:cs="Microsoft YaHei"/>
        </w:rPr>
        <w:t>木</w:t>
      </w:r>
      <w:r>
        <w:rPr>
          <w:rFonts w:ascii="MS Gothic" w:hAnsi="MS Gothic" w:eastAsia="MS Gothic" w:cs="MS Gothic"/>
        </w:rPr>
        <w:t>の</w:t>
      </w:r>
      <w:r>
        <w:rPr>
          <w:rFonts w:ascii="Microsoft YaHei" w:hAnsi="Microsoft YaHei" w:eastAsia="Microsoft YaHei" w:cs="Microsoft YaHei"/>
        </w:rPr>
        <w:t>根</w:t>
      </w:r>
      <w:r>
        <w:rPr>
          <w:rFonts w:ascii="MS Gothic" w:hAnsi="MS Gothic" w:eastAsia="MS Gothic" w:cs="MS Gothic"/>
        </w:rPr>
        <w:t>もとに</w:t>
      </w:r>
      <w:r>
        <w:rPr>
          <w:rFonts w:ascii="Microsoft YaHei" w:hAnsi="Microsoft YaHei" w:eastAsia="Microsoft YaHei" w:cs="Microsoft YaHei"/>
        </w:rPr>
        <w:t>斧</w:t>
      </w:r>
      <w:r>
        <w:rPr>
          <w:rFonts w:ascii="MS Gothic" w:hAnsi="MS Gothic" w:eastAsia="MS Gothic" w:cs="MS Gothic"/>
        </w:rPr>
        <w:t>が</w:t>
      </w:r>
      <w:r>
        <w:rPr>
          <w:rFonts w:ascii="Microsoft YaHei" w:hAnsi="Microsoft YaHei" w:eastAsia="Microsoft YaHei" w:cs="Microsoft YaHei"/>
        </w:rPr>
        <w:t>置</w:t>
      </w:r>
      <w:r>
        <w:rPr>
          <w:rFonts w:ascii="MS Gothic" w:hAnsi="MS Gothic" w:eastAsia="MS Gothic" w:cs="MS Gothic"/>
        </w:rPr>
        <w:t>かれている</w:t>
      </w:r>
      <w:r>
        <w:rPr>
          <w:rFonts w:ascii="Times New Roman" w:hAnsi="Times New Roman" w:eastAsia="Times New Roman" w:cs="Times New Roman"/>
        </w:rPr>
        <w:t>.</w:t>
      </w:r>
      <w:r>
        <w:rPr>
          <w:rFonts w:ascii="MS Gothic" w:hAnsi="MS Gothic" w:eastAsia="MS Gothic" w:cs="MS Gothic"/>
        </w:rPr>
        <w:t>それゆえ</w:t>
      </w:r>
      <w:r>
        <w:rPr>
          <w:rFonts w:ascii="Microsoft YaHei" w:hAnsi="Microsoft YaHei" w:eastAsia="Microsoft YaHei" w:cs="Microsoft YaHei"/>
        </w:rPr>
        <w:t>、良</w:t>
      </w:r>
      <w:r>
        <w:rPr>
          <w:rFonts w:ascii="MS Gothic" w:hAnsi="MS Gothic" w:eastAsia="MS Gothic" w:cs="MS Gothic"/>
        </w:rPr>
        <w:t>い</w:t>
      </w:r>
      <w:r>
        <w:rPr>
          <w:rFonts w:ascii="Microsoft YaHei" w:hAnsi="Microsoft YaHei" w:eastAsia="Microsoft YaHei" w:cs="Microsoft YaHei"/>
        </w:rPr>
        <w:t>実</w:t>
      </w:r>
      <w:r>
        <w:rPr>
          <w:rFonts w:ascii="MS Gothic" w:hAnsi="MS Gothic" w:eastAsia="MS Gothic" w:cs="MS Gothic"/>
        </w:rPr>
        <w:t>を</w:t>
      </w:r>
      <w:r>
        <w:rPr>
          <w:rFonts w:ascii="Microsoft YaHei" w:hAnsi="Microsoft YaHei" w:eastAsia="Microsoft YaHei" w:cs="Microsoft YaHei"/>
        </w:rPr>
        <w:t>結</w:t>
      </w:r>
      <w:r>
        <w:rPr>
          <w:rFonts w:ascii="MS Gothic" w:hAnsi="MS Gothic" w:eastAsia="MS Gothic" w:cs="MS Gothic"/>
        </w:rPr>
        <w:t>ばない</w:t>
      </w:r>
      <w:r>
        <w:rPr>
          <w:rFonts w:ascii="Microsoft YaHei" w:hAnsi="Microsoft YaHei" w:eastAsia="Microsoft YaHei" w:cs="Microsoft YaHei"/>
        </w:rPr>
        <w:t>木</w:t>
      </w:r>
      <w:r>
        <w:rPr>
          <w:rFonts w:ascii="MS Gothic" w:hAnsi="MS Gothic" w:eastAsia="MS Gothic" w:cs="MS Gothic"/>
        </w:rPr>
        <w:t>はみな</w:t>
      </w:r>
      <w:r>
        <w:rPr>
          <w:rFonts w:ascii="Microsoft YaHei" w:hAnsi="Microsoft YaHei" w:eastAsia="Microsoft YaHei" w:cs="Microsoft YaHei"/>
        </w:rPr>
        <w:t>切</w:t>
      </w:r>
      <w:r>
        <w:rPr>
          <w:rFonts w:ascii="MS Gothic" w:hAnsi="MS Gothic" w:eastAsia="MS Gothic" w:cs="MS Gothic"/>
        </w:rPr>
        <w:t>り</w:t>
      </w:r>
      <w:r>
        <w:rPr>
          <w:rFonts w:ascii="Microsoft YaHei" w:hAnsi="Microsoft YaHei" w:eastAsia="Microsoft YaHei" w:cs="Microsoft YaHei"/>
        </w:rPr>
        <w:t>倒</w:t>
      </w:r>
      <w:r>
        <w:rPr>
          <w:rFonts w:ascii="MS Gothic" w:hAnsi="MS Gothic" w:eastAsia="MS Gothic" w:cs="MS Gothic"/>
        </w:rPr>
        <w:t>されて</w:t>
      </w:r>
      <w:r>
        <w:rPr>
          <w:rFonts w:ascii="Microsoft YaHei" w:hAnsi="Microsoft YaHei" w:eastAsia="Microsoft YaHei" w:cs="Microsoft YaHei"/>
        </w:rPr>
        <w:t>、火</w:t>
      </w:r>
      <w:r>
        <w:rPr>
          <w:rFonts w:ascii="MS Gothic" w:hAnsi="MS Gothic" w:eastAsia="MS Gothic" w:cs="MS Gothic"/>
        </w:rPr>
        <w:t>に</w:t>
      </w:r>
      <w:r>
        <w:rPr>
          <w:rFonts w:ascii="Microsoft YaHei" w:hAnsi="Microsoft YaHei" w:eastAsia="Microsoft YaHei" w:cs="Microsoft YaHei"/>
        </w:rPr>
        <w:t>投</w:t>
      </w:r>
      <w:r>
        <w:rPr>
          <w:rFonts w:ascii="MS Gothic" w:hAnsi="MS Gothic" w:eastAsia="MS Gothic" w:cs="MS Gothic"/>
        </w:rPr>
        <w:t>げ</w:t>
      </w:r>
      <w:r>
        <w:rPr>
          <w:rFonts w:ascii="Microsoft YaHei" w:hAnsi="Microsoft YaHei" w:eastAsia="Microsoft YaHei" w:cs="Microsoft YaHei"/>
        </w:rPr>
        <w:t>込</w:t>
      </w:r>
      <w:r>
        <w:rPr>
          <w:rFonts w:ascii="MS Gothic" w:hAnsi="MS Gothic" w:eastAsia="MS Gothic" w:cs="MS Gothic"/>
        </w:rPr>
        <w:t>まれる</w:t>
      </w:r>
      <w:r>
        <w:rPr>
          <w:rFonts w:ascii="Times New Roman" w:hAnsi="Times New Roman" w:eastAsia="Times New Roman" w:cs="Times New Roman"/>
        </w:rPr>
        <w:t>.</w:t>
      </w:r>
      <w:r>
        <w:rPr>
          <w:rFonts w:ascii="MS Gothic" w:hAnsi="MS Gothic" w:eastAsia="MS Gothic" w:cs="MS Gothic"/>
        </w:rPr>
        <w:t>わたしは</w:t>
      </w:r>
      <w:r>
        <w:rPr>
          <w:rFonts w:ascii="Microsoft YaHei" w:hAnsi="Microsoft YaHei" w:eastAsia="Microsoft YaHei" w:cs="Microsoft YaHei"/>
        </w:rPr>
        <w:t>悔</w:t>
      </w:r>
      <w:r>
        <w:rPr>
          <w:rFonts w:ascii="MS Gothic" w:hAnsi="MS Gothic" w:eastAsia="MS Gothic" w:cs="MS Gothic"/>
        </w:rPr>
        <w:t>い</w:t>
      </w:r>
      <w:r>
        <w:rPr>
          <w:rFonts w:ascii="Microsoft YaHei" w:hAnsi="Microsoft YaHei" w:eastAsia="Microsoft YaHei" w:cs="Microsoft YaHei"/>
        </w:rPr>
        <w:t>改</w:t>
      </w:r>
      <w:r>
        <w:rPr>
          <w:rFonts w:ascii="MS Gothic" w:hAnsi="MS Gothic" w:eastAsia="MS Gothic" w:cs="MS Gothic"/>
        </w:rPr>
        <w:t>めへと</w:t>
      </w:r>
      <w:r>
        <w:rPr>
          <w:rFonts w:ascii="Microsoft YaHei" w:hAnsi="Microsoft YaHei" w:eastAsia="Microsoft YaHei" w:cs="Microsoft YaHei"/>
        </w:rPr>
        <w:t>導</w:t>
      </w:r>
      <w:r>
        <w:rPr>
          <w:rFonts w:ascii="MS Gothic" w:hAnsi="MS Gothic" w:eastAsia="MS Gothic" w:cs="MS Gothic"/>
        </w:rPr>
        <w:t>くために</w:t>
      </w:r>
      <w:r>
        <w:rPr>
          <w:rFonts w:ascii="Microsoft YaHei" w:hAnsi="Microsoft YaHei" w:eastAsia="Microsoft YaHei" w:cs="Microsoft YaHei"/>
        </w:rPr>
        <w:t>、水</w:t>
      </w:r>
      <w:r>
        <w:rPr>
          <w:rFonts w:ascii="MS Gothic" w:hAnsi="MS Gothic" w:eastAsia="MS Gothic" w:cs="MS Gothic"/>
        </w:rPr>
        <w:t>であなたがたにバプテスマを</w:t>
      </w:r>
      <w:r>
        <w:rPr>
          <w:rFonts w:ascii="Microsoft YaHei" w:hAnsi="Microsoft YaHei" w:eastAsia="Microsoft YaHei" w:cs="Microsoft YaHei"/>
        </w:rPr>
        <w:t>授</w:t>
      </w:r>
      <w:r>
        <w:rPr>
          <w:rFonts w:ascii="MS Gothic" w:hAnsi="MS Gothic" w:eastAsia="MS Gothic" w:cs="MS Gothic"/>
        </w:rPr>
        <w:t>ける</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わたしのあとに</w:t>
      </w:r>
      <w:r>
        <w:rPr>
          <w:rFonts w:ascii="Microsoft YaHei" w:hAnsi="Microsoft YaHei" w:eastAsia="Microsoft YaHei" w:cs="Microsoft YaHei"/>
        </w:rPr>
        <w:t>来</w:t>
      </w:r>
      <w:r>
        <w:rPr>
          <w:rFonts w:ascii="MS Gothic" w:hAnsi="MS Gothic" w:eastAsia="MS Gothic" w:cs="MS Gothic"/>
        </w:rPr>
        <w:t>られる</w:t>
      </w:r>
      <w:r>
        <w:rPr>
          <w:rFonts w:ascii="Microsoft YaHei" w:hAnsi="Microsoft YaHei" w:eastAsia="Microsoft YaHei" w:cs="Microsoft YaHei"/>
        </w:rPr>
        <w:t>方</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わたしよりも</w:t>
      </w:r>
      <w:r>
        <w:rPr>
          <w:rFonts w:ascii="Microsoft YaHei" w:hAnsi="Microsoft YaHei" w:eastAsia="Microsoft YaHei" w:cs="Microsoft YaHei"/>
        </w:rPr>
        <w:t>力</w:t>
      </w:r>
      <w:r>
        <w:rPr>
          <w:rFonts w:ascii="MS Gothic" w:hAnsi="MS Gothic" w:eastAsia="MS Gothic" w:cs="MS Gothic"/>
        </w:rPr>
        <w:t>ある</w:t>
      </w:r>
      <w:r>
        <w:rPr>
          <w:rFonts w:ascii="Microsoft YaHei" w:hAnsi="Microsoft YaHei" w:eastAsia="Microsoft YaHei" w:cs="Microsoft YaHei"/>
        </w:rPr>
        <w:t>方</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わたしはその</w:t>
      </w:r>
      <w:r>
        <w:rPr>
          <w:rFonts w:ascii="Microsoft YaHei" w:hAnsi="Microsoft YaHei" w:eastAsia="Microsoft YaHei" w:cs="Microsoft YaHei"/>
        </w:rPr>
        <w:t>方</w:t>
      </w:r>
      <w:r>
        <w:rPr>
          <w:rFonts w:ascii="MS Gothic" w:hAnsi="MS Gothic" w:eastAsia="MS Gothic" w:cs="MS Gothic"/>
        </w:rPr>
        <w:t>の</w:t>
      </w:r>
      <w:r>
        <w:rPr>
          <w:rFonts w:ascii="Microsoft YaHei" w:hAnsi="Microsoft YaHei" w:eastAsia="Microsoft YaHei" w:cs="Microsoft YaHei"/>
        </w:rPr>
        <w:t>履</w:t>
      </w:r>
      <w:r>
        <w:rPr>
          <w:rFonts w:ascii="MS Gothic" w:hAnsi="MS Gothic" w:eastAsia="MS Gothic" w:cs="MS Gothic"/>
        </w:rPr>
        <w:t>き</w:t>
      </w:r>
      <w:r>
        <w:rPr>
          <w:rFonts w:ascii="Microsoft YaHei" w:hAnsi="Microsoft YaHei" w:eastAsia="Microsoft YaHei" w:cs="Microsoft YaHei"/>
        </w:rPr>
        <w:t>物</w:t>
      </w:r>
      <w:r>
        <w:rPr>
          <w:rFonts w:ascii="MS Gothic" w:hAnsi="MS Gothic" w:eastAsia="MS Gothic" w:cs="MS Gothic"/>
        </w:rPr>
        <w:t>をお</w:t>
      </w:r>
      <w:r>
        <w:rPr>
          <w:rFonts w:ascii="Microsoft YaHei" w:hAnsi="Microsoft YaHei" w:eastAsia="Microsoft YaHei" w:cs="Microsoft YaHei"/>
        </w:rPr>
        <w:t>持</w:t>
      </w:r>
      <w:r>
        <w:rPr>
          <w:rFonts w:ascii="MS Gothic" w:hAnsi="MS Gothic" w:eastAsia="MS Gothic" w:cs="MS Gothic"/>
        </w:rPr>
        <w:t>ちするにも</w:t>
      </w:r>
      <w:r>
        <w:rPr>
          <w:rFonts w:ascii="Microsoft YaHei" w:hAnsi="Microsoft YaHei" w:eastAsia="Microsoft YaHei" w:cs="Microsoft YaHei"/>
        </w:rPr>
        <w:t>値</w:t>
      </w:r>
      <w:r>
        <w:rPr>
          <w:rFonts w:ascii="MS Gothic" w:hAnsi="MS Gothic" w:eastAsia="MS Gothic" w:cs="MS Gothic"/>
        </w:rPr>
        <w:t>しない</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方</w:t>
      </w:r>
      <w:r>
        <w:rPr>
          <w:rFonts w:ascii="MS Gothic" w:hAnsi="MS Gothic" w:eastAsia="MS Gothic" w:cs="MS Gothic"/>
        </w:rPr>
        <w:t>は</w:t>
      </w:r>
      <w:r>
        <w:rPr>
          <w:rFonts w:ascii="Microsoft YaHei" w:hAnsi="Microsoft YaHei" w:eastAsia="Microsoft YaHei" w:cs="Microsoft YaHei"/>
        </w:rPr>
        <w:t>、聖霊</w:t>
      </w:r>
      <w:r>
        <w:rPr>
          <w:rFonts w:ascii="MS Gothic" w:hAnsi="MS Gothic" w:eastAsia="MS Gothic" w:cs="MS Gothic"/>
        </w:rPr>
        <w:t>と</w:t>
      </w:r>
      <w:r>
        <w:rPr>
          <w:rFonts w:ascii="Microsoft YaHei" w:hAnsi="Microsoft YaHei" w:eastAsia="Microsoft YaHei" w:cs="Microsoft YaHei"/>
        </w:rPr>
        <w:t>火</w:t>
      </w:r>
      <w:r>
        <w:rPr>
          <w:rFonts w:ascii="MS Gothic" w:hAnsi="MS Gothic" w:eastAsia="MS Gothic" w:cs="MS Gothic"/>
        </w:rPr>
        <w:t>によって</w:t>
      </w:r>
      <w:r>
        <w:rPr>
          <w:rFonts w:ascii="Microsoft YaHei" w:hAnsi="Microsoft YaHei" w:eastAsia="Microsoft YaHei" w:cs="Microsoft YaHei"/>
        </w:rPr>
        <w:t>、</w:t>
      </w:r>
      <w:r>
        <w:rPr>
          <w:rFonts w:ascii="MS Gothic" w:hAnsi="MS Gothic" w:eastAsia="MS Gothic" w:cs="MS Gothic"/>
        </w:rPr>
        <w:t>あなたがたにバプテスマをお</w:t>
      </w:r>
      <w:r>
        <w:rPr>
          <w:rFonts w:ascii="Microsoft YaHei" w:hAnsi="Microsoft YaHei" w:eastAsia="Microsoft YaHei" w:cs="Microsoft YaHei"/>
        </w:rPr>
        <w:t>授</w:t>
      </w:r>
      <w:r>
        <w:rPr>
          <w:rFonts w:ascii="MS Gothic" w:hAnsi="MS Gothic" w:eastAsia="MS Gothic" w:cs="MS Gothic"/>
        </w:rPr>
        <w:t>けになる</w:t>
      </w:r>
      <w:r>
        <w:rPr>
          <w:rFonts w:ascii="Times New Roman" w:hAnsi="Times New Roman" w:eastAsia="Times New Roman" w:cs="Times New Roman"/>
        </w:rPr>
        <w:t>.</w:t>
      </w:r>
      <w:r>
        <w:rPr>
          <w:rFonts w:ascii="Microsoft YaHei" w:hAnsi="Microsoft YaHei" w:eastAsia="Microsoft YaHei" w:cs="Microsoft YaHei"/>
        </w:rPr>
        <w:t>手</w:t>
      </w:r>
      <w:r>
        <w:rPr>
          <w:rFonts w:ascii="MS Gothic" w:hAnsi="MS Gothic" w:eastAsia="MS Gothic" w:cs="MS Gothic"/>
        </w:rPr>
        <w:t>には</w:t>
      </w:r>
      <w:r>
        <w:rPr>
          <w:rFonts w:ascii="Microsoft YaHei" w:hAnsi="Microsoft YaHei" w:eastAsia="Microsoft YaHei" w:cs="Microsoft YaHei"/>
        </w:rPr>
        <w:t>箕</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って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脱穀場</w:t>
      </w:r>
      <w:r>
        <w:rPr>
          <w:rFonts w:ascii="MS Gothic" w:hAnsi="MS Gothic" w:eastAsia="MS Gothic" w:cs="MS Gothic"/>
        </w:rPr>
        <w:t>をことごとくきよめ</w:t>
      </w:r>
      <w:r>
        <w:rPr>
          <w:rFonts w:ascii="Microsoft YaHei" w:hAnsi="Microsoft YaHei" w:eastAsia="Microsoft YaHei" w:cs="Microsoft YaHei"/>
        </w:rPr>
        <w:t>、</w:t>
      </w:r>
      <w:r>
        <w:rPr>
          <w:rFonts w:ascii="MS Gothic" w:hAnsi="MS Gothic" w:eastAsia="MS Gothic" w:cs="MS Gothic"/>
        </w:rPr>
        <w:t>ご</w:t>
      </w:r>
      <w:r>
        <w:rPr>
          <w:rFonts w:ascii="Microsoft YaHei" w:hAnsi="Microsoft YaHei" w:eastAsia="Microsoft YaHei" w:cs="Microsoft YaHei"/>
        </w:rPr>
        <w:t>自分</w:t>
      </w:r>
      <w:r>
        <w:rPr>
          <w:rFonts w:ascii="MS Gothic" w:hAnsi="MS Gothic" w:eastAsia="MS Gothic" w:cs="MS Gothic"/>
        </w:rPr>
        <w:t>の</w:t>
      </w:r>
      <w:r>
        <w:rPr>
          <w:rFonts w:ascii="Microsoft YaHei" w:hAnsi="Microsoft YaHei" w:eastAsia="Microsoft YaHei" w:cs="Microsoft YaHei"/>
        </w:rPr>
        <w:t>麦</w:t>
      </w:r>
      <w:r>
        <w:rPr>
          <w:rFonts w:ascii="MS Gothic" w:hAnsi="MS Gothic" w:eastAsia="MS Gothic" w:cs="MS Gothic"/>
        </w:rPr>
        <w:t>を</w:t>
      </w:r>
      <w:r>
        <w:rPr>
          <w:rFonts w:ascii="Microsoft YaHei" w:hAnsi="Microsoft YaHei" w:eastAsia="Microsoft YaHei" w:cs="Microsoft YaHei"/>
        </w:rPr>
        <w:t>倉</w:t>
      </w:r>
      <w:r>
        <w:rPr>
          <w:rFonts w:ascii="MS Gothic" w:hAnsi="MS Gothic" w:eastAsia="MS Gothic" w:cs="MS Gothic"/>
        </w:rPr>
        <w:t>に</w:t>
      </w:r>
      <w:r>
        <w:rPr>
          <w:rFonts w:ascii="Microsoft YaHei" w:hAnsi="Microsoft YaHei" w:eastAsia="Microsoft YaHei" w:cs="Microsoft YaHei"/>
        </w:rPr>
        <w:t>納</w:t>
      </w:r>
      <w:r>
        <w:rPr>
          <w:rFonts w:ascii="MS Gothic" w:hAnsi="MS Gothic" w:eastAsia="MS Gothic" w:cs="MS Gothic"/>
        </w:rPr>
        <w:t>められるが</w:t>
      </w:r>
      <w:r>
        <w:rPr>
          <w:rFonts w:ascii="Microsoft YaHei" w:hAnsi="Microsoft YaHei" w:eastAsia="Microsoft YaHei" w:cs="Microsoft YaHei"/>
        </w:rPr>
        <w:t>、殻</w:t>
      </w:r>
      <w:r>
        <w:rPr>
          <w:rFonts w:ascii="MS Gothic" w:hAnsi="MS Gothic" w:eastAsia="MS Gothic" w:cs="MS Gothic"/>
        </w:rPr>
        <w:t>は</w:t>
      </w:r>
      <w:r>
        <w:rPr>
          <w:rFonts w:ascii="Microsoft YaHei" w:hAnsi="Microsoft YaHei" w:eastAsia="Microsoft YaHei" w:cs="Microsoft YaHei"/>
        </w:rPr>
        <w:t>消</w:t>
      </w:r>
      <w:r>
        <w:rPr>
          <w:rFonts w:ascii="MS Gothic" w:hAnsi="MS Gothic" w:eastAsia="MS Gothic" w:cs="MS Gothic"/>
        </w:rPr>
        <w:t>えることのない</w:t>
      </w:r>
      <w:r>
        <w:rPr>
          <w:rFonts w:ascii="Microsoft YaHei" w:hAnsi="Microsoft YaHei" w:eastAsia="Microsoft YaHei" w:cs="Microsoft YaHei"/>
        </w:rPr>
        <w:t>火</w:t>
      </w:r>
      <w:r>
        <w:rPr>
          <w:rFonts w:ascii="MS Gothic" w:hAnsi="MS Gothic" w:eastAsia="MS Gothic" w:cs="MS Gothic"/>
        </w:rPr>
        <w:t>で</w:t>
      </w:r>
      <w:r>
        <w:rPr>
          <w:rFonts w:ascii="Microsoft YaHei" w:hAnsi="Microsoft YaHei" w:eastAsia="Microsoft YaHei" w:cs="Microsoft YaHei"/>
        </w:rPr>
        <w:t>焼</w:t>
      </w:r>
      <w:r>
        <w:rPr>
          <w:rFonts w:ascii="MS Gothic" w:hAnsi="MS Gothic" w:eastAsia="MS Gothic" w:cs="MS Gothic"/>
        </w:rPr>
        <w:t>き</w:t>
      </w:r>
      <w:r>
        <w:rPr>
          <w:rFonts w:ascii="Microsoft YaHei" w:hAnsi="Microsoft YaHei" w:eastAsia="Microsoft YaHei" w:cs="Microsoft YaHei"/>
        </w:rPr>
        <w:t>尽</w:t>
      </w:r>
      <w:r>
        <w:rPr>
          <w:rFonts w:ascii="MS Gothic" w:hAnsi="MS Gothic" w:eastAsia="MS Gothic" w:cs="MS Gothic"/>
        </w:rPr>
        <w:t>くされる</w:t>
      </w:r>
      <w:r>
        <w:rPr>
          <w:rFonts w:ascii="Microsoft YaHei" w:hAnsi="Microsoft YaHei" w:eastAsia="Microsoft YaHei" w:cs="Microsoft YaHei"/>
        </w:rPr>
        <w:t>』」（</w:t>
      </w:r>
      <w:r>
        <w:rPr>
          <w:rFonts w:ascii="Times New Roman" w:hAnsi="Times New Roman" w:eastAsia="Times New Roman" w:cs="Times New Roman"/>
        </w:rPr>
        <w:t>Matthew 3:7–12</w:t>
      </w:r>
      <w:r>
        <w:rPr>
          <w:rFonts w:ascii="Microsoft YaHei" w:hAnsi="Microsoft YaHei" w:eastAsia="Microsoft YaHei" w:cs="Microsoft YaHe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„Die Stimme Johannes’ erhob sich wie eine Posaune. Sein Auftrag lautete: ‚Verkünde Meinem Volk seine Übertretung und dem Hause Jakob seine Sünden‘ (Jesaja 58,1). Er hatte keine menschliche Gelehrsamkeit erlangt. Gott und die Natur waren seine Lehrer gewesen. Doch es wurde einer benötigt, um den Weg vor Christus zu bereiten, der kühn genug war, seine Stimme wie die Propheten vor alters hören zu lassen und die entartete Nation zur Buße aufzurufen.“ Selected Messages, Buch 2, 147, 148.</w:t>
      </w:r>
    </w:p>
    <w:p>
      <w:pPr>
        <w:pStyle w:val="ArticleBody"/>
        <w:jc w:val="left"/>
      </w:pPr>
      <w:r>
        <w:rPr>
          <w:rFonts w:ascii="Times New Roman" w:hAnsi="Times New Roman" w:eastAsia="Times New Roman" w:cs="Times New Roman"/>
        </w:rPr>
        <w:t>William Miller fu il secondo messaggero che preparò la via al Messaggero del Patto, e la persona e l’opera di Miller erano state prefigurate da Giovanni Battista.</w:t>
      </w:r>
    </w:p>
    <w:p>
      <w:pPr>
        <w:pStyle w:val="ArticleScripture"/>
        <w:jc w:val="left"/>
      </w:pPr>
      <w:r>
        <w:rPr>
          <w:rFonts w:ascii="Times New Roman" w:hAnsi="Times New Roman" w:eastAsia="Times New Roman" w:cs="Times New Roman"/>
        </w:rPr>
        <w:t>“Az emberek ezrei jutottak arra, hogy elfogadják a William Miller által hirdetett igazságot, és Isten szolgái támadtak Illés lelkületével és erejével, hogy hirdessék az üzenetet. Miként János, Jézus előhírnöke, azok, akik ezt az ünnepélyes üzenetet hirdették, kényszert éreztek arra, hogy a fejszét a fa gyökerére vessék, és felszólítsák az embereket, hogy a megtéréshez méltó gyümölcsöket teremjenek.” Korai írások, 233.</w:t>
      </w:r>
    </w:p>
    <w:p>
      <w:pPr>
        <w:pStyle w:val="ArticleBody"/>
        <w:jc w:val="left"/>
      </w:pPr>
      <w:r>
        <w:rPr>
          <w:rFonts w:ascii="Times New Roman" w:hAnsi="Times New Roman" w:eastAsia="Times New Roman" w:cs="Times New Roman"/>
        </w:rPr>
        <w:t>Ang mga mapag-alinlangang Judio noong panahon ni Cristo ay naakay upang magtiwala sa isang maling pahayag tungkol sa Mesiyas. Ang “Mesiyas” ay salitang Hebreo para sa salitang Griyego na “Cristo,” na ang kahulugan ay “pinahiran.”</w:t>
      </w:r>
    </w:p>
    <w:p>
      <w:pPr>
        <w:pStyle w:val="ArticleScripture"/>
        <w:jc w:val="left"/>
      </w:pPr>
      <w:r>
        <w:rPr>
          <w:rFonts w:ascii="Times New Roman" w:hAnsi="Times New Roman" w:eastAsia="Times New Roman" w:cs="Times New Roman"/>
        </w:rPr>
        <w:t>Die woord wat God aan die kinders van Israel gestuur het deur vrede te verkondig deur Jesus Christus — Hy is Here van almal — dié woord, sê ek, ken julle, wat deur die hele Judéa bekend gemaak is en begin het in Galiléa ná die doop wat Johannes verkondig het; hoe God Jesus van Násaret gesalf het met die Heilige Gees en met krag, Hy wat rondgegaan het om goed te doen en almal te genees wat deur die duiwel oorweldig was; want God was met Hom. Handelinge 10:36–38.</w:t>
      </w:r>
    </w:p>
    <w:p>
      <w:pPr>
        <w:pStyle w:val="ArticleBody"/>
        <w:jc w:val="left"/>
      </w:pPr>
      <w:r>
        <w:rPr>
          <w:rFonts w:ascii="Times New Roman" w:hAnsi="Times New Roman" w:eastAsia="Times New Roman" w:cs="Times New Roman"/>
        </w:rPr>
        <w:t>“mesiah” dan “Kristus” kedua-duanya bererti “yang diurapi”. Kristus diurapi pada waktu pembaptisan-Nya, maka secara teknikal Dia bukanlah Mesiah atau Kristus sehingga pembaptisan-Nya. Pembaptisan-Nya secara nubuatan selaras dengan turunnya malaikat dalam Wahyu pasal sepuluh, yang turun pada 11 Ogos 1840, dan juga selaras dengan turunnya malaikat yang gagah perkasa dalam Wahyu pasal lapan belas, yang turun pada 11 September 2001. Tiga tanda batas nubuatan itu mengenal pasti penyataan Roh Kudus dalam hujan akhir.</w:t>
      </w:r>
    </w:p>
    <w:p>
      <w:pPr>
        <w:pStyle w:val="ArticleBody"/>
        <w:jc w:val="left"/>
      </w:pPr>
      <w:r>
        <w:rPr>
          <w:rFonts w:ascii="Times New Roman" w:hAnsi="Times New Roman" w:eastAsia="Times New Roman" w:cs="Times New Roman"/>
        </w:rPr>
        <w:t>Les Juifs querelleurs s’attachaient à une conception erronée, à un faux message prophétique selon lequel le Messie instaurerait un royaume terrestre littéral dans lequel la nation d’Israël gouvernerait le monde. C’était un faux message qui promettait « paix et prospérité ».</w:t>
      </w:r>
    </w:p>
    <w:p>
      <w:pPr>
        <w:pStyle w:val="ArticleBody"/>
        <w:jc w:val="left"/>
      </w:pPr>
      <w:r>
        <w:rPr>
          <w:rFonts w:ascii="Times New Roman" w:hAnsi="Times New Roman" w:eastAsia="Times New Roman" w:cs="Times New Roman"/>
        </w:rPr>
        <w:t>Ujumbe wa William Miller ulikuwa na vipengele viwili vikuu. Cha kwanza kilikuwa matumizi ya unabii wa nyakati uliotambulisha kutakaswa kwa patakatifu, na cha pili kilikuwa kukataa kwake tafsiri ya Kikatoliki ya milenia ya miaka elfu moja ambayo Waprotestanti walikuwa na mwelekeo wa kuikubali. Mtazamo huo wa uongo kuhusu milenia, ulioitambulisha kuwa ni miaka elfu moja ya amani na ustawi, ulikuwa umeonyeshwa na mtazamo wa uongo kuhusu ufalme wa Masihi ambao Wayahudi wabishani walishikilia.</w:t>
      </w:r>
    </w:p>
    <w:p>
      <w:pPr>
        <w:pStyle w:val="ArticleBody"/>
        <w:jc w:val="left"/>
      </w:pPr>
      <w:r>
        <w:rPr>
          <w:rFonts w:ascii="Times New Roman" w:hAnsi="Times New Roman" w:eastAsia="Times New Roman" w:cs="Times New Roman"/>
        </w:rPr>
        <w:t>Тези две свидетелства разпознават една фалшива вест за късния дъжд, обещаваща „мир и благоденствие“, в третото и последно изпълнение на историята на вестителя, който приготвя пътя за Вестителя на завета, за да дойде внезапно в Своя храм. Тази фалшива вест за късния дъжд е определена като вест за „мир и безопасност“, в противоположност на вестта на Йоан Кръстител, който заяви, че „всяко дърво, което не дава добър плод, се отсича и хвърля в огъня“, когато настъпи „идещият гняв“. Тя бе представена също и чрез заявлението на Милър, че няма да има хиляда години мир, както учи католицизмът; защото, когато Господ се завърне, Той ще унищожи земята с блясъка на Своето идване.</w:t>
      </w:r>
    </w:p>
    <w:p>
      <w:pPr>
        <w:pStyle w:val="ArticleScripture"/>
        <w:jc w:val="left"/>
      </w:pPr>
      <w:r>
        <w:rPr>
          <w:rFonts w:ascii="Times New Roman" w:hAnsi="Times New Roman" w:eastAsia="Times New Roman" w:cs="Times New Roman"/>
        </w:rPr>
        <w:t>Na ninyi mnaoteswa, mpumzike pamoja nasi, atakapofunuliwa kutoka mbinguni Bwana Yesu pamoja na malaika wake wenye nguvu, katika moto uwakao, akiwalipizia kisasi wale wasiomjua Mungu, na wale wasioitii Injili ya Bwana wetu Yesu Kristo; ambao wataadhibiwa kwa uangamivu wa milele, watakataliwa mbali na uso wa Bwana na utukufu wa uweza wake. 2 Wathesalonike 1:7–9.</w:t>
      </w:r>
    </w:p>
    <w:p>
      <w:pPr>
        <w:pStyle w:val="ArticleBody"/>
        <w:jc w:val="left"/>
      </w:pPr>
      <w:r>
        <w:rPr>
          <w:rFonts w:ascii="Times New Roman" w:hAnsi="Times New Roman" w:eastAsia="Times New Roman" w:cs="Times New Roman"/>
        </w:rPr>
        <w:t>Abagabuzi babiri ba mbere bateguriye Intumwa y’Isezerano kwinjira mu isezerano n’ubwoko bushya bwatoranyijwe, bagaragaza ko ubutumwa bw’imvura y’itumba bw’ibinyoma bwa “amahoro n’umutekano,” bwashyizweho mu gisekuru cya gatatu cy’Abadivantisiti b’i Lawodikiya, bwateguwe na Satani kugira ngo bubuze Abadivantisiti b’i Lawodikiya bo mu gisekuru cya kane kumenya uruhare rw’Ubwisilamu, nk’uko bugaragazwa mu Magezi ya gatatu.</w:t>
      </w:r>
    </w:p>
    <w:p>
      <w:pPr>
        <w:pStyle w:val="ArticleBody"/>
        <w:jc w:val="left"/>
      </w:pPr>
      <w:r>
        <w:rPr>
          <w:rFonts w:ascii="Times New Roman" w:hAnsi="Times New Roman" w:eastAsia="Times New Roman" w:cs="Times New Roman"/>
        </w:rPr>
        <w:t>Mchakato wa utakaso unaotimizwa kwa ajili ya wale wanaowakilishwa na wana wa Lawi ni huu: yeye ajaye baada ya Yohana Mbatizaji alikuwa aisafishe kabisa sakafu yake ya kupuria na “kuitakasa,” kwa pepeto lililo mkononi mwake. Kazi hiyo hutimizwa kwa Neno lake.</w:t>
      </w:r>
    </w:p>
    <w:p>
      <w:pPr>
        <w:pStyle w:val="ArticleScripture"/>
        <w:jc w:val="left"/>
      </w:pPr>
      <w:r>
        <w:rPr>
          <w:rFonts w:ascii="Times New Roman" w:hAnsi="Times New Roman" w:eastAsia="Times New Roman" w:cs="Times New Roman"/>
        </w:rPr>
        <w:t>“‘</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মাড়াইয়ের</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পরিষ্কার</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গম</w:t>
      </w:r>
      <w:r>
        <w:rPr>
          <w:rFonts w:ascii="Times New Roman" w:hAnsi="Times New Roman" w:eastAsia="Times New Roman" w:cs="Times New Roman"/>
        </w:rPr>
        <w:t xml:space="preserve"> </w:t>
      </w:r>
      <w:r>
        <w:rPr>
          <w:rFonts w:ascii="Nirmala UI" w:hAnsi="Nirmala UI" w:eastAsia="Nirmala UI" w:cs="Nirmala UI"/>
        </w:rPr>
        <w:t>গোলায়</w:t>
      </w:r>
      <w:r>
        <w:rPr>
          <w:rFonts w:ascii="Times New Roman" w:hAnsi="Times New Roman" w:eastAsia="Times New Roman" w:cs="Times New Roman"/>
        </w:rPr>
        <w:t xml:space="preserve"> </w:t>
      </w:r>
      <w:r>
        <w:rPr>
          <w:rFonts w:ascii="Nirmala UI" w:hAnsi="Nirmala UI" w:eastAsia="Nirmala UI" w:cs="Nirmala UI"/>
        </w:rPr>
        <w:t>সংগ্রহ</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 xml:space="preserve"> </w:t>
      </w:r>
      <w:r>
        <w:rPr>
          <w:rFonts w:ascii="Nirmala UI" w:hAnsi="Nirmala UI" w:eastAsia="Nirmala UI" w:cs="Nirmala UI"/>
        </w:rPr>
        <w:t>৩</w:t>
      </w:r>
      <w:r>
        <w:rPr>
          <w:rFonts w:ascii="Times New Roman" w:hAnsi="Times New Roman" w:eastAsia="Times New Roman" w:cs="Times New Roman"/>
        </w:rPr>
        <w:t>:</w:t>
      </w:r>
      <w:r>
        <w:rPr>
          <w:rFonts w:ascii="Nirmala UI" w:hAnsi="Nirmala UI" w:eastAsia="Nirmala UI" w:cs="Nirmala UI"/>
        </w:rPr>
        <w:t>১২।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শোধনের</w:t>
      </w:r>
      <w:r>
        <w:rPr>
          <w:rFonts w:ascii="Times New Roman" w:hAnsi="Times New Roman" w:eastAsia="Times New Roman" w:cs="Times New Roman"/>
        </w:rPr>
        <w:t xml:space="preserve"> </w:t>
      </w:r>
      <w:r>
        <w:rPr>
          <w:rFonts w:ascii="Nirmala UI" w:hAnsi="Nirmala UI" w:eastAsia="Nirmala UI" w:cs="Nirmala UI"/>
        </w:rPr>
        <w:t>সময়গুলির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ভূষি</w:t>
      </w:r>
      <w:r>
        <w:rPr>
          <w:rFonts w:ascii="Times New Roman" w:hAnsi="Times New Roman" w:eastAsia="Times New Roman" w:cs="Times New Roman"/>
        </w:rPr>
        <w:t xml:space="preserve"> </w:t>
      </w:r>
      <w:r>
        <w:rPr>
          <w:rFonts w:ascii="Nirmala UI" w:hAnsi="Nirmala UI" w:eastAsia="Nirmala UI" w:cs="Nirmala UI"/>
        </w:rPr>
        <w:t>গম</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হইতেছিল।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অনেকেই</w:t>
      </w:r>
      <w:r>
        <w:rPr>
          <w:rFonts w:ascii="Times New Roman" w:hAnsi="Times New Roman" w:eastAsia="Times New Roman" w:cs="Times New Roman"/>
        </w:rPr>
        <w:t xml:space="preserve"> </w:t>
      </w:r>
      <w:r>
        <w:rPr>
          <w:rFonts w:ascii="Nirmala UI" w:hAnsi="Nirmala UI" w:eastAsia="Nirmala UI" w:cs="Nirmala UI"/>
        </w:rPr>
        <w:t>তিরস্কার</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অতিশয়</w:t>
      </w:r>
      <w:r>
        <w:rPr>
          <w:rFonts w:ascii="Times New Roman" w:hAnsi="Times New Roman" w:eastAsia="Times New Roman" w:cs="Times New Roman"/>
        </w:rPr>
        <w:t xml:space="preserve"> </w:t>
      </w:r>
      <w:r>
        <w:rPr>
          <w:rFonts w:ascii="Nirmala UI" w:hAnsi="Nirmala UI" w:eastAsia="Nirmala UI" w:cs="Nirmala UI"/>
        </w:rPr>
        <w:t>অহংকারী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আত্মধার্মিক</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নম্রতার</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অত্যধিক</w:t>
      </w:r>
      <w:r>
        <w:rPr>
          <w:rFonts w:ascii="Times New Roman" w:hAnsi="Times New Roman" w:eastAsia="Times New Roman" w:cs="Times New Roman"/>
        </w:rPr>
        <w:t xml:space="preserve"> </w:t>
      </w:r>
      <w:r>
        <w:rPr>
          <w:rFonts w:ascii="Nirmala UI" w:hAnsi="Nirmala UI" w:eastAsia="Nirmala UI" w:cs="Nirmala UI"/>
        </w:rPr>
        <w:t>ভালবাসিত</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অনেকেই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আজও</w:t>
      </w:r>
      <w:r>
        <w:rPr>
          <w:rFonts w:ascii="Times New Roman" w:hAnsi="Times New Roman" w:eastAsia="Times New Roman" w:cs="Times New Roman"/>
        </w:rPr>
        <w:t xml:space="preserve"> </w:t>
      </w:r>
      <w:r>
        <w:rPr>
          <w:rFonts w:ascii="Nirmala UI" w:hAnsi="Nirmala UI" w:eastAsia="Nirmala UI" w:cs="Nirmala UI"/>
        </w:rPr>
        <w:t>আত্মাগণ</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হইতেছে</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কফরনাহূমের</w:t>
      </w:r>
      <w:r>
        <w:rPr>
          <w:rFonts w:ascii="Times New Roman" w:hAnsi="Times New Roman" w:eastAsia="Times New Roman" w:cs="Times New Roman"/>
        </w:rPr>
        <w:t xml:space="preserve"> </w:t>
      </w:r>
      <w:r>
        <w:rPr>
          <w:rFonts w:ascii="Nirmala UI" w:hAnsi="Nirmala UI" w:eastAsia="Nirmala UI" w:cs="Nirmala UI"/>
        </w:rPr>
        <w:t>সমাজগৃহে</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শিষ্যগণ</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ইচ্ছার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সঙ্গতিপূর্ণ</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সম্পূর্ণ</w:t>
      </w:r>
      <w:r>
        <w:rPr>
          <w:rFonts w:ascii="Times New Roman" w:hAnsi="Times New Roman" w:eastAsia="Times New Roman" w:cs="Times New Roman"/>
        </w:rPr>
        <w:t xml:space="preserve"> </w:t>
      </w:r>
      <w:r>
        <w:rPr>
          <w:rFonts w:ascii="Nirmala UI" w:hAnsi="Nirmala UI" w:eastAsia="Nirmala UI" w:cs="Nirmala UI"/>
        </w:rPr>
        <w:t>পরিবর্তনের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আত্মঅস্বীকারের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ইচ্ছুক</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ক্রুদ্ধ</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বিরক্ত</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চলিয়া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শিষ্যগণ</w:t>
      </w:r>
      <w:r>
        <w:rPr>
          <w:rFonts w:ascii="Times New Roman" w:hAnsi="Times New Roman" w:eastAsia="Times New Roman" w:cs="Times New Roman"/>
        </w:rPr>
        <w:t xml:space="preserve"> </w:t>
      </w:r>
      <w:r>
        <w:rPr>
          <w:rFonts w:ascii="Nirmala UI" w:hAnsi="Nirmala UI" w:eastAsia="Nirmala UI" w:cs="Nirmala UI"/>
        </w:rPr>
        <w:t>যীশুকে</w:t>
      </w:r>
      <w:r>
        <w:rPr>
          <w:rFonts w:ascii="Times New Roman" w:hAnsi="Times New Roman" w:eastAsia="Times New Roman" w:cs="Times New Roman"/>
        </w:rPr>
        <w:t xml:space="preserve"> </w:t>
      </w:r>
      <w:r>
        <w:rPr>
          <w:rFonts w:ascii="Nirmala UI" w:hAnsi="Nirmala UI" w:eastAsia="Nirmala UI" w:cs="Nirmala UI"/>
        </w:rPr>
        <w:t>ছাড়িয়া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বলিয়া</w:t>
      </w:r>
      <w:r>
        <w:rPr>
          <w:rFonts w:ascii="Times New Roman" w:hAnsi="Times New Roman" w:eastAsia="Times New Roman" w:cs="Times New Roman"/>
        </w:rPr>
        <w:t xml:space="preserve"> </w:t>
      </w:r>
      <w:r>
        <w:rPr>
          <w:rFonts w:ascii="Nirmala UI" w:hAnsi="Nirmala UI" w:eastAsia="Nirmala UI" w:cs="Nirmala UI"/>
        </w:rPr>
        <w:t>গুঞ্জরিত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বড়</w:t>
      </w:r>
      <w:r>
        <w:rPr>
          <w:rFonts w:ascii="Times New Roman" w:hAnsi="Times New Roman" w:eastAsia="Times New Roman" w:cs="Times New Roman"/>
        </w:rPr>
        <w:t xml:space="preserve"> </w:t>
      </w:r>
      <w:r>
        <w:rPr>
          <w:rFonts w:ascii="Nirmala UI" w:hAnsi="Nirmala UI" w:eastAsia="Nirmala UI" w:cs="Nirmala UI"/>
        </w:rPr>
        <w:t>কঠিন</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The Desire of Ages, 392.</w:t>
      </w:r>
    </w:p>
    <w:p>
      <w:pPr>
        <w:pStyle w:val="ArticleBody"/>
        <w:jc w:val="left"/>
      </w:pPr>
      <w:r>
        <w:rPr>
          <w:rFonts w:ascii="Times New Roman" w:hAnsi="Times New Roman" w:eastAsia="Times New Roman" w:cs="Times New Roman"/>
        </w:rPr>
        <w:t>Malaka ya mvula ya mfula ya nsuka ezali “ntembe” ya Habakuki mokapo ya mibale, mpe ezali maloba ya solo, oyo ekabolaka matiti ya pamba na blé. Bokabwani wana ezali bopetoli oyo Mosakoli ya Boyokani akokisaki. Na lisolo ya ba-Millerite, malaka ya Danyele mokapo ya mwambe, molongo ya zomi na minei, ebimisaki bopetoli ntango elongaki te mpo na mbala ya liboso mpe ememaki eleko ya kozela ya Habakuki mokapo ya mibale mpe lisese ya bangɔndɔ zomi na Matayo mokapo ya tuku mibale na mitano. Ntango malaka ya Bileli ya Kati ya Butu ekokisamaki na nsuka na mokolo ya 22 Oktobre 1844, ebimisaki bopetoli moko monene koleka. Ezalaki wana nde Mosakoli ya Boyokani ayaki na mbalakaka mpe abandaki bopetoli mpe bopɛtolami ya nsuka. Koningana oyo eleká na kati ya mibale ya liboso kati na misato ya bopɛtolami mpe ya bopetoli, elongaki te na ya misato mpe etindamaki na esobe ya Laodikia na 1863.</w:t>
      </w:r>
    </w:p>
    <w:p>
      <w:pPr>
        <w:pStyle w:val="ArticleBody"/>
        <w:jc w:val="left"/>
      </w:pPr>
      <w:r>
        <w:rPr>
          <w:rFonts w:ascii="Times New Roman" w:hAnsi="Times New Roman" w:eastAsia="Times New Roman" w:cs="Times New Roman"/>
        </w:rPr>
        <w:t>V dějinách milleritského hnutí byli protestanté nejprve očištěni slovy pravdy; poté bylo hnutí prvního anděla očištěno při příchodu třetí zkušební zvěsti. Ti však, kteří byli během šestačtyřiceti let od roku 1798 do roku 1844 staviteli milleritského chrámu, při třetí zkoušce neobstáli, jež přišla 22. října 1844, ačkoli dokonale naplnili podobenství o deseti pannách.</w:t>
      </w:r>
    </w:p>
    <w:p>
      <w:pPr>
        <w:pStyle w:val="ArticleScripture"/>
        <w:jc w:val="left"/>
      </w:pPr>
      <w:r>
        <w:rPr>
          <w:rFonts w:ascii="Times New Roman" w:hAnsi="Times New Roman" w:eastAsia="Times New Roman" w:cs="Times New Roman"/>
        </w:rPr>
        <w:t>“Mnogo onih koji su po porukama prvoga i drugoga anđela izišli ususret Zaručniku, odbili su treću, posljednju kušajuću poruku koja treba biti upućena svijetu, a sličan će se stav zauzeti i kada bude upućen posljednji poziv.</w:t>
      </w:r>
    </w:p>
    <w:p>
      <w:pPr>
        <w:pStyle w:val="ArticleScripture"/>
        <w:jc w:val="left"/>
      </w:pPr>
      <w:r>
        <w:rPr>
          <w:rFonts w:ascii="Times New Roman" w:hAnsi="Times New Roman" w:eastAsia="Times New Roman" w:cs="Times New Roman"/>
        </w:rPr>
        <w:t>« Chaque détail de cette parabole doit être étudié avec soin. Nous sommes représentés soit par les vierges sages, soit par les vierges folles. » Review and Herald, 31 octobre 1899.</w:t>
      </w:r>
    </w:p>
    <w:p>
      <w:pPr>
        <w:pStyle w:val="ArticleBody"/>
        <w:jc w:val="left"/>
      </w:pPr>
      <w:r>
        <w:rPr>
          <w:rFonts w:ascii="Times New Roman" w:hAnsi="Times New Roman" w:eastAsia="Times New Roman" w:cs="Times New Roman"/>
        </w:rPr>
        <w:t>Le lịch sử tiên tri đã khởi sự khi vị thiên sứ thứ ba đến vào ngày 22 tháng 10 năm 1844 là một sự thất bại, và nó đã chấm dứt với cuộc phản nghịch năm 1863. Đến năm 1850, Chị White đã viết sứ điệp sau đây.</w:t>
      </w:r>
    </w:p>
    <w:p>
      <w:pPr>
        <w:pStyle w:val="ArticleScripture"/>
        <w:jc w:val="left"/>
      </w:pPr>
      <w:r>
        <w:rPr>
          <w:rFonts w:ascii="Times New Roman" w:hAnsi="Times New Roman" w:eastAsia="Times New Roman" w:cs="Times New Roman"/>
        </w:rPr>
        <w:t>“An Tighearna thug dhomh sealladh, air 26 dhen Fhaoilleach, a dh’innseas mi. Chunnaic mi gu robh cuid de shluagh Dhè amaideach agus suanach; agus nach robh iad ach leth-dhùisg, agus nach do mhothaich iad an aimsir anns a bheil sinn a-nis a’ fuireach; agus gun robh an ‘duine’ leis an ‘sguab-shalachair’ air tighinn a-steach, agus gu robh cuid ann an cunnart a bhith air an sguabadh air falbh. Ghuidh mi air Ìosa an sàbhaladh, an caomhnadh beagan na b’fhaide, agus toirt orra an cunnart uabhasach fhèin fhaicinn, a-chum gum faigheadh iad deasachadh mus biodh e gu sìorraidh ro anmoch. Thuirt an t-aingeal, ‘Tha sgrios a’ teachd mar chuairt-ghaoith chumhachdach.’ Ghuidh mi air an aingeal truas a ghabhail agus an fheadhainn a shàbhaladh a bha measail air an t-saoghal seo, agus ceangailte rin sealbhachdan, agus nach robh deònach dealachadh riu, agus an ìobradh a dhèanamh a thoirt luathachadh do na teachdairean air an slighe gu biadh a thoirt do na caoraich acrach, a bha a’ bàsachadh le gainnead bìdh spioradail.”</w:t>
      </w:r>
    </w:p>
    <w:p>
      <w:pPr>
        <w:pStyle w:val="ArticleScripture"/>
        <w:jc w:val="left"/>
      </w:pPr>
      <w:r>
        <w:rPr>
          <w:rFonts w:ascii="Times New Roman" w:hAnsi="Times New Roman" w:eastAsia="Times New Roman" w:cs="Times New Roman"/>
        </w:rPr>
        <w:t>“Ko sem opazovala uboge duše, ki so umirale zaradi pomanjkanja sedanje resnice, in nekatere, ki so trdile, da verujejo resnici, pa so jih puščale umirati, ker so zadrževale potrebna sredstva za pospeševanje Božjega dela, je bil ta prizor preveč boleč, in prosila sem angela, naj ga odmakne od mene. Videla sem, da so, kadar je Božja zadeva zahtevala del njihovega premoženja, kakor mladenič, ki je prišel k Jezusu, [Matthew 19:16–22.] odšli žalostni; in da bo kmalu prekipevajoča nadloga prišla čeznje in pomedla vse njihovo imetje, tedaj pa bo prepozno darovati zemeljske dobrine in si nabrati zaklad v nebesih.” Review and Herald, 1. april 1850.</w:t>
      </w:r>
    </w:p>
    <w:p>
      <w:pPr>
        <w:pStyle w:val="ArticleBody"/>
        <w:jc w:val="left"/>
      </w:pPr>
      <w:r>
        <w:rPr>
          <w:rFonts w:ascii="Times New Roman" w:hAnsi="Times New Roman" w:eastAsia="Times New Roman" w:cs="Times New Roman"/>
        </w:rPr>
        <w:t>Дар соли 1850 марди ҷорӯбдори хок аллакай расида буд. 22 октябри соли 1844 Пайкари Аҳд ногаҳон ба маъбади Худ омада буд, ва Ӯ кори пок кардан ва соф гардонидани писарони Левиро оғоз намуд.</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ត្រូវបានសាកល្បង</w:t>
      </w:r>
      <w:r>
        <w:rPr>
          <w:rFonts w:ascii="Times New Roman" w:hAnsi="Times New Roman" w:eastAsia="Times New Roman" w:cs="Times New Roman"/>
        </w:rPr>
        <w:t xml:space="preserve"> </w:t>
      </w:r>
      <w:r>
        <w:rPr>
          <w:rFonts w:ascii="Leelawadee UI" w:hAnsi="Leelawadee UI" w:eastAsia="Leelawadee UI" w:cs="Leelawadee UI"/>
        </w:rPr>
        <w:t>និងពិនិត្យមើល</w:t>
      </w:r>
      <w:r>
        <w:rPr>
          <w:rFonts w:ascii="Times New Roman" w:hAnsi="Times New Roman" w:eastAsia="Times New Roman" w:cs="Times New Roman"/>
        </w:rPr>
        <w:t xml:space="preserve"> </w:t>
      </w:r>
      <w:r>
        <w:rPr>
          <w:rFonts w:ascii="Leelawadee UI" w:hAnsi="Leelawadee UI" w:eastAsia="Leelawadee UI" w:cs="Leelawadee UI"/>
        </w:rPr>
        <w:t>ហើយមនុស្សជាច្រើនកំពុងឆ្លងកាត់ដីដូចគ្នាដែលអ្នកទាំងនោះដែលបានបោះបង់ព្រះគ្រីស្ទបានដើរឆ្លងកាត់។</w:t>
      </w:r>
      <w:r>
        <w:rPr>
          <w:rFonts w:ascii="Times New Roman" w:hAnsi="Times New Roman" w:eastAsia="Times New Roman" w:cs="Times New Roman"/>
        </w:rPr>
        <w:t xml:space="preserve"> </w:t>
      </w:r>
      <w:r>
        <w:rPr>
          <w:rFonts w:ascii="Leelawadee UI" w:hAnsi="Leelawadee UI" w:eastAsia="Leelawadee UI" w:cs="Leelawadee UI"/>
        </w:rPr>
        <w:t>នៅពេលត្រូវបានសាកល្បងដោយព្រះបន្ទូល</w:t>
      </w:r>
      <w:r>
        <w:rPr>
          <w:rFonts w:ascii="Times New Roman" w:hAnsi="Times New Roman" w:eastAsia="Times New Roman" w:cs="Times New Roman"/>
        </w:rPr>
        <w:t xml:space="preserve"> </w:t>
      </w:r>
      <w:r>
        <w:rPr>
          <w:rFonts w:ascii="Leelawadee UI" w:hAnsi="Leelawadee UI" w:eastAsia="Leelawadee UI" w:cs="Leelawadee UI"/>
        </w:rPr>
        <w:t>ពួកគេបដិសេធព្រះគ្រូដ៏ទេវភាព។</w:t>
      </w:r>
      <w:r>
        <w:rPr>
          <w:rFonts w:ascii="Times New Roman" w:hAnsi="Times New Roman" w:eastAsia="Times New Roman" w:cs="Times New Roman"/>
        </w:rPr>
        <w:t xml:space="preserve"> </w:t>
      </w:r>
      <w:r>
        <w:rPr>
          <w:rFonts w:ascii="Leelawadee UI" w:hAnsi="Leelawadee UI" w:eastAsia="Leelawadee UI" w:cs="Leelawadee UI"/>
        </w:rPr>
        <w:t>នៅពេលត្រូវបានស្តីបន្ទោស</w:t>
      </w:r>
      <w:r>
        <w:rPr>
          <w:rFonts w:ascii="Times New Roman" w:hAnsi="Times New Roman" w:eastAsia="Times New Roman" w:cs="Times New Roman"/>
        </w:rPr>
        <w:t xml:space="preserve"> </w:t>
      </w:r>
      <w:r>
        <w:rPr>
          <w:rFonts w:ascii="Leelawadee UI" w:hAnsi="Leelawadee UI" w:eastAsia="Leelawadee UI" w:cs="Leelawadee UI"/>
        </w:rPr>
        <w:t>ពីព្រោះជីវិតរបស់ពួកគេមិនស្របតាមសេចក្តីពិត</w:t>
      </w:r>
      <w:r>
        <w:rPr>
          <w:rFonts w:ascii="Times New Roman" w:hAnsi="Times New Roman" w:eastAsia="Times New Roman" w:cs="Times New Roman"/>
        </w:rPr>
        <w:t xml:space="preserve"> </w:t>
      </w:r>
      <w:r>
        <w:rPr>
          <w:rFonts w:ascii="Leelawadee UI" w:hAnsi="Leelawadee UI" w:eastAsia="Leelawadee UI" w:cs="Leelawadee UI"/>
        </w:rPr>
        <w:t>និងសេចក្តីសុចរិត</w:t>
      </w:r>
      <w:r>
        <w:rPr>
          <w:rFonts w:ascii="Times New Roman" w:hAnsi="Times New Roman" w:eastAsia="Times New Roman" w:cs="Times New Roman"/>
        </w:rPr>
        <w:t xml:space="preserve"> </w:t>
      </w:r>
      <w:r>
        <w:rPr>
          <w:rFonts w:ascii="Leelawadee UI" w:hAnsi="Leelawadee UI" w:eastAsia="Leelawadee UI" w:cs="Leelawadee UI"/>
        </w:rPr>
        <w:t>នោះពួកគេបែរចេញពីព្រះអង្គសង្គ្រោះ</w:t>
      </w:r>
      <w:r>
        <w:rPr>
          <w:rFonts w:ascii="Times New Roman" w:hAnsi="Times New Roman" w:eastAsia="Times New Roman" w:cs="Times New Roman"/>
        </w:rPr>
        <w:t xml:space="preserve">; </w:t>
      </w:r>
      <w:r>
        <w:rPr>
          <w:rFonts w:ascii="Leelawadee UI" w:hAnsi="Leelawadee UI" w:eastAsia="Leelawadee UI" w:cs="Leelawadee UI"/>
        </w:rPr>
        <w:t>ហើយការសម្រេចចិត្តរបស់ពួកគេ</w:t>
      </w:r>
      <w:r>
        <w:rPr>
          <w:rFonts w:ascii="Times New Roman" w:hAnsi="Times New Roman" w:eastAsia="Times New Roman" w:cs="Times New Roman"/>
        </w:rPr>
        <w:t xml:space="preserve"> </w:t>
      </w:r>
      <w:r>
        <w:rPr>
          <w:rFonts w:ascii="Leelawadee UI" w:hAnsi="Leelawadee UI" w:eastAsia="Leelawadee UI" w:cs="Leelawadee UI"/>
        </w:rPr>
        <w:t>ដូចជារបស់ពួកសិស្សដែលបានខឹងចិត្ត</w:t>
      </w:r>
      <w:r>
        <w:rPr>
          <w:rFonts w:ascii="Times New Roman" w:hAnsi="Times New Roman" w:eastAsia="Times New Roman" w:cs="Times New Roman"/>
        </w:rPr>
        <w:t xml:space="preserve"> </w:t>
      </w:r>
      <w:r>
        <w:rPr>
          <w:rFonts w:ascii="Leelawadee UI" w:hAnsi="Leelawadee UI" w:eastAsia="Leelawadee UI" w:cs="Leelawadee UI"/>
        </w:rPr>
        <w:t>នឹងមិនត្រូវបានបម្លែងវិញឡើយ។</w:t>
      </w:r>
      <w:r>
        <w:rPr>
          <w:rFonts w:ascii="Times New Roman" w:hAnsi="Times New Roman" w:eastAsia="Times New Roman" w:cs="Times New Roman"/>
        </w:rPr>
        <w:t xml:space="preserve"> </w:t>
      </w:r>
      <w:r>
        <w:rPr>
          <w:rFonts w:ascii="Leelawadee UI" w:hAnsi="Leelawadee UI" w:eastAsia="Leelawadee UI" w:cs="Leelawadee UI"/>
        </w:rPr>
        <w:t>ពួកគេមិនដើរជាមួយព្រះគ្រីស្ទទៀតឡើយ។</w:t>
      </w:r>
      <w:r>
        <w:rPr>
          <w:rFonts w:ascii="Times New Roman" w:hAnsi="Times New Roman" w:eastAsia="Times New Roman" w:cs="Times New Roman"/>
        </w:rPr>
        <w:t xml:space="preserve"> </w:t>
      </w:r>
      <w:r>
        <w:rPr>
          <w:rFonts w:ascii="Leelawadee UI" w:hAnsi="Leelawadee UI" w:eastAsia="Leelawadee UI" w:cs="Leelawadee UI"/>
        </w:rPr>
        <w:t>ដូច្នេះហើយ</w:t>
      </w:r>
      <w:r>
        <w:rPr>
          <w:rFonts w:ascii="Times New Roman" w:hAnsi="Times New Roman" w:eastAsia="Times New Roman" w:cs="Times New Roman"/>
        </w:rPr>
        <w:t xml:space="preserve"> </w:t>
      </w:r>
      <w:r>
        <w:rPr>
          <w:rFonts w:ascii="Leelawadee UI" w:hAnsi="Leelawadee UI" w:eastAsia="Leelawadee UI" w:cs="Leelawadee UI"/>
        </w:rPr>
        <w:t>ពាក្យទាំងនេះត្រូវបានបំពេញថា៖</w:t>
      </w:r>
      <w:r>
        <w:rPr>
          <w:rFonts w:ascii="Times New Roman" w:hAnsi="Times New Roman" w:eastAsia="Times New Roman" w:cs="Times New Roman"/>
        </w:rPr>
        <w:t xml:space="preserve"> ‘Whose fan is in His hand, and He will throughly purge His floor, and gather His wheat into the garner.’»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unième</dc:title>
  <dc:subject>The Messenger of the Covenant: From Purification to Purging</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