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Mia Moja na Tatu</w:t>
      </w:r>
    </w:p>
    <w:p>
      <w:pPr>
        <w:pStyle w:val="ArticleSubtitle"/>
        <w:jc w:val="left"/>
      </w:pPr>
      <w:r>
        <w:rPr>
          <w:rFonts w:ascii="Arial" w:hAnsi="Arial" w:eastAsia="Arial" w:cs="Arial"/>
        </w:rPr>
        <w:t>Déverrouiller la prophétie : comprendre la triple application des cadres prophétiques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Nous avons examiné les applications triples de la prophétie. Nous le faisons afin d’établir que, lorsque le Seigneur a descellé les six derniers versets de Daniel onze lors de l’effondrement de l’Union soviétique au « temps de la fin » en 1989, une « augmentation de la connaissance » a été produite, laquelle devait mettre à l’épreuve cette génération du peuple de Dieu.</w:t>
      </w:r>
    </w:p>
    <w:p>
      <w:pPr>
        <w:pStyle w:val="ArticleScripture"/>
        <w:jc w:val="left"/>
      </w:pPr>
      <w:r>
        <w:rPr>
          <w:rFonts w:ascii="Microsoft YaHei" w:hAnsi="Microsoft YaHei" w:eastAsia="Microsoft YaHei" w:cs="Microsoft YaHei"/>
        </w:rPr>
        <w:t>而他说：</w:t>
      </w:r>
      <w:r>
        <w:rPr>
          <w:rFonts w:ascii="Times New Roman" w:hAnsi="Times New Roman" w:eastAsia="Times New Roman" w:cs="Times New Roman"/>
        </w:rPr>
        <w:t>“</w:t>
      </w:r>
      <w:r>
        <w:rPr>
          <w:rFonts w:ascii="Microsoft YaHei" w:hAnsi="Microsoft YaHei" w:eastAsia="Microsoft YaHei" w:cs="Microsoft YaHei"/>
        </w:rPr>
        <w:t>但以理啊</w:t>
      </w:r>
      <w:r>
        <w:rPr>
          <w:rFonts w:ascii="Times New Roman" w:hAnsi="Times New Roman" w:eastAsia="Times New Roman" w:cs="Times New Roman"/>
        </w:rPr>
        <w:t>,</w:t>
      </w:r>
      <w:r>
        <w:rPr>
          <w:rFonts w:ascii="Microsoft YaHei" w:hAnsi="Microsoft YaHei" w:eastAsia="Microsoft YaHei" w:cs="Microsoft YaHei"/>
        </w:rPr>
        <w:t>你只管去吧</w:t>
      </w:r>
      <w:r>
        <w:rPr>
          <w:rFonts w:ascii="Times New Roman" w:hAnsi="Times New Roman" w:eastAsia="Times New Roman" w:cs="Times New Roman"/>
        </w:rPr>
        <w:t>;</w:t>
      </w:r>
      <w:r>
        <w:rPr>
          <w:rFonts w:ascii="Microsoft YaHei" w:hAnsi="Microsoft YaHei" w:eastAsia="Microsoft YaHei" w:cs="Microsoft YaHei"/>
        </w:rPr>
        <w:t>因为这话已经隐藏封闭</w:t>
      </w:r>
      <w:r>
        <w:rPr>
          <w:rFonts w:ascii="Times New Roman" w:hAnsi="Times New Roman" w:eastAsia="Times New Roman" w:cs="Times New Roman"/>
        </w:rPr>
        <w:t>,</w:t>
      </w:r>
      <w:r>
        <w:rPr>
          <w:rFonts w:ascii="Microsoft YaHei" w:hAnsi="Microsoft YaHei" w:eastAsia="Microsoft YaHei" w:cs="Microsoft YaHei"/>
        </w:rPr>
        <w:t>直到末时</w:t>
      </w:r>
      <w:r>
        <w:rPr>
          <w:rFonts w:ascii="Times New Roman" w:hAnsi="Times New Roman" w:eastAsia="Times New Roman" w:cs="Times New Roman"/>
        </w:rPr>
        <w:t>.</w:t>
      </w:r>
      <w:r>
        <w:rPr>
          <w:rFonts w:ascii="Microsoft YaHei" w:hAnsi="Microsoft YaHei" w:eastAsia="Microsoft YaHei" w:cs="Microsoft YaHei"/>
        </w:rPr>
        <w:t>必有许多人使自己洁净</w:t>
      </w:r>
      <w:r>
        <w:rPr>
          <w:rFonts w:ascii="Times New Roman" w:hAnsi="Times New Roman" w:eastAsia="Times New Roman" w:cs="Times New Roman"/>
        </w:rPr>
        <w:t>,</w:t>
      </w:r>
      <w:r>
        <w:rPr>
          <w:rFonts w:ascii="Microsoft YaHei" w:hAnsi="Microsoft YaHei" w:eastAsia="Microsoft YaHei" w:cs="Microsoft YaHei"/>
        </w:rPr>
        <w:t>得以白净</w:t>
      </w:r>
      <w:r>
        <w:rPr>
          <w:rFonts w:ascii="Times New Roman" w:hAnsi="Times New Roman" w:eastAsia="Times New Roman" w:cs="Times New Roman"/>
        </w:rPr>
        <w:t>,</w:t>
      </w:r>
      <w:r>
        <w:rPr>
          <w:rFonts w:ascii="Microsoft YaHei" w:hAnsi="Microsoft YaHei" w:eastAsia="Microsoft YaHei" w:cs="Microsoft YaHei"/>
        </w:rPr>
        <w:t>并且被熬炼</w:t>
      </w:r>
      <w:r>
        <w:rPr>
          <w:rFonts w:ascii="Times New Roman" w:hAnsi="Times New Roman" w:eastAsia="Times New Roman" w:cs="Times New Roman"/>
        </w:rPr>
        <w:t>;</w:t>
      </w:r>
      <w:r>
        <w:rPr>
          <w:rFonts w:ascii="Microsoft YaHei" w:hAnsi="Microsoft YaHei" w:eastAsia="Microsoft YaHei" w:cs="Microsoft YaHei"/>
        </w:rPr>
        <w:t>恶人仍必行恶</w:t>
      </w:r>
      <w:r>
        <w:rPr>
          <w:rFonts w:ascii="Times New Roman" w:hAnsi="Times New Roman" w:eastAsia="Times New Roman" w:cs="Times New Roman"/>
        </w:rPr>
        <w:t>,</w:t>
      </w:r>
      <w:r>
        <w:rPr>
          <w:rFonts w:ascii="Microsoft YaHei" w:hAnsi="Microsoft YaHei" w:eastAsia="Microsoft YaHei" w:cs="Microsoft YaHei"/>
        </w:rPr>
        <w:t>一切恶人都不明白</w:t>
      </w:r>
      <w:r>
        <w:rPr>
          <w:rFonts w:ascii="Times New Roman" w:hAnsi="Times New Roman" w:eastAsia="Times New Roman" w:cs="Times New Roman"/>
        </w:rPr>
        <w:t>,</w:t>
      </w:r>
      <w:r>
        <w:rPr>
          <w:rFonts w:ascii="Microsoft YaHei" w:hAnsi="Microsoft YaHei" w:eastAsia="Microsoft YaHei" w:cs="Microsoft YaHei"/>
        </w:rPr>
        <w:t>惟独智慧人必明白</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 xml:space="preserve"> 12:9, 10.</w:t>
      </w:r>
    </w:p>
    <w:p>
      <w:pPr>
        <w:pStyle w:val="ArticleBody"/>
        <w:jc w:val="left"/>
      </w:pP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खोलता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सच्चाइयों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प्रतिरोध</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सच्चाइयों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गहन</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सच्चाइयों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दुर्बल</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त्रुटियों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प्रतिरक्षा</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सिद्धांतों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उनमें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त्रिविध</w:t>
      </w:r>
      <w:r>
        <w:rPr>
          <w:rFonts w:ascii="Times New Roman" w:hAnsi="Times New Roman" w:eastAsia="Times New Roman" w:cs="Times New Roman"/>
        </w:rPr>
        <w:t xml:space="preserve"> </w:t>
      </w:r>
      <w:r>
        <w:rPr>
          <w:rFonts w:ascii="Nirmala UI" w:hAnsi="Nirmala UI" w:eastAsia="Nirmala UI" w:cs="Nirmala UI"/>
        </w:rPr>
        <w:t>अनुप्रयोग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सिद्धांत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प्रारंभ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“the daily” </w:t>
      </w:r>
      <w:r>
        <w:rPr>
          <w:rFonts w:ascii="Nirmala UI" w:hAnsi="Nirmala UI" w:eastAsia="Nirmala UI" w:cs="Nirmala UI"/>
        </w:rPr>
        <w:t>किसका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मूर्तिपूजा</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“the taking away of the daily”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(508 AD)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संदर्भ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गया।</w:t>
      </w:r>
    </w:p>
    <w:p>
      <w:pPr>
        <w:pStyle w:val="ArticleBody"/>
        <w:jc w:val="left"/>
      </w:pPr>
      <w:r>
        <w:rPr>
          <w:rFonts w:ascii="Times New Roman" w:hAnsi="Times New Roman" w:eastAsia="Times New Roman" w:cs="Times New Roman"/>
        </w:rPr>
        <w:t>Kumenyekanisha ubushobozi butatu bw’ubukobe nk’urwego rw’ubuhanuzi, bihuye n’urwego rw’ubuhanuzi rw’Abamillerite rwari ubushobozi bubiri bwa mbere bw’ubukobe, kandi kuba Abamillerite baramenye ko “iby’iteka” ari ubupagani byatanze amateka ahuje n’imirongo itandatu ya nyuma ya Daniyeli cumi na rimwe, nk’uko Sister White yavuze ko byagombye kuba. Bityo, kurwanywa kw’ubumenyi butari bwafunguwe mu gihe cy’imperuka mu 1989, kwabyaye umucyo urushijeho kuba mwinshi, uko ubumenyi bwagendaga bwiyongera, kandi byanagaragaje amategeko yihariye agenga kugenda kw’umutumwa wa gatatu, yaheranwaga n’iterambere ry’amategeko amwe n’amwe y’ubuhanuzi yari yarakusanyijwe kandi agakoreshwa mu rugendo rw’umutumwa wa mbere na William Miller.</w:t>
      </w:r>
    </w:p>
    <w:p>
      <w:pPr>
        <w:pStyle w:val="ArticleBody"/>
        <w:jc w:val="left"/>
      </w:pPr>
      <w:r>
        <w:rPr>
          <w:rFonts w:ascii="Ebrima" w:hAnsi="Ebrima" w:eastAsia="Ebrima" w:cs="Ebrima"/>
        </w:rPr>
        <w:t>እኛ</w:t>
      </w:r>
      <w:r>
        <w:rPr>
          <w:rFonts w:ascii="Times New Roman" w:hAnsi="Times New Roman" w:eastAsia="Times New Roman" w:cs="Times New Roman"/>
        </w:rPr>
        <w:t xml:space="preserve"> </w:t>
      </w:r>
      <w:r>
        <w:rPr>
          <w:rFonts w:ascii="Ebrima" w:hAnsi="Ebrima" w:eastAsia="Ebrima" w:cs="Ebrima"/>
        </w:rPr>
        <w:t>የሦስቱን</w:t>
      </w:r>
      <w:r>
        <w:rPr>
          <w:rFonts w:ascii="Times New Roman" w:hAnsi="Times New Roman" w:eastAsia="Times New Roman" w:cs="Times New Roman"/>
        </w:rPr>
        <w:t xml:space="preserve"> </w:t>
      </w:r>
      <w:r>
        <w:rPr>
          <w:rFonts w:ascii="Ebrima" w:hAnsi="Ebrima" w:eastAsia="Ebrima" w:cs="Ebrima"/>
        </w:rPr>
        <w:t>ሮማዎች</w:t>
      </w:r>
      <w:r>
        <w:rPr>
          <w:rFonts w:ascii="Times New Roman" w:hAnsi="Times New Roman" w:eastAsia="Times New Roman" w:cs="Times New Roman"/>
        </w:rPr>
        <w:t xml:space="preserve"> </w:t>
      </w:r>
      <w:r>
        <w:rPr>
          <w:rFonts w:ascii="Ebrima" w:hAnsi="Ebrima" w:eastAsia="Ebrima" w:cs="Ebrima"/>
        </w:rPr>
        <w:t>ሦስትዮሽ</w:t>
      </w:r>
      <w:r>
        <w:rPr>
          <w:rFonts w:ascii="Times New Roman" w:hAnsi="Times New Roman" w:eastAsia="Times New Roman" w:cs="Times New Roman"/>
        </w:rPr>
        <w:t xml:space="preserve"> </w:t>
      </w:r>
      <w:r>
        <w:rPr>
          <w:rFonts w:ascii="Ebrima" w:hAnsi="Ebrima" w:eastAsia="Ebrima" w:cs="Ebrima"/>
        </w:rPr>
        <w:t>ተግባራዊነት፣</w:t>
      </w:r>
      <w:r>
        <w:rPr>
          <w:rFonts w:ascii="Times New Roman" w:hAnsi="Times New Roman" w:eastAsia="Times New Roman" w:cs="Times New Roman"/>
        </w:rPr>
        <w:t xml:space="preserve"> </w:t>
      </w:r>
      <w:r>
        <w:rPr>
          <w:rFonts w:ascii="Ebrima" w:hAnsi="Ebrima" w:eastAsia="Ebrima" w:cs="Ebrima"/>
        </w:rPr>
        <w:t>የባቢሎንን</w:t>
      </w:r>
      <w:r>
        <w:rPr>
          <w:rFonts w:ascii="Times New Roman" w:hAnsi="Times New Roman" w:eastAsia="Times New Roman" w:cs="Times New Roman"/>
        </w:rPr>
        <w:t xml:space="preserve"> </w:t>
      </w:r>
      <w:r>
        <w:rPr>
          <w:rFonts w:ascii="Ebrima" w:hAnsi="Ebrima" w:eastAsia="Ebrima" w:cs="Ebrima"/>
        </w:rPr>
        <w:t>ሦስቱ</w:t>
      </w:r>
      <w:r>
        <w:rPr>
          <w:rFonts w:ascii="Times New Roman" w:hAnsi="Times New Roman" w:eastAsia="Times New Roman" w:cs="Times New Roman"/>
        </w:rPr>
        <w:t xml:space="preserve"> </w:t>
      </w:r>
      <w:r>
        <w:rPr>
          <w:rFonts w:ascii="Ebrima" w:hAnsi="Ebrima" w:eastAsia="Ebrima" w:cs="Ebrima"/>
        </w:rPr>
        <w:t>ውድቀቶች፣</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የሦስቱን</w:t>
      </w:r>
      <w:r>
        <w:rPr>
          <w:rFonts w:ascii="Times New Roman" w:hAnsi="Times New Roman" w:eastAsia="Times New Roman" w:cs="Times New Roman"/>
        </w:rPr>
        <w:t xml:space="preserve"> </w:t>
      </w:r>
      <w:r>
        <w:rPr>
          <w:rFonts w:ascii="Ebrima" w:hAnsi="Ebrima" w:eastAsia="Ebrima" w:cs="Ebrima"/>
        </w:rPr>
        <w:t>ኤልያሶች</w:t>
      </w:r>
      <w:r>
        <w:rPr>
          <w:rFonts w:ascii="Times New Roman" w:hAnsi="Times New Roman" w:eastAsia="Times New Roman" w:cs="Times New Roman"/>
        </w:rPr>
        <w:t xml:space="preserve"> </w:t>
      </w:r>
      <w:r>
        <w:rPr>
          <w:rFonts w:ascii="Ebrima" w:hAnsi="Ebrima" w:eastAsia="Ebrima" w:cs="Ebrima"/>
        </w:rPr>
        <w:t>ተመልክተናል፤</w:t>
      </w:r>
      <w:r>
        <w:rPr>
          <w:rFonts w:ascii="Times New Roman" w:hAnsi="Times New Roman" w:eastAsia="Times New Roman" w:cs="Times New Roman"/>
        </w:rPr>
        <w:t xml:space="preserve"> </w:t>
      </w:r>
      <w:r>
        <w:rPr>
          <w:rFonts w:ascii="Ebrima" w:hAnsi="Ebrima" w:eastAsia="Ebrima" w:cs="Ebrima"/>
        </w:rPr>
        <w:t>አሁንም</w:t>
      </w:r>
      <w:r>
        <w:rPr>
          <w:rFonts w:ascii="Times New Roman" w:hAnsi="Times New Roman" w:eastAsia="Times New Roman" w:cs="Times New Roman"/>
        </w:rPr>
        <w:t xml:space="preserve"> </w:t>
      </w:r>
      <w:r>
        <w:rPr>
          <w:rFonts w:ascii="Ebrima" w:hAnsi="Ebrima" w:eastAsia="Ebrima" w:cs="Ebrima"/>
        </w:rPr>
        <w:t>ለቃል</w:t>
      </w:r>
      <w:r>
        <w:rPr>
          <w:rFonts w:ascii="Times New Roman" w:hAnsi="Times New Roman" w:eastAsia="Times New Roman" w:cs="Times New Roman"/>
        </w:rPr>
        <w:t xml:space="preserve"> </w:t>
      </w:r>
      <w:r>
        <w:rPr>
          <w:rFonts w:ascii="Ebrima" w:hAnsi="Ebrima" w:eastAsia="Ebrima" w:cs="Ebrima"/>
        </w:rPr>
        <w:t>ኪዳኑ</w:t>
      </w:r>
      <w:r>
        <w:rPr>
          <w:rFonts w:ascii="Times New Roman" w:hAnsi="Times New Roman" w:eastAsia="Times New Roman" w:cs="Times New Roman"/>
        </w:rPr>
        <w:t xml:space="preserve"> </w:t>
      </w:r>
      <w:r>
        <w:rPr>
          <w:rFonts w:ascii="Ebrima" w:hAnsi="Ebrima" w:eastAsia="Ebrima" w:cs="Ebrima"/>
        </w:rPr>
        <w:t>መልእክተኛ</w:t>
      </w:r>
      <w:r>
        <w:rPr>
          <w:rFonts w:ascii="Times New Roman" w:hAnsi="Times New Roman" w:eastAsia="Times New Roman" w:cs="Times New Roman"/>
        </w:rPr>
        <w:t xml:space="preserve"> </w:t>
      </w:r>
      <w:r>
        <w:rPr>
          <w:rFonts w:ascii="Ebrima" w:hAnsi="Ebrima" w:eastAsia="Ebrima" w:cs="Ebrima"/>
        </w:rPr>
        <w:t>መንገዱን</w:t>
      </w:r>
      <w:r>
        <w:rPr>
          <w:rFonts w:ascii="Times New Roman" w:hAnsi="Times New Roman" w:eastAsia="Times New Roman" w:cs="Times New Roman"/>
        </w:rPr>
        <w:t xml:space="preserve"> </w:t>
      </w:r>
      <w:r>
        <w:rPr>
          <w:rFonts w:ascii="Ebrima" w:hAnsi="Ebrima" w:eastAsia="Ebrima" w:cs="Ebrima"/>
        </w:rPr>
        <w:t>የሚያዘጋጁትን</w:t>
      </w:r>
      <w:r>
        <w:rPr>
          <w:rFonts w:ascii="Times New Roman" w:hAnsi="Times New Roman" w:eastAsia="Times New Roman" w:cs="Times New Roman"/>
        </w:rPr>
        <w:t xml:space="preserve"> </w:t>
      </w:r>
      <w:r>
        <w:rPr>
          <w:rFonts w:ascii="Ebrima" w:hAnsi="Ebrima" w:eastAsia="Ebrima" w:cs="Ebrima"/>
        </w:rPr>
        <w:t>ሦስቱን</w:t>
      </w:r>
      <w:r>
        <w:rPr>
          <w:rFonts w:ascii="Times New Roman" w:hAnsi="Times New Roman" w:eastAsia="Times New Roman" w:cs="Times New Roman"/>
        </w:rPr>
        <w:t xml:space="preserve"> </w:t>
      </w:r>
      <w:r>
        <w:rPr>
          <w:rFonts w:ascii="Ebrima" w:hAnsi="Ebrima" w:eastAsia="Ebrima" w:cs="Ebrima"/>
        </w:rPr>
        <w:t>መልእክተኞች</w:t>
      </w:r>
      <w:r>
        <w:rPr>
          <w:rFonts w:ascii="Times New Roman" w:hAnsi="Times New Roman" w:eastAsia="Times New Roman" w:cs="Times New Roman"/>
        </w:rPr>
        <w:t xml:space="preserve"> </w:t>
      </w:r>
      <w:r>
        <w:rPr>
          <w:rFonts w:ascii="Ebrima" w:hAnsi="Ebrima" w:eastAsia="Ebrima" w:cs="Ebrima"/>
        </w:rPr>
        <w:t>እየመረመርን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በሦስቱ</w:t>
      </w:r>
      <w:r>
        <w:rPr>
          <w:rFonts w:ascii="Times New Roman" w:hAnsi="Times New Roman" w:eastAsia="Times New Roman" w:cs="Times New Roman"/>
        </w:rPr>
        <w:t xml:space="preserve"> </w:t>
      </w:r>
      <w:r>
        <w:rPr>
          <w:rFonts w:ascii="Ebrima" w:hAnsi="Ebrima" w:eastAsia="Ebrima" w:cs="Ebrima"/>
        </w:rPr>
        <w:t>ሮማዎችና</w:t>
      </w:r>
      <w:r>
        <w:rPr>
          <w:rFonts w:ascii="Times New Roman" w:hAnsi="Times New Roman" w:eastAsia="Times New Roman" w:cs="Times New Roman"/>
        </w:rPr>
        <w:t xml:space="preserve"> </w:t>
      </w:r>
      <w:r>
        <w:rPr>
          <w:rFonts w:ascii="Ebrima" w:hAnsi="Ebrima" w:eastAsia="Ebrima" w:cs="Ebrima"/>
        </w:rPr>
        <w:t>በባቢሎን</w:t>
      </w:r>
      <w:r>
        <w:rPr>
          <w:rFonts w:ascii="Times New Roman" w:hAnsi="Times New Roman" w:eastAsia="Times New Roman" w:cs="Times New Roman"/>
        </w:rPr>
        <w:t xml:space="preserve"> </w:t>
      </w:r>
      <w:r>
        <w:rPr>
          <w:rFonts w:ascii="Ebrima" w:hAnsi="Ebrima" w:eastAsia="Ebrima" w:cs="Ebrima"/>
        </w:rPr>
        <w:t>ሦስቱ</w:t>
      </w:r>
      <w:r>
        <w:rPr>
          <w:rFonts w:ascii="Times New Roman" w:hAnsi="Times New Roman" w:eastAsia="Times New Roman" w:cs="Times New Roman"/>
        </w:rPr>
        <w:t xml:space="preserve"> </w:t>
      </w:r>
      <w:r>
        <w:rPr>
          <w:rFonts w:ascii="Ebrima" w:hAnsi="Ebrima" w:eastAsia="Ebrima" w:cs="Ebrima"/>
        </w:rPr>
        <w:t>ውድቀቶች</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የቅርብ</w:t>
      </w:r>
      <w:r>
        <w:rPr>
          <w:rFonts w:ascii="Times New Roman" w:hAnsi="Times New Roman" w:eastAsia="Times New Roman" w:cs="Times New Roman"/>
        </w:rPr>
        <w:t xml:space="preserve"> </w:t>
      </w:r>
      <w:r>
        <w:rPr>
          <w:rFonts w:ascii="Ebrima" w:hAnsi="Ebrima" w:eastAsia="Ebrima" w:cs="Ebrima"/>
        </w:rPr>
        <w:t>መደራረብና</w:t>
      </w:r>
      <w:r>
        <w:rPr>
          <w:rFonts w:ascii="Times New Roman" w:hAnsi="Times New Roman" w:eastAsia="Times New Roman" w:cs="Times New Roman"/>
        </w:rPr>
        <w:t xml:space="preserve"> </w:t>
      </w:r>
      <w:r>
        <w:rPr>
          <w:rFonts w:ascii="Ebrima" w:hAnsi="Ebrima" w:eastAsia="Ebrima" w:cs="Ebrima"/>
        </w:rPr>
        <w:t>ትይዩነት</w:t>
      </w:r>
      <w:r>
        <w:rPr>
          <w:rFonts w:ascii="Times New Roman" w:hAnsi="Times New Roman" w:eastAsia="Times New Roman" w:cs="Times New Roman"/>
        </w:rPr>
        <w:t xml:space="preserve"> </w:t>
      </w:r>
      <w:r>
        <w:rPr>
          <w:rFonts w:ascii="Ebrima" w:hAnsi="Ebrima" w:eastAsia="Ebrima" w:cs="Ebrima"/>
        </w:rPr>
        <w:t>እንዳለ</w:t>
      </w:r>
      <w:r>
        <w:rPr>
          <w:rFonts w:ascii="Times New Roman" w:hAnsi="Times New Roman" w:eastAsia="Times New Roman" w:cs="Times New Roman"/>
        </w:rPr>
        <w:t xml:space="preserve"> </w:t>
      </w:r>
      <w:r>
        <w:rPr>
          <w:rFonts w:ascii="Ebrima" w:hAnsi="Ebrima" w:eastAsia="Ebrima" w:cs="Ebrima"/>
        </w:rPr>
        <w:t>ለይተናል፤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ከሦስቱ</w:t>
      </w:r>
      <w:r>
        <w:rPr>
          <w:rFonts w:ascii="Times New Roman" w:hAnsi="Times New Roman" w:eastAsia="Times New Roman" w:cs="Times New Roman"/>
        </w:rPr>
        <w:t xml:space="preserve"> </w:t>
      </w:r>
      <w:r>
        <w:rPr>
          <w:rFonts w:ascii="Ebrima" w:hAnsi="Ebrima" w:eastAsia="Ebrima" w:cs="Ebrima"/>
        </w:rPr>
        <w:t>ኤልያሶች</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መንገዱን</w:t>
      </w:r>
      <w:r>
        <w:rPr>
          <w:rFonts w:ascii="Times New Roman" w:hAnsi="Times New Roman" w:eastAsia="Times New Roman" w:cs="Times New Roman"/>
        </w:rPr>
        <w:t xml:space="preserve"> </w:t>
      </w:r>
      <w:r>
        <w:rPr>
          <w:rFonts w:ascii="Ebrima" w:hAnsi="Ebrima" w:eastAsia="Ebrima" w:cs="Ebrima"/>
        </w:rPr>
        <w:t>ከሚያዘጋጁት</w:t>
      </w:r>
      <w:r>
        <w:rPr>
          <w:rFonts w:ascii="Times New Roman" w:hAnsi="Times New Roman" w:eastAsia="Times New Roman" w:cs="Times New Roman"/>
        </w:rPr>
        <w:t xml:space="preserve"> </w:t>
      </w:r>
      <w:r>
        <w:rPr>
          <w:rFonts w:ascii="Ebrima" w:hAnsi="Ebrima" w:eastAsia="Ebrima" w:cs="Ebrima"/>
        </w:rPr>
        <w:t>ሦስቱ</w:t>
      </w:r>
      <w:r>
        <w:rPr>
          <w:rFonts w:ascii="Times New Roman" w:hAnsi="Times New Roman" w:eastAsia="Times New Roman" w:cs="Times New Roman"/>
        </w:rPr>
        <w:t xml:space="preserve"> </w:t>
      </w:r>
      <w:r>
        <w:rPr>
          <w:rFonts w:ascii="Ebrima" w:hAnsi="Ebrima" w:eastAsia="Ebrima" w:cs="Ebrima"/>
        </w:rPr>
        <w:t>መልእክተኞች</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የቅርብ</w:t>
      </w:r>
      <w:r>
        <w:rPr>
          <w:rFonts w:ascii="Times New Roman" w:hAnsi="Times New Roman" w:eastAsia="Times New Roman" w:cs="Times New Roman"/>
        </w:rPr>
        <w:t xml:space="preserve"> </w:t>
      </w:r>
      <w:r>
        <w:rPr>
          <w:rFonts w:ascii="Ebrima" w:hAnsi="Ebrima" w:eastAsia="Ebrima" w:cs="Ebrima"/>
        </w:rPr>
        <w:t>ትይዩነት</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አውቀናል።</w:t>
      </w:r>
      <w:r>
        <w:rPr>
          <w:rFonts w:ascii="Times New Roman" w:hAnsi="Times New Roman" w:eastAsia="Times New Roman" w:cs="Times New Roman"/>
        </w:rPr>
        <w:t xml:space="preserve"> </w:t>
      </w:r>
      <w:r>
        <w:rPr>
          <w:rFonts w:ascii="Ebrima" w:hAnsi="Ebrima" w:eastAsia="Ebrima" w:cs="Ebrima"/>
        </w:rPr>
        <w:t>በመጨረሻዎቹ</w:t>
      </w:r>
      <w:r>
        <w:rPr>
          <w:rFonts w:ascii="Times New Roman" w:hAnsi="Times New Roman" w:eastAsia="Times New Roman" w:cs="Times New Roman"/>
        </w:rPr>
        <w:t xml:space="preserve"> </w:t>
      </w:r>
      <w:r>
        <w:rPr>
          <w:rFonts w:ascii="Ebrima" w:hAnsi="Ebrima" w:eastAsia="Ebrima" w:cs="Ebrima"/>
        </w:rPr>
        <w:t>ቀኖች</w:t>
      </w:r>
      <w:r>
        <w:rPr>
          <w:rFonts w:ascii="Times New Roman" w:hAnsi="Times New Roman" w:eastAsia="Times New Roman" w:cs="Times New Roman"/>
        </w:rPr>
        <w:t xml:space="preserve"> </w:t>
      </w:r>
      <w:r>
        <w:rPr>
          <w:rFonts w:ascii="Ebrima" w:hAnsi="Ebrima" w:eastAsia="Ebrima" w:cs="Ebrima"/>
        </w:rPr>
        <w:t>ዊልያም</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Future for America </w:t>
      </w:r>
      <w:r>
        <w:rPr>
          <w:rFonts w:ascii="Ebrima" w:hAnsi="Ebrima" w:eastAsia="Ebrima" w:cs="Ebrima"/>
        </w:rPr>
        <w:t>ሁለቱም</w:t>
      </w:r>
      <w:r>
        <w:rPr>
          <w:rFonts w:ascii="Times New Roman" w:hAnsi="Times New Roman" w:eastAsia="Times New Roman" w:cs="Times New Roman"/>
        </w:rPr>
        <w:t xml:space="preserve"> </w:t>
      </w:r>
      <w:r>
        <w:rPr>
          <w:rFonts w:ascii="Ebrima" w:hAnsi="Ebrima" w:eastAsia="Ebrima" w:cs="Ebrima"/>
        </w:rPr>
        <w:t>ሦስተኛውን</w:t>
      </w:r>
      <w:r>
        <w:rPr>
          <w:rFonts w:ascii="Times New Roman" w:hAnsi="Times New Roman" w:eastAsia="Times New Roman" w:cs="Times New Roman"/>
        </w:rPr>
        <w:t xml:space="preserve"> </w:t>
      </w: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መንገዱን</w:t>
      </w:r>
      <w:r>
        <w:rPr>
          <w:rFonts w:ascii="Times New Roman" w:hAnsi="Times New Roman" w:eastAsia="Times New Roman" w:cs="Times New Roman"/>
        </w:rPr>
        <w:t xml:space="preserve"> </w:t>
      </w:r>
      <w:r>
        <w:rPr>
          <w:rFonts w:ascii="Ebrima" w:hAnsi="Ebrima" w:eastAsia="Ebrima" w:cs="Ebrima"/>
        </w:rPr>
        <w:t>የሚያዘጋጅ</w:t>
      </w:r>
      <w:r>
        <w:rPr>
          <w:rFonts w:ascii="Times New Roman" w:hAnsi="Times New Roman" w:eastAsia="Times New Roman" w:cs="Times New Roman"/>
        </w:rPr>
        <w:t xml:space="preserve"> </w:t>
      </w:r>
      <w:r>
        <w:rPr>
          <w:rFonts w:ascii="Ebrima" w:hAnsi="Ebrima" w:eastAsia="Ebrima" w:cs="Ebrima"/>
        </w:rPr>
        <w:t>ሦስተኛውን</w:t>
      </w:r>
      <w:r>
        <w:rPr>
          <w:rFonts w:ascii="Times New Roman" w:hAnsi="Times New Roman" w:eastAsia="Times New Roman" w:cs="Times New Roman"/>
        </w:rPr>
        <w:t xml:space="preserve"> </w:t>
      </w:r>
      <w:r>
        <w:rPr>
          <w:rFonts w:ascii="Ebrima" w:hAnsi="Ebrima" w:eastAsia="Ebrima" w:cs="Ebrima"/>
        </w:rPr>
        <w:t>መልእክተኛ</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ሁልጊዜ</w:t>
      </w:r>
      <w:r>
        <w:rPr>
          <w:rFonts w:ascii="Times New Roman" w:hAnsi="Times New Roman" w:eastAsia="Times New Roman" w:cs="Times New Roman"/>
        </w:rPr>
        <w:t xml:space="preserve"> </w:t>
      </w:r>
      <w:r>
        <w:rPr>
          <w:rFonts w:ascii="Ebrima" w:hAnsi="Ebrima" w:eastAsia="Ebrima" w:cs="Ebrima"/>
        </w:rPr>
        <w:t>የአንድን</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በዚያው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ይገልጻል፤</w:t>
      </w:r>
      <w:r>
        <w:rPr>
          <w:rFonts w:ascii="Times New Roman" w:hAnsi="Times New Roman" w:eastAsia="Times New Roman" w:cs="Times New Roman"/>
        </w:rPr>
        <w:t xml:space="preserve"> </w:t>
      </w:r>
      <w:r>
        <w:rPr>
          <w:rFonts w:ascii="Ebrima" w:hAnsi="Ebrima" w:eastAsia="Ebrima" w:cs="Ebrima"/>
        </w:rPr>
        <w:t>የመጀመሪያውም</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ከሦስተኛው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ትይዩ</w:t>
      </w:r>
      <w:r>
        <w:rPr>
          <w:rFonts w:ascii="Times New Roman" w:hAnsi="Times New Roman" w:eastAsia="Times New Roman" w:cs="Times New Roman"/>
        </w:rPr>
        <w:t xml:space="preserve"> </w:t>
      </w:r>
      <w:r>
        <w:rPr>
          <w:rFonts w:ascii="Ebrima" w:hAnsi="Ebrima" w:eastAsia="Ebrima" w:cs="Ebrima"/>
        </w:rPr>
        <w:t>ነው።</w:t>
      </w:r>
    </w:p>
    <w:p>
      <w:pPr>
        <w:pStyle w:val="ArticleScripture"/>
        <w:jc w:val="left"/>
      </w:pPr>
      <w:r>
        <w:rPr>
          <w:rFonts w:ascii="Times New Roman" w:hAnsi="Times New Roman" w:eastAsia="Times New Roman" w:cs="Times New Roman"/>
        </w:rPr>
        <w:t>«Gott hat den Botschaften aus Offenbarung 14 ihren Platz in der Linie der Weissagung zugewiesen, und ihr Werk soll nicht aufhören bis zum Abschluss der Geschichte dieser Erde. Die Botschaften des ersten und zweiten Engels sind noch immer Wahrheit für diese Zeit und sollen parallel zu dieser verlaufen, die folgt. Der dritte Engel verkündigt seine Warnung mit lauter Stimme. „Nach diesem“, sagte Johannes, „sah ich einen anderen Engel vom Himmel herabkommen, der große Macht hatte; und die Erde wurde von seiner Herrlichkeit erleuchtet.“ In dieser Erleuchtung ist das Licht aller drei Botschaften vereint.» The 1888 Materials, 803, 804.</w:t>
      </w:r>
    </w:p>
    <w:p>
      <w:pPr>
        <w:pStyle w:val="ArticleBody"/>
        <w:jc w:val="left"/>
      </w:pPr>
      <w:r>
        <w:rPr>
          <w:rFonts w:ascii="Times New Roman" w:hAnsi="Times New Roman" w:eastAsia="Times New Roman" w:cs="Times New Roman"/>
        </w:rPr>
        <w:t>De beweging van de eerste en de tweede engel werd geleid door William Miller. Zuster White duidt Miller aan als de „uitverkoren boodschapper.”</w:t>
      </w:r>
    </w:p>
    <w:p>
      <w:pPr>
        <w:pStyle w:val="ArticleScripture"/>
        <w:jc w:val="left"/>
      </w:pPr>
      <w:r>
        <w:rPr>
          <w:rFonts w:ascii="Times New Roman" w:hAnsi="Times New Roman" w:eastAsia="Times New Roman" w:cs="Times New Roman"/>
        </w:rPr>
        <w:t>« William Miller troublait le royaume de Satan, et l’ennemi juré cherchait non seulement à contrecarrer l’effet du message, mais encore à détruire le messager lui-même. » Spirit of Prophecy, volume 4, 219.</w:t>
      </w:r>
    </w:p>
    <w:p>
      <w:pPr>
        <w:pStyle w:val="ArticleBody"/>
        <w:jc w:val="left"/>
      </w:pPr>
      <w:r>
        <w:rPr>
          <w:rFonts w:ascii="Times New Roman" w:hAnsi="Times New Roman" w:eastAsia="Times New Roman" w:cs="Times New Roman"/>
        </w:rPr>
        <w:t>Elle identifie également que Miller avait été préfiguré à la fois par Élie et par Jean-Baptiste.</w:t>
      </w:r>
    </w:p>
    <w:p>
      <w:pPr>
        <w:pStyle w:val="ArticleScripture"/>
        <w:jc w:val="left"/>
      </w:pPr>
      <w:r>
        <w:rPr>
          <w:rFonts w:ascii="Times New Roman" w:hAnsi="Times New Roman" w:eastAsia="Times New Roman" w:cs="Times New Roman"/>
        </w:rPr>
        <w:t>« Des milliers de personnes furent amenées à embrasser la vérité prêchée par William Miller, et des serviteurs de Dieu furent suscités dans l’esprit et la puissance d’Élie pour proclamer le message. Comme Jean, le précurseur de Jésus, ceux qui prêchaient ce solennel message se sentaient contraints de mettre la cognée à la racine de l’arbre et d’appeler les hommes à produire des fruits dignes de la repentance. » Early Writings, 233.</w:t>
      </w:r>
    </w:p>
    <w:p>
      <w:pPr>
        <w:pStyle w:val="ArticleBody"/>
        <w:jc w:val="left"/>
      </w:pPr>
      <w:r>
        <w:rPr>
          <w:rFonts w:ascii="Times New Roman" w:hAnsi="Times New Roman" w:eastAsia="Times New Roman" w:cs="Times New Roman"/>
        </w:rPr>
        <w:t>Jean-Baptiste, qui, selon Jésus, était le second Élie, fut aussi le premier messager qui devait préparer la voie au Messager de l’Alliance. Il est donc évident que le mouvement du troisième ange aura un « messager choisi ». Ce messager aura été typifié par Élie, Jean-Baptiste et William Miller. Avec Miller, les deux messagers choisis représentent le commencement et l’achèvement du mouvement des trois anges d’Apocalypse quatorze, et ce faisant, ils représentent ensemble à la fois le troisième Élie et aussi le troisième messager qui doit préparer la voie au Messager de l’Alliance.</w:t>
      </w:r>
    </w:p>
    <w:p>
      <w:pPr>
        <w:pStyle w:val="ArticleBody"/>
        <w:jc w:val="left"/>
      </w:pPr>
      <w:r>
        <w:rPr>
          <w:rFonts w:ascii="Times New Roman" w:hAnsi="Times New Roman" w:eastAsia="Times New Roman" w:cs="Times New Roman"/>
        </w:rPr>
        <w:t>رفضُ رسالةِ الرسولِ المختارِ في البداية أو في النهاية هو موتٌ، ورسالةُ Future for America قائمةٌ على التطبيق النبويّ لمبدأ «سطرًا على سطر»، وهو منهجُ المطرِ المتأخِّر. ومن خلال تطبيق «سطرًا على سطر» يتقرَّر أنَّ الحركةَ الميلرية كانت رمزًا مسبقًا لحركة Future for America. ومن معالم تاريخ الميلريين وليم ميلر، «الرسول المختار». ورفضُ ذلك المعلَم هو رفضٌ للرسالة؛ وهكذا يتبيَّن من بداية الأدڤنتية ونهايتها أنَّ رفضَ الرسول هو أيضًا رفضٌ للرسالة، لأنَّ الرسالةَ تُعرِّف رسولًا مختارًا. لذلك، فإنَّ رفضَ الرسالة هو رفضٌ للرسول، وبالعكس. فبدون راقصٍ لا تكون هناك رقصة.</w:t>
      </w:r>
    </w:p>
    <w:p>
      <w:pPr>
        <w:pStyle w:val="ArticleScripture"/>
        <w:jc w:val="left"/>
      </w:pPr>
      <w:r>
        <w:rPr>
          <w:rFonts w:ascii="Times New Roman" w:hAnsi="Times New Roman" w:eastAsia="Times New Roman" w:cs="Times New Roman"/>
        </w:rPr>
        <w:t>«Я была обращена вновь к возвещению первого пришествия Христа. Иоанн был послан в духе и силе Илии, чтобы приготовить путь Иисусу. Те, кто отверг свидетельство Иоанна, не получили пользы от учения Иисуса. Их противление вести, предвозвещавшей Его пришествие, поставило их в такое положение, что они не могли с готовностью принять самые сильные доказательства того, что Он был Мессией. Сатана побудил отвергнувших весть Иоанна пойти ещё дальше — отвергнуть и распять Христа. Поступив так, они поставили себя туда, где не могли принять благословение в день Пятидесятницы, которое научило бы их пути в небесное святилище. Раздрание храмовой завесы показало, что иудейские жертвы и обряды более не будут принимаемы. Великая Жертва была принесена и была принята, и Святой Дух, сошедший в день Пятидесятницы, направил мысли учеников от земного святилища к небесному, куда Иисус вошёл со Своею собственной кровью, чтобы излить на Своих учеников благословения Своего искупления. Но иудеи были оставлены во тьме полной. Они утратили весь свет, который могли бы иметь о плане спасения, и всё ещё полагались на свои бесполезные жертвы и приношения. Небесное святилище заняло место земного, однако они не имели никакого знания об этой перемене. Поэтому они не могли получить пользы от ходатайственного служения Христа во Святом».</w:t>
      </w:r>
    </w:p>
    <w:p>
      <w:pPr>
        <w:pStyle w:val="ArticleScripture"/>
        <w:jc w:val="left"/>
      </w:pPr>
      <w:r>
        <w:rPr>
          <w:rFonts w:ascii="Times New Roman" w:hAnsi="Times New Roman" w:eastAsia="Times New Roman" w:cs="Times New Roman"/>
        </w:rPr>
        <w:t>«Бисёриҳо ба роҳи яҳудиён, ки Масеҳро рад карданд ва ба салиб кашиданд, бо даҳшат менигаранд; ва ҳангоме ки онҳо таърихи таҳқири нангини Ӯро мехонанд, гумон мекунанд, ки Ӯро дӯст медоранд ва, чунон ки Петрус кард, Ӯро инкор намекарданд, ё, чунон ки яҳудиён карданд, Ӯро ба салиб намекашиданд. Аммо Худое ки дилҳои ҳамаро мехонад, он муҳаббатеро, ки онҳо даъво доштанд нисбат ба Исо эҳсос мекунанд, ба озмоиш овардааст. Тамоми осмон бо амиқтарин таваҷҷуҳ қабули паёми фариштаи аввалро мушоҳида мекард. Аммо бисёре, ки даъво мекарданд Исоро дӯст медоранд ва ҳангоми хондани достони салиб ашк мерехтанд, хабари хуши омадани Ӯро масхара карданд. Ба ҷои он ки паёмро бо шодӣ бипазиранд, онро фиреб эълон карданд. Онҳо аз касоне ки зуҳури Ӯро дӯст медоштанд, нафрат доштанд ва онҳоро аз калисоҳо берун карданд. Онҳое ки паёми аввалро рад карданд, аз паёми дуюм манфиат гирифта натавонистанд; ҳамчунин аз нидои нисфи шаб низ баҳра наёфтанд, ки мебоист онҳоро омода созад, то бо имон бо Исо ба муқаддастарин ҷойи муқаддаси осмонӣ дохил шаванд. Ва бо рад кардани он ду паёми пешин, фаҳмиши худро чунон торик гардонидаанд, ки дар паёми фариштаи сеюм, ки роҳи ба муқаддастарин ҷойро нишон медиҳад, ҳеҷ нуре дида наметавонанд. Ман дидам, ки чунон ки яҳудиён Исоро ба салиб кашиданд, калисоҳои исмӣ низ ин паёмҳоро ба салиб кашидаанд; бинобар ин, онҳо аз роҳи ба муқаддастарин ҷой бурдан ҳеҷ донише надоранд, ва аз шафоати Исо дар он ҷо баҳраманд шуда наметавонанд. Монанди яҳудиён, ки қурбониҳои бефоидаи худро тақдим мекарданд, онҳо низ дуоҳои бефоидаи худро ба он қисмате мебаранд, ки Исо онро тарк кардааст; ва шайтон, ки аз ин фиреб хушнуд аст, симои динӣ ба худ мегирад ва зеҳни ин масеҳиёни эътирофкунандаро ба сӯи худ мебарад, бо қуввати худ, бо аломатҳои худ ва бо мӯъҷизаҳои дурӯғини худ амал карда, то онҳоро дар доми худ маҳкам созад.» Early Writings, 259–261.</w:t>
      </w:r>
    </w:p>
    <w:p>
      <w:pPr>
        <w:pStyle w:val="ArticleBody"/>
        <w:jc w:val="left"/>
      </w:pPr>
      <w:r>
        <w:rPr>
          <w:rFonts w:ascii="Times New Roman" w:hAnsi="Times New Roman" w:eastAsia="Times New Roman" w:cs="Times New Roman"/>
        </w:rPr>
        <w:t>Wale “amene walikataa ushuhuda wa Yohana hawakunufaika kwa mafundisho ya Yesu,” na wale “waliokataa ujumbe wa kwanza hawangeweza kunufaika kwa wa pili; wala hawakunufaika kwa kilio cha usiku wa manane.” Huduma ya Yohana ilitangulia ubatizo wa Kristo, ambaye muda mfupi baadaye aliisafisha hekalu mwanzoni mwa huduma Yake. Huduma ya Miller ilitayarisha kwa Kristo kuwatakasa wana wa Lawi alipokuja ghafula tarehe 22 Oktoba, 1844. Katika yeyote wa mashahidi hao wawili, kumkataa mjumbe aandaye njia kwalingana na mauti.</w:t>
      </w:r>
    </w:p>
    <w:p>
      <w:pPr>
        <w:pStyle w:val="ArticleBody"/>
        <w:jc w:val="left"/>
      </w:pPr>
      <w:r>
        <w:rPr>
          <w:rFonts w:ascii="Times New Roman" w:hAnsi="Times New Roman" w:eastAsia="Times New Roman" w:cs="Times New Roman"/>
        </w:rPr>
        <w:t>Mchakato wa utakaso na usafishaji uliotimizwa na Kristo katika kazi Yake kama Mjumbe wa Agano ulikuwa kwa kusudi la kuinua watu watakaotimiza kazi ya kubeba ujumbe wa wokovu kuupeleka ulimwenguni. Kazi hiyo hutimizwa kabla ya kipindi cha wakati kinachowakilisha mwanzo wa hukumu ya utekelezaji. Kuangamizwa kwa Yerusalemu katika historia ya wanafunzi kunawakilisha hukumu ya utekelezaji, na Waadventista waligeuka wakaiacha dhamana yao ya kuitimiza kazi hiyo, lakini Bwana alikuwa amejaribu kuwakusanya pamoja. Alikuwa amewaongoza watu Wake kuchapisha chati ya 1850 kama kielelezo cha picha cha ujumbe ambao wangeweza kuupeleka ulimwenguni.</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មិនមែនជាព្រះហឫទ័យរបស់ព្រះទេដែលឲ្យអ៊ីស្រាអែលវង្វេងអស់រយៈពេលសែសិបឆ្នាំនៅក្នុងទីរហោស្ថាន</w:t>
      </w:r>
      <w:r>
        <w:rPr>
          <w:rFonts w:ascii="Times New Roman" w:hAnsi="Times New Roman" w:eastAsia="Times New Roman" w:cs="Times New Roman"/>
        </w:rPr>
        <w:t xml:space="preserve">; </w:t>
      </w:r>
      <w:r>
        <w:rPr>
          <w:rFonts w:ascii="Leelawadee UI" w:hAnsi="Leelawadee UI" w:eastAsia="Leelawadee UI" w:cs="Leelawadee UI"/>
        </w:rPr>
        <w:t>ព្រះអង្គមានព្រះបំណងនាំពួកគេចូលទៅដល់ទឹកដីកាណានដោយផ្ទាល់</w:t>
      </w:r>
      <w:r>
        <w:rPr>
          <w:rFonts w:ascii="Times New Roman" w:hAnsi="Times New Roman" w:eastAsia="Times New Roman" w:cs="Times New Roman"/>
        </w:rPr>
        <w:t xml:space="preserve"> </w:t>
      </w:r>
      <w:r>
        <w:rPr>
          <w:rFonts w:ascii="Leelawadee UI" w:hAnsi="Leelawadee UI" w:eastAsia="Leelawadee UI" w:cs="Leelawadee UI"/>
        </w:rPr>
        <w:t>ហើយតាំងពួកគេឲ្យស្ថិតនៅទីនោះ</w:t>
      </w:r>
      <w:r>
        <w:rPr>
          <w:rFonts w:ascii="Times New Roman" w:hAnsi="Times New Roman" w:eastAsia="Times New Roman" w:cs="Times New Roman"/>
        </w:rPr>
        <w:t xml:space="preserve"> </w:t>
      </w:r>
      <w:r>
        <w:rPr>
          <w:rFonts w:ascii="Leelawadee UI" w:hAnsi="Leelawadee UI" w:eastAsia="Leelawadee UI" w:cs="Leelawadee UI"/>
        </w:rPr>
        <w:t>ជាប្រជាជនបរិសុទ្ធ</w:t>
      </w:r>
      <w:r>
        <w:rPr>
          <w:rFonts w:ascii="Times New Roman" w:hAnsi="Times New Roman" w:eastAsia="Times New Roman" w:cs="Times New Roman"/>
        </w:rPr>
        <w:t xml:space="preserve"> </w:t>
      </w:r>
      <w:r>
        <w:rPr>
          <w:rFonts w:ascii="Leelawadee UI" w:hAnsi="Leelawadee UI" w:eastAsia="Leelawadee UI" w:cs="Leelawadee UI"/>
        </w:rPr>
        <w:t>មង្គល</w:t>
      </w:r>
      <w:r>
        <w:rPr>
          <w:rFonts w:ascii="Times New Roman" w:hAnsi="Times New Roman" w:eastAsia="Times New Roman" w:cs="Times New Roman"/>
        </w:rPr>
        <w:t xml:space="preserve"> </w:t>
      </w:r>
      <w:r>
        <w:rPr>
          <w:rFonts w:ascii="Leelawadee UI" w:hAnsi="Leelawadee UI" w:eastAsia="Leelawadee UI" w:cs="Leelawadee UI"/>
        </w:rPr>
        <w:t>និងមានសុភមង្គល។</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ពួកគេមិនអាចចូលទៅបាន</w:t>
      </w:r>
      <w:r>
        <w:rPr>
          <w:rFonts w:ascii="Times New Roman" w:hAnsi="Times New Roman" w:eastAsia="Times New Roman" w:cs="Times New Roman"/>
        </w:rPr>
        <w:t xml:space="preserve"> </w:t>
      </w:r>
      <w:r>
        <w:rPr>
          <w:rFonts w:ascii="Leelawadee UI" w:hAnsi="Leelawadee UI" w:eastAsia="Leelawadee UI" w:cs="Leelawadee UI"/>
        </w:rPr>
        <w:t>ដោយព្រោះការមិនជឿ</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ហេប្រឺ</w:t>
      </w:r>
      <w:r>
        <w:rPr>
          <w:rFonts w:ascii="Times New Roman" w:hAnsi="Times New Roman" w:eastAsia="Times New Roman" w:cs="Times New Roman"/>
        </w:rPr>
        <w:t xml:space="preserve"> 3:19</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ដោយសារការបោះបង់ផ្លូវ</w:t>
      </w:r>
      <w:r>
        <w:rPr>
          <w:rFonts w:ascii="Times New Roman" w:hAnsi="Times New Roman" w:eastAsia="Times New Roman" w:cs="Times New Roman"/>
        </w:rPr>
        <w:t xml:space="preserve"> </w:t>
      </w:r>
      <w:r>
        <w:rPr>
          <w:rFonts w:ascii="Leelawadee UI" w:hAnsi="Leelawadee UI" w:eastAsia="Leelawadee UI" w:cs="Leelawadee UI"/>
        </w:rPr>
        <w:t>និងការក្បត់ជំនឿរបស់ពួកគេ</w:t>
      </w:r>
      <w:r>
        <w:rPr>
          <w:rFonts w:ascii="Times New Roman" w:hAnsi="Times New Roman" w:eastAsia="Times New Roman" w:cs="Times New Roman"/>
        </w:rPr>
        <w:t xml:space="preserve"> </w:t>
      </w:r>
      <w:r>
        <w:rPr>
          <w:rFonts w:ascii="Leelawadee UI" w:hAnsi="Leelawadee UI" w:eastAsia="Leelawadee UI" w:cs="Leelawadee UI"/>
        </w:rPr>
        <w:t>ពួកគេបានវិនាសនៅក្នុងវាលរហោស្ថាន</w:t>
      </w:r>
      <w:r>
        <w:rPr>
          <w:rFonts w:ascii="Times New Roman" w:hAnsi="Times New Roman" w:eastAsia="Times New Roman" w:cs="Times New Roman"/>
        </w:rPr>
        <w:t xml:space="preserve"> </w:t>
      </w:r>
      <w:r>
        <w:rPr>
          <w:rFonts w:ascii="Leelawadee UI" w:hAnsi="Leelawadee UI" w:eastAsia="Leelawadee UI" w:cs="Leelawadee UI"/>
        </w:rPr>
        <w:t>ហើយអ្នកដទៃត្រូវបានលើកឡើងមក</w:t>
      </w:r>
      <w:r>
        <w:rPr>
          <w:rFonts w:ascii="Times New Roman" w:hAnsi="Times New Roman" w:eastAsia="Times New Roman" w:cs="Times New Roman"/>
        </w:rPr>
        <w:t xml:space="preserve"> </w:t>
      </w:r>
      <w:r>
        <w:rPr>
          <w:rFonts w:ascii="Leelawadee UI" w:hAnsi="Leelawadee UI" w:eastAsia="Leelawadee UI" w:cs="Leelawadee UI"/>
        </w:rPr>
        <w:t>ដើម្បីចូលទៅក្នុងទឹកដីសន្យា។</w:t>
      </w:r>
      <w:r>
        <w:rPr>
          <w:rFonts w:ascii="Times New Roman" w:hAnsi="Times New Roman" w:eastAsia="Times New Roman" w:cs="Times New Roman"/>
        </w:rPr>
        <w:t xml:space="preserve"> </w:t>
      </w:r>
      <w:r>
        <w:rPr>
          <w:rFonts w:ascii="Leelawadee UI" w:hAnsi="Leelawadee UI" w:eastAsia="Leelawadee UI" w:cs="Leelawadee UI"/>
        </w:rPr>
        <w:t>ដូចគ្នានេះដែរ</w:t>
      </w:r>
      <w:r>
        <w:rPr>
          <w:rFonts w:ascii="Times New Roman" w:hAnsi="Times New Roman" w:eastAsia="Times New Roman" w:cs="Times New Roman"/>
        </w:rPr>
        <w:t xml:space="preserve"> </w:t>
      </w:r>
      <w:r>
        <w:rPr>
          <w:rFonts w:ascii="Leelawadee UI" w:hAnsi="Leelawadee UI" w:eastAsia="Leelawadee UI" w:cs="Leelawadee UI"/>
        </w:rPr>
        <w:t>មិនមែនជាព្រះហឫទ័យរបស់ព្រះទេដែលឲ្យការយាងមករបស់ព្រះគ្រីស្ទត្រូវបានពន្យារពេលយូរដល់ម៉្លឹងនេះ</w:t>
      </w:r>
      <w:r>
        <w:rPr>
          <w:rFonts w:ascii="Times New Roman" w:hAnsi="Times New Roman" w:eastAsia="Times New Roman" w:cs="Times New Roman"/>
        </w:rPr>
        <w:t xml:space="preserve"> </w:t>
      </w:r>
      <w:r>
        <w:rPr>
          <w:rFonts w:ascii="Leelawadee UI" w:hAnsi="Leelawadee UI" w:eastAsia="Leelawadee UI" w:cs="Leelawadee UI"/>
        </w:rPr>
        <w:t>ហើយឲ្យប្រជារាស្ត្ររបស់ព្រះអង្គនៅសល់អស់រយៈពេលជាច្រើនឆ្នាំនៅក្នុងលោកីយ៍នៃអំពើបាប</w:t>
      </w:r>
      <w:r>
        <w:rPr>
          <w:rFonts w:ascii="Times New Roman" w:hAnsi="Times New Roman" w:eastAsia="Times New Roman" w:cs="Times New Roman"/>
        </w:rPr>
        <w:t xml:space="preserve"> </w:t>
      </w:r>
      <w:r>
        <w:rPr>
          <w:rFonts w:ascii="Leelawadee UI" w:hAnsi="Leelawadee UI" w:eastAsia="Leelawadee UI" w:cs="Leelawadee UI"/>
        </w:rPr>
        <w:t>និងសេចក្តីទុក្ខនេះ។</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ការមិនជឿបានបំបែកពួកគេចេញពីព្រះ។</w:t>
      </w:r>
      <w:r>
        <w:rPr>
          <w:rFonts w:ascii="Times New Roman" w:hAnsi="Times New Roman" w:eastAsia="Times New Roman" w:cs="Times New Roman"/>
        </w:rPr>
        <w:t xml:space="preserve"> </w:t>
      </w:r>
      <w:r>
        <w:rPr>
          <w:rFonts w:ascii="Leelawadee UI" w:hAnsi="Leelawadee UI" w:eastAsia="Leelawadee UI" w:cs="Leelawadee UI"/>
        </w:rPr>
        <w:t>ដោយសារពួកគេបដិសេធមិនព្រមធ្វើកិច្ចការដែលព្រះអង្គបានតែងតាំងឲ្យពួកគេធ្វើ</w:t>
      </w:r>
      <w:r>
        <w:rPr>
          <w:rFonts w:ascii="Times New Roman" w:hAnsi="Times New Roman" w:eastAsia="Times New Roman" w:cs="Times New Roman"/>
        </w:rPr>
        <w:t xml:space="preserve"> </w:t>
      </w:r>
      <w:r>
        <w:rPr>
          <w:rFonts w:ascii="Leelawadee UI" w:hAnsi="Leelawadee UI" w:eastAsia="Leelawadee UI" w:cs="Leelawadee UI"/>
        </w:rPr>
        <w:t>អ្នកដទៃត្រូវបានលើកឡើងមក</w:t>
      </w:r>
      <w:r>
        <w:rPr>
          <w:rFonts w:ascii="Times New Roman" w:hAnsi="Times New Roman" w:eastAsia="Times New Roman" w:cs="Times New Roman"/>
        </w:rPr>
        <w:t xml:space="preserve"> </w:t>
      </w:r>
      <w:r>
        <w:rPr>
          <w:rFonts w:ascii="Leelawadee UI" w:hAnsi="Leelawadee UI" w:eastAsia="Leelawadee UI" w:cs="Leelawadee UI"/>
        </w:rPr>
        <w:t>ដើម្បីប្រកាសសារ។</w:t>
      </w:r>
      <w:r>
        <w:rPr>
          <w:rFonts w:ascii="Times New Roman" w:hAnsi="Times New Roman" w:eastAsia="Times New Roman" w:cs="Times New Roman"/>
        </w:rPr>
        <w:t xml:space="preserve"> </w:t>
      </w:r>
      <w:r>
        <w:rPr>
          <w:rFonts w:ascii="Leelawadee UI" w:hAnsi="Leelawadee UI" w:eastAsia="Leelawadee UI" w:cs="Leelawadee UI"/>
        </w:rPr>
        <w:t>ដោយព្រះមេត្តាចំពោះលោកីយ៍</w:t>
      </w:r>
      <w:r>
        <w:rPr>
          <w:rFonts w:ascii="Times New Roman" w:hAnsi="Times New Roman" w:eastAsia="Times New Roman" w:cs="Times New Roman"/>
        </w:rPr>
        <w:t xml:space="preserve"> </w:t>
      </w:r>
      <w:r>
        <w:rPr>
          <w:rFonts w:ascii="Leelawadee UI" w:hAnsi="Leelawadee UI" w:eastAsia="Leelawadee UI" w:cs="Leelawadee UI"/>
        </w:rPr>
        <w:t>ព្រះយេស៊ូវពន្យារពេលការយាងមករបស់ព្រះអង្គ</w:t>
      </w:r>
      <w:r>
        <w:rPr>
          <w:rFonts w:ascii="Times New Roman" w:hAnsi="Times New Roman" w:eastAsia="Times New Roman" w:cs="Times New Roman"/>
        </w:rPr>
        <w:t xml:space="preserve"> </w:t>
      </w:r>
      <w:r>
        <w:rPr>
          <w:rFonts w:ascii="Leelawadee UI" w:hAnsi="Leelawadee UI" w:eastAsia="Leelawadee UI" w:cs="Leelawadee UI"/>
        </w:rPr>
        <w:t>ដើម្បីឲ្យមនុស្សបាបមានឱកាសស្តាប់ការព្រមាន</w:t>
      </w:r>
      <w:r>
        <w:rPr>
          <w:rFonts w:ascii="Times New Roman" w:hAnsi="Times New Roman" w:eastAsia="Times New Roman" w:cs="Times New Roman"/>
        </w:rPr>
        <w:t xml:space="preserve"> </w:t>
      </w:r>
      <w:r>
        <w:rPr>
          <w:rFonts w:ascii="Leelawadee UI" w:hAnsi="Leelawadee UI" w:eastAsia="Leelawadee UI" w:cs="Leelawadee UI"/>
        </w:rPr>
        <w:t>ហើយស្វែងរកជម្រកនៅក្នុងព្រះអង្គ</w:t>
      </w:r>
      <w:r>
        <w:rPr>
          <w:rFonts w:ascii="Times New Roman" w:hAnsi="Times New Roman" w:eastAsia="Times New Roman" w:cs="Times New Roman"/>
        </w:rPr>
        <w:t xml:space="preserve"> </w:t>
      </w:r>
      <w:r>
        <w:rPr>
          <w:rFonts w:ascii="Leelawadee UI" w:hAnsi="Leelawadee UI" w:eastAsia="Leelawadee UI" w:cs="Leelawadee UI"/>
        </w:rPr>
        <w:t>មុនពេលព្រះពិរោធរបស់ព្រះនឹងត្រូវបានចាក់ចេញមក</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The Great Controversy, 458.</w:t>
      </w:r>
    </w:p>
    <w:p>
      <w:pPr>
        <w:pStyle w:val="ArticleBody"/>
        <w:jc w:val="left"/>
      </w:pPr>
      <w:r>
        <w:rPr>
          <w:rFonts w:ascii="Ebrima" w:hAnsi="Ebrima" w:eastAsia="Ebrima" w:cs="Ebrima"/>
        </w:rPr>
        <w:t>አድቬንቲዝም</w:t>
      </w:r>
      <w:r>
        <w:rPr>
          <w:rFonts w:ascii="Times New Roman" w:hAnsi="Times New Roman" w:eastAsia="Times New Roman" w:cs="Times New Roman"/>
        </w:rPr>
        <w:t xml:space="preserve"> </w:t>
      </w:r>
      <w:r>
        <w:rPr>
          <w:rFonts w:ascii="Ebrima" w:hAnsi="Ebrima" w:eastAsia="Ebrima" w:cs="Ebrima"/>
        </w:rPr>
        <w:t>እምነታቸውን</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አጥብቀው</w:t>
      </w:r>
      <w:r>
        <w:rPr>
          <w:rFonts w:ascii="Times New Roman" w:hAnsi="Times New Roman" w:eastAsia="Times New Roman" w:cs="Times New Roman"/>
        </w:rPr>
        <w:t xml:space="preserve"> </w:t>
      </w:r>
      <w:r>
        <w:rPr>
          <w:rFonts w:ascii="Ebrima" w:hAnsi="Ebrima" w:eastAsia="Ebrima" w:cs="Ebrima"/>
        </w:rPr>
        <w:t>ቢይዙ</w:t>
      </w:r>
      <w:r>
        <w:rPr>
          <w:rFonts w:ascii="Times New Roman" w:hAnsi="Times New Roman" w:eastAsia="Times New Roman" w:cs="Times New Roman"/>
        </w:rPr>
        <w:t xml:space="preserve"> </w:t>
      </w:r>
      <w:r>
        <w:rPr>
          <w:rFonts w:ascii="Ebrima" w:hAnsi="Ebrima" w:eastAsia="Ebrima" w:cs="Ebrima"/>
        </w:rPr>
        <w:t>ኖሮ፣</w:t>
      </w:r>
      <w:r>
        <w:rPr>
          <w:rFonts w:ascii="Times New Roman" w:hAnsi="Times New Roman" w:eastAsia="Times New Roman" w:cs="Times New Roman"/>
        </w:rPr>
        <w:t xml:space="preserve"> “</w:t>
      </w:r>
      <w:r>
        <w:rPr>
          <w:rFonts w:ascii="Ebrima" w:hAnsi="Ebrima" w:eastAsia="Ebrima" w:cs="Ebrima"/>
        </w:rPr>
        <w:t>ሥራቸው</w:t>
      </w:r>
      <w:r>
        <w:rPr>
          <w:rFonts w:ascii="Times New Roman" w:hAnsi="Times New Roman" w:eastAsia="Times New Roman" w:cs="Times New Roman"/>
        </w:rPr>
        <w:t xml:space="preserve"> </w:t>
      </w:r>
      <w:r>
        <w:rPr>
          <w:rFonts w:ascii="Ebrima" w:hAnsi="Ebrima" w:eastAsia="Ebrima" w:cs="Ebrima"/>
        </w:rPr>
        <w:t>በተፈጸመ</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«Hadde adventistene, etter den store skuffelsen i 1844, holdt fast ved sin tro og fortsatt i enhet å følge Guds åpnende forsyn, idet de tok imot den tredje engels budskap og i Den Hellige Ånds kraft forkynte det for verden, ville de ha sett Guds frelse; Herren ville mektig ha virket med deres anstrengelser, verket ville ha blitt fullført, og Kristus ville allerede ha kommet for å motta sitt folk til deres lønn. Men i den periode av tvil og usikkerhet som fulgte etter skuffelsen, gav mange av de adventtroende avkall på sin tro.... Slik ble verket hindret, og verden ble etterlatt i mørke. Hadde hele adventistlegemet forent seg om Guds bud og Jesu tro, hvor vidt annerledes ville ikke vår historie ha vært!» Evangelism, 695.</w:t>
      </w:r>
    </w:p>
    <w:p>
      <w:pPr>
        <w:pStyle w:val="ArticleBody"/>
        <w:jc w:val="left"/>
      </w:pPr>
      <w:r>
        <w:rPr>
          <w:rFonts w:ascii="Times New Roman" w:hAnsi="Times New Roman" w:eastAsia="Times New Roman" w:cs="Times New Roman"/>
        </w:rPr>
        <w:t>Sa Panahon ng Tagsibol ng 1844, nilinis ng Sugo ng Tipan ang kilusang Millerita, at pagkaraan, sa Taglagas, ay dinala ang pabalita ng ikatlong anghel. Si Miller, ang kaniyang pabalita, at ang kilusang kaniyang kinatawan, ay tumupad sa talinghaga ng sampung dalaga. Sa pulong-kampuhan sa Exeter, NH, dumating ang pabalita ng Sigaw sa Hatinggabi, at sa loob lamang ng dalawang maikling buwan ay nahayag kung alin sa mga dalaga ang may langis. Ang dalawang uri ay nahayag, at dumating ang ikatlong anghel na may dalang isang pabalita sa kaniyang kamay na dapat kainin, datapuwa’t ang marurunong na dalaga ay “isinuko ang kanilang pananampalataya” sa “panahon ng pag-aalinlangan at kawalang-katiyakan.”</w:t>
      </w:r>
    </w:p>
    <w:p>
      <w:pPr>
        <w:pStyle w:val="ArticleBody"/>
        <w:jc w:val="left"/>
      </w:pPr>
      <w:r>
        <w:rPr>
          <w:rFonts w:ascii="Times New Roman" w:hAnsi="Times New Roman" w:eastAsia="Times New Roman" w:cs="Times New Roman"/>
        </w:rPr>
        <w:t>La « période de doute et d’incertitude » avait été représentée par les disciples lors de Sa mort, mais le troisième jour Il commença à ouvrir à Ses disciples le message de Sa résurrection, et ils ne « renoncèrent pas à leur foi ». La période de doute et d’incertitude pour les vierges sages du mouvement des messages du premier et du second ange se prolongea pendant environ trois ans, après quoi le Seigneur révéla à Sister White qu’Il avait étendu Sa main pour rassembler de nouveau le reste de Son peuple. Il conduisit Son peuple à commencer son œuvre de publication et à produire la seconde table de Habacuc, mais « beaucoup de ceux qui croyaient à l’avènement renoncèrent à leur foi.... Ainsi l’œuvre fut entravée, et le monde fut laissé dans les ténèbres. »</w:t>
      </w:r>
    </w:p>
    <w:p>
      <w:pPr>
        <w:pStyle w:val="ArticleBody"/>
        <w:jc w:val="left"/>
      </w:pPr>
      <w:r>
        <w:rPr>
          <w:rFonts w:ascii="Times New Roman" w:hAnsi="Times New Roman" w:eastAsia="Times New Roman" w:cs="Times New Roman"/>
        </w:rPr>
        <w:t>في عام 1849، وُوري الثرى وليم ميلر، الرسول المختار لرسالة الملاك الأول والملاك الثاني. ولو أن العذارى الحكيمات في 22 أكتوبر 1844 «تمسَّكن بإيمانهن وتابعن معًا، باتحاد، في عناية الله المنفتحة»، لأقام الرب رسولًا آخر بروح إيليا وقوته. ولكن عوضًا عن ذلك، فإن «مجيء المسيح» قد «تأخَّر، وشعبه» «على مثال» إسرائيل القديمة «يمكث» «سنين كثيرة في عالم الخطية والحزن هذا».</w:t>
      </w:r>
    </w:p>
    <w:p>
      <w:pPr>
        <w:pStyle w:val="ArticleBody"/>
        <w:jc w:val="left"/>
      </w:pPr>
      <w:r>
        <w:rPr>
          <w:rFonts w:ascii="Times New Roman" w:hAnsi="Times New Roman" w:eastAsia="Times New Roman" w:cs="Times New Roman"/>
        </w:rPr>
        <w:t>یسویں صدی کے سن 1863 کی بغاوت کے ایک سو چھبیس سال بعد، خداوند نے تیسرے فرشتے کے برگزیدہ قاصد کو برپا کیا۔ اُس کا کام یہ بھی تھا کہ عہد کے رسول کے لیے راہ تیار کرے تاکہ وہ اچانک اپنی ہیکل میں آ جائے اور تفتیشی عدالت کے اختتامی مناظر کے دوران ایک لاکھ چوالیس ہزار کے ساتھ عہد کے رشتہ میں داخل ہو؛ اور یہ بھی کہ وہ ایسا پیغام پیش کرے جو اجرائی عدالت کے زمانہ میں اخی اب، ایزبل، اور اُس کے نبیوں کے سہ گانہ اتحاد کا سامنا کرے، جو عنقریب آنے والے اتوار کے قانون سے شروع ہوتا ہے۔</w:t>
      </w:r>
    </w:p>
    <w:p>
      <w:pPr>
        <w:pStyle w:val="ArticleBody"/>
        <w:jc w:val="left"/>
      </w:pPr>
      <w:r>
        <w:rPr>
          <w:rFonts w:ascii="Times New Roman" w:hAnsi="Times New Roman" w:eastAsia="Times New Roman" w:cs="Times New Roman"/>
        </w:rPr>
        <w:t>Ny malagasy fahatelo izay manamboatra ny lalana dia maneho asa iray, hafatra iray, iraka iray, ary hetsika iray mandritra ny seho famaranana amin’ny Fitsarana Famotopotorana. Ilay Elia fahatelo dia maneho asa iray, hafatra iray, iraka iray ary hetsika iray mandritra ny seho famaranana amin’ny Fitsarana Fampiharana. Ny hafatry ny iraka izay manamboatra ny lalana, sy ny hafatr’i Elia, dia ny hafatry ny loza fahatelo amin’ireo Loza telo ao amin’ny Apokalypsy toko faha-valo ka hatramin’ny faha-iraika ambin’ny folo.</w:t>
      </w:r>
    </w:p>
    <w:p>
      <w:pPr>
        <w:pStyle w:val="ArticleBody"/>
        <w:jc w:val="left"/>
      </w:pPr>
      <w:r>
        <w:rPr>
          <w:rFonts w:ascii="Times New Roman" w:hAnsi="Times New Roman" w:eastAsia="Times New Roman" w:cs="Times New Roman"/>
        </w:rPr>
        <w:t>در تاریخی که به‌وسیلهٔ آن رسولِ مُعِدِّ طریق نمایانده شده است، پیامِ وایِ سوم، نمودگارِ آن شیپوری است که ادونتیسمِ لاودیکیه را فرا می‌خواند که «از من طلای آزموده‌شده در آتش را بخرید تا دولتمند شوید؛ و جامه‌های سفید را تا ملبّس گردید و رسواییِ عریانیِ شما ظاهر نشود؛ و چشمان خود را به سُرمهٔ چشم تدهین کنید تا بینا شوید.» این پیامِ محبتِ خداست که تعدیاتِ قومِ خدا را به ایشان نشان می‌دهد، زیرا «هر که را» او محبت می‌نماید، «توبیخ و تأدیب» می‌کند. این پیامِ عدالتِ مسیح است که آدمیان را فرا می‌خواند تا خصلتِ او را بپذیرند، خصلتی که در آن دورهٔ زمانی آشکار می‌گردد که رسولِ عهد در حالِ انجامِ کارِ تطهیرِ هیکلِ نفس است؛ و ازاین‌رو، او کسانی را که محبت می‌نماید فرا می‌خواند که خصلتِ او را ظاهر سازند و «پس غیور باش و توبه کن»، زیرا او «بر» درِ آن تدبیرِ الهی «ایستاده است»، تدبیری که نمایانگرِ بسته‌شدنِ زمانِ آزمایش است، جایی که ادونتیسمِ لاودیکیه را «از» «دهان» خود «قی خواهم کرد.» آن «درِ» تدبیری همان دری است که او «می‌گشاید و هیچ‌کس نمی‌بندد؛ و می‌بندد و هیچ‌کس نمی‌گشاید.»</w:t>
      </w:r>
    </w:p>
    <w:p>
      <w:pPr>
        <w:pStyle w:val="ArticleBody"/>
        <w:jc w:val="left"/>
      </w:pPr>
      <w:r>
        <w:rPr>
          <w:rFonts w:ascii="Times New Roman" w:hAnsi="Times New Roman" w:eastAsia="Times New Roman" w:cs="Times New Roman"/>
        </w:rPr>
        <w:t>May isang waring pagsasalungatan na nalulutas sa pamamagitan ng paglalapat ng “line upon Line,” ngunit marami ang maaaring hindi man lamang makapansin sa waring pagsasalungatang iyon. Kapag ito ay nalutas, nagdaragdag ito ng kalinawan sa paglipat mula sa Siyasating Paghuhukom tungo sa Tagapagganap na Paghuhukom na nagaganap sa nalalapit na batas ng Linggo. Nalulutas ito sa pamamagitan ng pagtanggap na ang Pentecostes ay sumasagisag sa nalalapit na batas ng Linggo sa Estados Unidos. Upang tapusin ang ating pagsasaalang-alang sa ikatlong mensahero na naghahanda ng daan bilang isang sagisag sa Siyasating Paghuhukom, na kaiba sa ikatlong Elias bilang isang sagisag ng Tagapagganap na Paghuhukom, tatalakayin natin ang waring pagsasalungatang ito.</w:t>
      </w:r>
    </w:p>
    <w:p>
      <w:pPr>
        <w:pStyle w:val="ArticleBody"/>
        <w:jc w:val="left"/>
      </w:pPr>
      <w:r>
        <w:rPr>
          <w:rFonts w:ascii="Times New Roman" w:hAnsi="Times New Roman" w:eastAsia="Times New Roman" w:cs="Times New Roman"/>
        </w:rPr>
        <w:t>A zaa nu chanchin zir peh ang a, a dawtna thuziakah.</w:t>
      </w:r>
    </w:p>
    <w:p>
      <w:pPr>
        <w:pStyle w:val="ArticleScripture"/>
        <w:jc w:val="left"/>
      </w:pPr>
      <w:r>
        <w:rPr>
          <w:rFonts w:ascii="Times New Roman" w:hAnsi="Times New Roman" w:eastAsia="Times New Roman" w:cs="Times New Roman"/>
        </w:rPr>
        <w:t>«L’ange qui s’unit à la proclamation du message du troisième ange doit illuminer toute la terre de sa gloire. Il est ici prédit une œuvre d’une portée mondiale et d’une puissance sans précédent. Le mouvement adventiste de 1840–1844 fut une glorieuse manifestation de la puissance de Dieu ; le message du premier ange fut porté à chaque station missionnaire dans le monde, et, dans certains pays, il y eut le plus grand intérêt religieux dont on ait été témoin en quelque contrée depuis la Réforme du seizième siècle ; mais tout cela doit être surpassé par le puissant mouvement suscité sous le dernier avertissement du troisième ange. »</w:t>
      </w:r>
    </w:p>
    <w:p>
      <w:pPr>
        <w:pStyle w:val="ArticleScripture"/>
        <w:jc w:val="left"/>
      </w:pPr>
      <w:r>
        <w:rPr>
          <w:rFonts w:ascii="Times New Roman" w:hAnsi="Times New Roman" w:eastAsia="Times New Roman" w:cs="Times New Roman"/>
        </w:rPr>
        <w:t>“L’ouvrage sera semblable à celui du jour de la Pentecôte. De même que la « pluie de la première saison » fut donnée, dans l’effusion du Saint-Esprit à l’ouverture de l’Évangile, afin de faire germer la semence précieuse, de même la « pluie de l’arrière-saison » sera donnée à sa clôture pour amener la moisson à maturité. « Alors nous connaîtrons, si nous persévérons à connaître l’Éternel : sa venue est préparée comme l’aurore, et il viendra pour nous comme la pluie, comme la pluie de l’arrière-saison et de la première saison sur la terre. » Osée 6:3. « Soyez donc dans l’allégresse, enfants de Sion, et réjouissez-vous en l’Éternel, votre Dieu ; car il vous a donné la pluie de la première saison dans une juste mesure, et il fera descendre pour vous la pluie, la pluie de la première saison, et la pluie de l’arrière-saison. » Joël 2:23. « Dans les derniers jours, dit Dieu, je répandrai de mon Esprit sur toute chair. » « Et il arrivera que quiconque invoquera le nom du Seigneur sera sauvé. » Actes 2:17, 21.</w:t>
      </w:r>
    </w:p>
    <w:p>
      <w:pPr>
        <w:pStyle w:val="ArticleScripture"/>
        <w:jc w:val="left"/>
      </w:pPr>
      <w:r>
        <w:rPr>
          <w:rFonts w:ascii="Times New Roman" w:hAnsi="Times New Roman" w:eastAsia="Times New Roman" w:cs="Times New Roman"/>
        </w:rPr>
        <w:t>«Қуувват-Илоҳийнинг намоён бўлиши билан бошланган Инжилнинг буюк иши унинг якунланишида бундан камроқ намоён бўлиш билан тугамаслиги керак. Инжилнинг бошланишидаги илк ёмғир тўкилишида амалга ошган башоратлар, унинг якунланишидаги сўнгги ёмғирда яна амалга ошиши лозим. Мана, ҳаворий Бутрус қуйидагиларни айтганида олдиндан интизор бўлган “таскин замонлари” шудир: “Шундай экан, тавба қилинглар ва гуноҳларингиз ўчирилиши учун Худога қайтинглар; токи Раббнинг ҳузуридан таскин замонлари келсин; ва У Ийсони юборсин”. Ҳаворийлар 3:19, 20.» The Great Controversy,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Mia Moja na Tatu</dc:title>
  <dc:subject>Déverrouiller la prophétie : comprendre la triple application des cadres prophétiques</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