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cent quatre</w:t>
      </w:r>
    </w:p>
    <w:p>
      <w:pPr>
        <w:pStyle w:val="ArticleSubtitle"/>
        <w:jc w:val="left"/>
      </w:pPr>
      <w:r>
        <w:rPr>
          <w:rFonts w:ascii="Arial" w:hAnsi="Arial" w:eastAsia="Arial" w:cs="Arial"/>
        </w:rPr>
        <w:t>Atklājot pravietisko likumu: izpratne par izmeklējošo un izpildošo tiesu pēdējās dienās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Tunaliweka kanuni ya kinabii iliyotambuliwa na Simba wa kabila la Yuda katika kazi Yake ya kufungua muhuri wa aya sita za mwisho za Danieli kumi na moja, katika “wakati wa mwisho,” mwaka 1989, wakati Muungano wa Kisovieti ulipoondolewa kwa ushirika wa siri kati ya Ronald Reagan na papa wa Roma. Tumeonyesha kwamba matumizi matatu ya Roma na kuanguka kwa Babeli vinamtambulisha mwanamke na mnyama ampakaye na kumtawala katika Ufunuo kumi na saba.</w:t>
      </w:r>
    </w:p>
    <w:p>
      <w:pPr>
        <w:pStyle w:val="ArticleBody"/>
        <w:jc w:val="left"/>
      </w:pPr>
      <w:r>
        <w:rPr>
          <w:rFonts w:ascii="Nirmala UI" w:hAnsi="Nirmala UI" w:eastAsia="Nirmala UI" w:cs="Nirmala UI"/>
        </w:rPr>
        <w:t>चित्रण</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स्त्री</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पशूचें</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सतरा</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अठरा</w:t>
      </w:r>
      <w:r>
        <w:rPr>
          <w:rFonts w:ascii="Times New Roman" w:hAnsi="Times New Roman" w:eastAsia="Times New Roman" w:cs="Times New Roman"/>
        </w:rPr>
        <w:t xml:space="preserve"> </w:t>
      </w:r>
      <w:r>
        <w:rPr>
          <w:rFonts w:ascii="Nirmala UI" w:hAnsi="Nirmala UI" w:eastAsia="Nirmala UI" w:cs="Nirmala UI"/>
        </w:rPr>
        <w:t>मदें</w:t>
      </w:r>
      <w:r>
        <w:rPr>
          <w:rFonts w:ascii="Times New Roman" w:hAnsi="Times New Roman" w:eastAsia="Times New Roman" w:cs="Times New Roman"/>
        </w:rPr>
        <w:t xml:space="preserve"> </w:t>
      </w:r>
      <w:r>
        <w:rPr>
          <w:rFonts w:ascii="Nirmala UI" w:hAnsi="Nirmala UI" w:eastAsia="Nirmala UI" w:cs="Nirmala UI"/>
        </w:rPr>
        <w:t>केल्लें</w:t>
      </w:r>
      <w:r>
        <w:rPr>
          <w:rFonts w:ascii="Times New Roman" w:hAnsi="Times New Roman" w:eastAsia="Times New Roman" w:cs="Times New Roman"/>
        </w:rPr>
        <w:t xml:space="preserve"> </w:t>
      </w:r>
      <w:r>
        <w:rPr>
          <w:rFonts w:ascii="Nirmala UI" w:hAnsi="Nirmala UI" w:eastAsia="Nirmala UI" w:cs="Nirmala UI"/>
        </w:rPr>
        <w:t>आसा</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प्रगतीशील</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ओळखून</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आधुनिक</w:t>
      </w:r>
      <w:r>
        <w:rPr>
          <w:rFonts w:ascii="Times New Roman" w:hAnsi="Times New Roman" w:eastAsia="Times New Roman" w:cs="Times New Roman"/>
        </w:rPr>
        <w:t xml:space="preserve"> </w:t>
      </w:r>
      <w:r>
        <w:rPr>
          <w:rFonts w:ascii="Nirmala UI" w:hAnsi="Nirmala UI" w:eastAsia="Nirmala UI" w:cs="Nirmala UI"/>
        </w:rPr>
        <w:t>बाबेलाचेर</w:t>
      </w:r>
      <w:r>
        <w:rPr>
          <w:rFonts w:ascii="Times New Roman" w:hAnsi="Times New Roman" w:eastAsia="Times New Roman" w:cs="Times New Roman"/>
        </w:rPr>
        <w:t xml:space="preserve"> </w:t>
      </w:r>
      <w:r>
        <w:rPr>
          <w:rFonts w:ascii="Nirmala UI" w:hAnsi="Nirmala UI" w:eastAsia="Nirmala UI" w:cs="Nirmala UI"/>
        </w:rPr>
        <w:t>हाडटा</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पडटा</w:t>
      </w:r>
      <w:r>
        <w:rPr>
          <w:rFonts w:ascii="Times New Roman" w:hAnsi="Times New Roman" w:eastAsia="Times New Roman" w:cs="Times New Roman"/>
        </w:rPr>
        <w:t xml:space="preserve"> </w:t>
      </w:r>
      <w:r>
        <w:rPr>
          <w:rFonts w:ascii="Nirmala UI" w:hAnsi="Nirmala UI" w:eastAsia="Nirmala UI" w:cs="Nirmala UI"/>
        </w:rPr>
        <w:t>लवकर</w:t>
      </w:r>
      <w:r>
        <w:rPr>
          <w:rFonts w:ascii="Times New Roman" w:hAnsi="Times New Roman" w:eastAsia="Times New Roman" w:cs="Times New Roman"/>
        </w:rPr>
        <w:t xml:space="preserve"> </w:t>
      </w:r>
      <w:r>
        <w:rPr>
          <w:rFonts w:ascii="Nirmala UI" w:hAnsi="Nirmala UI" w:eastAsia="Nirmala UI" w:cs="Nirmala UI"/>
        </w:rPr>
        <w:t>येवपाच्या</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कायद्यापासून</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माइकल</w:t>
      </w:r>
      <w:r>
        <w:rPr>
          <w:rFonts w:ascii="Times New Roman" w:hAnsi="Times New Roman" w:eastAsia="Times New Roman" w:cs="Times New Roman"/>
        </w:rPr>
        <w:t xml:space="preserve"> </w:t>
      </w:r>
      <w:r>
        <w:rPr>
          <w:rFonts w:ascii="Nirmala UI" w:hAnsi="Nirmala UI" w:eastAsia="Nirmala UI" w:cs="Nirmala UI"/>
        </w:rPr>
        <w:t>उभो</w:t>
      </w:r>
      <w:r>
        <w:rPr>
          <w:rFonts w:ascii="Times New Roman" w:hAnsi="Times New Roman" w:eastAsia="Times New Roman" w:cs="Times New Roman"/>
        </w:rPr>
        <w:t xml:space="preserve"> </w:t>
      </w:r>
      <w:r>
        <w:rPr>
          <w:rFonts w:ascii="Nirmala UI" w:hAnsi="Nirmala UI" w:eastAsia="Nirmala UI" w:cs="Nirmala UI"/>
        </w:rPr>
        <w:t>रावतलो</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मानवी</w:t>
      </w:r>
      <w:r>
        <w:rPr>
          <w:rFonts w:ascii="Times New Roman" w:hAnsi="Times New Roman" w:eastAsia="Times New Roman" w:cs="Times New Roman"/>
        </w:rPr>
        <w:t xml:space="preserve"> </w:t>
      </w:r>
      <w:r>
        <w:rPr>
          <w:rFonts w:ascii="Nirmala UI" w:hAnsi="Nirmala UI" w:eastAsia="Nirmala UI" w:cs="Nirmala UI"/>
        </w:rPr>
        <w:t>कृपाकाळ</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जावचेपर्यंत</w:t>
      </w:r>
      <w:r>
        <w:rPr>
          <w:rFonts w:ascii="Times New Roman" w:hAnsi="Times New Roman" w:eastAsia="Times New Roman" w:cs="Times New Roman"/>
        </w:rPr>
        <w:t xml:space="preserve"> </w:t>
      </w:r>
      <w:r>
        <w:rPr>
          <w:rFonts w:ascii="Nirmala UI" w:hAnsi="Nirmala UI" w:eastAsia="Nirmala UI" w:cs="Nirmala UI"/>
        </w:rPr>
        <w:t>चालटा</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वेळेचो</w:t>
      </w:r>
      <w:r>
        <w:rPr>
          <w:rFonts w:ascii="Times New Roman" w:hAnsi="Times New Roman" w:eastAsia="Times New Roman" w:cs="Times New Roman"/>
        </w:rPr>
        <w:t xml:space="preserve"> </w:t>
      </w:r>
      <w:r>
        <w:rPr>
          <w:rFonts w:ascii="Nirmala UI" w:hAnsi="Nirmala UI" w:eastAsia="Nirmala UI" w:cs="Nirmala UI"/>
        </w:rPr>
        <w:t>काळ</w:t>
      </w:r>
      <w:r>
        <w:rPr>
          <w:rFonts w:ascii="Times New Roman" w:hAnsi="Times New Roman" w:eastAsia="Times New Roman" w:cs="Times New Roman"/>
        </w:rPr>
        <w:t xml:space="preserve"> </w:t>
      </w:r>
      <w:r>
        <w:rPr>
          <w:rFonts w:ascii="Nirmala UI" w:hAnsi="Nirmala UI" w:eastAsia="Nirmala UI" w:cs="Nirmala UI"/>
        </w:rPr>
        <w:t>देवाच्या</w:t>
      </w:r>
      <w:r>
        <w:rPr>
          <w:rFonts w:ascii="Times New Roman" w:hAnsi="Times New Roman" w:eastAsia="Times New Roman" w:cs="Times New Roman"/>
        </w:rPr>
        <w:t xml:space="preserve"> </w:t>
      </w:r>
      <w:r>
        <w:rPr>
          <w:rFonts w:ascii="Nirmala UI" w:hAnsi="Nirmala UI" w:eastAsia="Nirmala UI" w:cs="Nirmala UI"/>
        </w:rPr>
        <w:t>कार्यकारी</w:t>
      </w:r>
      <w:r>
        <w:rPr>
          <w:rFonts w:ascii="Times New Roman" w:hAnsi="Times New Roman" w:eastAsia="Times New Roman" w:cs="Times New Roman"/>
        </w:rPr>
        <w:t xml:space="preserve"> </w:t>
      </w:r>
      <w:r>
        <w:rPr>
          <w:rFonts w:ascii="Nirmala UI" w:hAnsi="Nirmala UI" w:eastAsia="Nirmala UI" w:cs="Nirmala UI"/>
        </w:rPr>
        <w:t>न्यायाचो</w:t>
      </w:r>
      <w:r>
        <w:rPr>
          <w:rFonts w:ascii="Times New Roman" w:hAnsi="Times New Roman" w:eastAsia="Times New Roman" w:cs="Times New Roman"/>
        </w:rPr>
        <w:t xml:space="preserve"> </w:t>
      </w:r>
      <w:r>
        <w:rPr>
          <w:rFonts w:ascii="Nirmala UI" w:hAnsi="Nirmala UI" w:eastAsia="Nirmala UI" w:cs="Nirmala UI"/>
        </w:rPr>
        <w:t>पयलो</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चिन्हांकित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ताच्या</w:t>
      </w:r>
      <w:r>
        <w:rPr>
          <w:rFonts w:ascii="Times New Roman" w:hAnsi="Times New Roman" w:eastAsia="Times New Roman" w:cs="Times New Roman"/>
        </w:rPr>
        <w:t xml:space="preserve"> </w:t>
      </w:r>
      <w:r>
        <w:rPr>
          <w:rFonts w:ascii="Nirmala UI" w:hAnsi="Nirmala UI" w:eastAsia="Nirmala UI" w:cs="Nirmala UI"/>
        </w:rPr>
        <w:t>दयेच्या</w:t>
      </w:r>
      <w:r>
        <w:rPr>
          <w:rFonts w:ascii="Times New Roman" w:hAnsi="Times New Roman" w:eastAsia="Times New Roman" w:cs="Times New Roman"/>
        </w:rPr>
        <w:t xml:space="preserve"> </w:t>
      </w:r>
      <w:r>
        <w:rPr>
          <w:rFonts w:ascii="Nirmala UI" w:hAnsi="Nirmala UI" w:eastAsia="Nirmala UI" w:cs="Nirmala UI"/>
        </w:rPr>
        <w:t>मिश्रणान</w:t>
      </w:r>
      <w:r>
        <w:rPr>
          <w:rFonts w:ascii="Times New Roman" w:hAnsi="Times New Roman" w:eastAsia="Times New Roman" w:cs="Times New Roman"/>
        </w:rPr>
        <w:t xml:space="preserve"> </w:t>
      </w:r>
      <w:r>
        <w:rPr>
          <w:rFonts w:ascii="Nirmala UI" w:hAnsi="Nirmala UI" w:eastAsia="Nirmala UI" w:cs="Nirmala UI"/>
        </w:rPr>
        <w:t>साध्य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उपरांत</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शेवटच्या</w:t>
      </w:r>
      <w:r>
        <w:rPr>
          <w:rFonts w:ascii="Times New Roman" w:hAnsi="Times New Roman" w:eastAsia="Times New Roman" w:cs="Times New Roman"/>
        </w:rPr>
        <w:t xml:space="preserve"> </w:t>
      </w:r>
      <w:r>
        <w:rPr>
          <w:rFonts w:ascii="Nirmala UI" w:hAnsi="Nirmala UI" w:eastAsia="Nirmala UI" w:cs="Nirmala UI"/>
        </w:rPr>
        <w:t>पीडांनी</w:t>
      </w:r>
      <w:r>
        <w:rPr>
          <w:rFonts w:ascii="Times New Roman" w:hAnsi="Times New Roman" w:eastAsia="Times New Roman" w:cs="Times New Roman"/>
        </w:rPr>
        <w:t xml:space="preserve">, </w:t>
      </w:r>
      <w:r>
        <w:rPr>
          <w:rFonts w:ascii="Nirmala UI" w:hAnsi="Nirmala UI" w:eastAsia="Nirmala UI" w:cs="Nirmala UI"/>
        </w:rPr>
        <w:t>ताच्या</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मदीं</w:t>
      </w:r>
      <w:r>
        <w:rPr>
          <w:rFonts w:ascii="Times New Roman" w:hAnsi="Times New Roman" w:eastAsia="Times New Roman" w:cs="Times New Roman"/>
        </w:rPr>
        <w:t xml:space="preserve"> </w:t>
      </w:r>
      <w:r>
        <w:rPr>
          <w:rFonts w:ascii="Nirmala UI" w:hAnsi="Nirmala UI" w:eastAsia="Nirmala UI" w:cs="Nirmala UI"/>
        </w:rPr>
        <w:t>कसलीच</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मिसळलेली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टाप</w:t>
      </w:r>
      <w:r>
        <w:rPr>
          <w:rFonts w:ascii="Times New Roman" w:hAnsi="Times New Roman" w:eastAsia="Times New Roman" w:cs="Times New Roman"/>
        </w:rPr>
        <w:t xml:space="preserve"> </w:t>
      </w:r>
      <w:r>
        <w:rPr>
          <w:rFonts w:ascii="Nirmala UI" w:hAnsi="Nirmala UI" w:eastAsia="Nirmala UI" w:cs="Nirmala UI"/>
        </w:rPr>
        <w:t>तपासणी</w:t>
      </w:r>
      <w:r>
        <w:rPr>
          <w:rFonts w:ascii="Times New Roman" w:hAnsi="Times New Roman" w:eastAsia="Times New Roman" w:cs="Times New Roman"/>
        </w:rPr>
        <w:t xml:space="preserve"> </w:t>
      </w:r>
      <w:r>
        <w:rPr>
          <w:rFonts w:ascii="Nirmala UI" w:hAnsi="Nirmala UI" w:eastAsia="Nirmala UI" w:cs="Nirmala UI"/>
        </w:rPr>
        <w:t>न्यायांतय</w:t>
      </w:r>
      <w:r>
        <w:rPr>
          <w:rFonts w:ascii="Times New Roman" w:hAnsi="Times New Roman" w:eastAsia="Times New Roman" w:cs="Times New Roman"/>
        </w:rPr>
        <w:t xml:space="preserve"> </w:t>
      </w:r>
      <w:r>
        <w:rPr>
          <w:rFonts w:ascii="Nirmala UI" w:hAnsi="Nirmala UI" w:eastAsia="Nirmala UI" w:cs="Nirmala UI"/>
        </w:rPr>
        <w:t>सुचयल्ले</w:t>
      </w:r>
      <w:r>
        <w:rPr>
          <w:rFonts w:ascii="Times New Roman" w:hAnsi="Times New Roman" w:eastAsia="Times New Roman" w:cs="Times New Roman"/>
        </w:rPr>
        <w:t xml:space="preserve"> </w:t>
      </w:r>
      <w:r>
        <w:rPr>
          <w:rFonts w:ascii="Nirmala UI" w:hAnsi="Nirmala UI" w:eastAsia="Nirmala UI" w:cs="Nirmala UI"/>
        </w:rPr>
        <w:t>आसात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२२</w:t>
      </w:r>
      <w:r>
        <w:rPr>
          <w:rFonts w:ascii="Times New Roman" w:hAnsi="Times New Roman" w:eastAsia="Times New Roman" w:cs="Times New Roman"/>
        </w:rPr>
        <w:t xml:space="preserve"> </w:t>
      </w:r>
      <w:r>
        <w:rPr>
          <w:rFonts w:ascii="Nirmala UI" w:hAnsi="Nirmala UI" w:eastAsia="Nirmala UI" w:cs="Nirmala UI"/>
        </w:rPr>
        <w:t>ऑक्टोबर</w:t>
      </w:r>
      <w:r>
        <w:rPr>
          <w:rFonts w:ascii="Times New Roman" w:hAnsi="Times New Roman" w:eastAsia="Times New Roman" w:cs="Times New Roman"/>
        </w:rPr>
        <w:t xml:space="preserve">, </w:t>
      </w:r>
      <w:r>
        <w:rPr>
          <w:rFonts w:ascii="Nirmala UI" w:hAnsi="Nirmala UI" w:eastAsia="Nirmala UI" w:cs="Nirmala UI"/>
        </w:rPr>
        <w:t>१८४४</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तपासणी</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मेल्लेल्यांच्या</w:t>
      </w:r>
      <w:r>
        <w:rPr>
          <w:rFonts w:ascii="Times New Roman" w:hAnsi="Times New Roman" w:eastAsia="Times New Roman" w:cs="Times New Roman"/>
        </w:rPr>
        <w:t xml:space="preserve"> </w:t>
      </w:r>
      <w:r>
        <w:rPr>
          <w:rFonts w:ascii="Nirmala UI" w:hAnsi="Nirmala UI" w:eastAsia="Nirmala UI" w:cs="Nirmala UI"/>
        </w:rPr>
        <w:t>तपासणी</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न्यायान</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११</w:t>
      </w:r>
      <w:r>
        <w:rPr>
          <w:rFonts w:ascii="Times New Roman" w:hAnsi="Times New Roman" w:eastAsia="Times New Roman" w:cs="Times New Roman"/>
        </w:rPr>
        <w:t xml:space="preserve"> </w:t>
      </w:r>
      <w:r>
        <w:rPr>
          <w:rFonts w:ascii="Nirmala UI" w:hAnsi="Nirmala UI" w:eastAsia="Nirmala UI" w:cs="Nirmala UI"/>
        </w:rPr>
        <w:t>सप्टेंबर</w:t>
      </w:r>
      <w:r>
        <w:rPr>
          <w:rFonts w:ascii="Times New Roman" w:hAnsi="Times New Roman" w:eastAsia="Times New Roman" w:cs="Times New Roman"/>
        </w:rPr>
        <w:t xml:space="preserve">, </w:t>
      </w:r>
      <w:r>
        <w:rPr>
          <w:rFonts w:ascii="Nirmala UI" w:hAnsi="Nirmala UI" w:eastAsia="Nirmala UI" w:cs="Nirmala UI"/>
        </w:rPr>
        <w:t>२००१</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जिवंतांच्या</w:t>
      </w:r>
      <w:r>
        <w:rPr>
          <w:rFonts w:ascii="Times New Roman" w:hAnsi="Times New Roman" w:eastAsia="Times New Roman" w:cs="Times New Roman"/>
        </w:rPr>
        <w:t xml:space="preserve"> </w:t>
      </w:r>
      <w:r>
        <w:rPr>
          <w:rFonts w:ascii="Nirmala UI" w:hAnsi="Nirmala UI" w:eastAsia="Nirmala UI" w:cs="Nirmala UI"/>
        </w:rPr>
        <w:t>तपासणी</w:t>
      </w:r>
      <w:r>
        <w:rPr>
          <w:rFonts w:ascii="Times New Roman" w:hAnsi="Times New Roman" w:eastAsia="Times New Roman" w:cs="Times New Roman"/>
        </w:rPr>
        <w:t xml:space="preserve"> </w:t>
      </w:r>
      <w:r>
        <w:rPr>
          <w:rFonts w:ascii="Nirmala UI" w:hAnsi="Nirmala UI" w:eastAsia="Nirmala UI" w:cs="Nirmala UI"/>
        </w:rPr>
        <w:t>न्यायाची</w:t>
      </w:r>
      <w:r>
        <w:rPr>
          <w:rFonts w:ascii="Times New Roman" w:hAnsi="Times New Roman" w:eastAsia="Times New Roman" w:cs="Times New Roman"/>
        </w:rPr>
        <w:t xml:space="preserve"> </w:t>
      </w:r>
      <w:r>
        <w:rPr>
          <w:rFonts w:ascii="Nirmala UI" w:hAnsi="Nirmala UI" w:eastAsia="Nirmala UI" w:cs="Nirmala UI"/>
        </w:rPr>
        <w:t>सुरुवात</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Die oordeel oor die lewendes word eweneens in twee tydperke verdeel, waarvan die eerste op 11 September 2001 begin het met die ondersoek en oordeel van dié wat kandidate is om onder die honderd-vier-en-veertigduisend te wees, want die oordeel begin by die huis van God. Die ondersoekende oordeel van die dooies is slegs voltrek oor dié wie se name op een of ander tydstip in hulle lewe in die boek van die lewe opgeteken was. Die name van die dooies wat geskryf en geregistreer was, is daarna met die boek van sondes vergelyk. As hulle onbelyde sondes gehad het, is hulle name uit die boek van die lewe verwyder. Die ondersoekende oordeel van die lewendes word gekwalifiseer as ’n oordeel wat by die huis van God begin, terwyl daar geen sodanige kwalifikasie in die ondersoekende oordeel van die dooies nodig was nie.</w:t>
      </w:r>
    </w:p>
    <w:p>
      <w:pPr>
        <w:pStyle w:val="ArticleBody"/>
        <w:jc w:val="left"/>
      </w:pPr>
      <w:r>
        <w:rPr>
          <w:rFonts w:ascii="Times New Roman" w:hAnsi="Times New Roman" w:eastAsia="Times New Roman" w:cs="Times New Roman"/>
        </w:rPr>
        <w:t>Katika hukumu ya uchunguzi ya walio hai, Neno la Mungu lilikuwa makini kubainisha kwamba hukumu hiyo, wakati wa kutiwa muhuri kwa wale mia moja arobaini na nne elfu, ilianza Yerusalemu, ambalo ni kanisa la Mungu. Biblia inatoa ushuhuda wa pili wa moja kwa moja kwa jambo hili.</w:t>
      </w:r>
    </w:p>
    <w:p>
      <w:pPr>
        <w:pStyle w:val="ArticleScripture"/>
        <w:jc w:val="left"/>
      </w:pPr>
      <w:r>
        <w:rPr>
          <w:rFonts w:ascii="Times New Roman" w:hAnsi="Times New Roman" w:eastAsia="Times New Roman" w:cs="Times New Roman"/>
        </w:rPr>
        <w:t>Matet yíí hodiinííłgo k’ad yázhí yáhoot’ééłígíí Bik’ehgo Hooł’aahí bąąh dah naashá; éí doodaii nihíji’ ła’go doo bik’ehgo da’náádleeh da, t’áá shoodí t’áá ajiłiiłígíí, Diyin God Bizaadígíí doo yá’át’ééhgo yádaat’ééł daaníí, háádę́ę́’ nihá hózhǫ́’ hólǫ́’ígíí? 1 Peter 4:17</w:t>
      </w:r>
    </w:p>
    <w:p>
      <w:pPr>
        <w:pStyle w:val="ArticleBody"/>
        <w:jc w:val="left"/>
      </w:pPr>
      <w:r>
        <w:rPr>
          <w:rFonts w:ascii="Times New Roman" w:hAnsi="Times New Roman" w:eastAsia="Times New Roman" w:cs="Times New Roman"/>
        </w:rPr>
        <w:t>Urubanza rw’abazima rutangirira i Yerusalemu, inzu y’Imana, kandi hariho igihe cyihariye ubwo urwo rubanza rutangirira. Urubanza rw’abazima rutangirira i Yerusalemu igihe ihembe ry’umwanditsi rinyura i Yerusalemu rigashyira ikimenyetso ku bagabo no ku bagore biniha kandi baririra ibizira bikorerwa mu itorero no mu gihugu.</w:t>
      </w:r>
    </w:p>
    <w:p>
      <w:pPr>
        <w:pStyle w:val="ArticleBody"/>
        <w:jc w:val="left"/>
      </w:pP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শ্রেণি</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সুসমাচারের</w:t>
      </w:r>
      <w:r>
        <w:rPr>
          <w:rFonts w:ascii="Times New Roman" w:hAnsi="Times New Roman" w:eastAsia="Times New Roman" w:cs="Times New Roman"/>
        </w:rPr>
        <w:t xml:space="preserve"> </w:t>
      </w:r>
      <w:r>
        <w:rPr>
          <w:rFonts w:ascii="Nirmala UI" w:hAnsi="Nirmala UI" w:eastAsia="Nirmala UI" w:cs="Nirmala UI"/>
        </w:rPr>
        <w:t>আনুগত্য</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তাদেরকে</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সপ্তম</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লক্ষ</w:t>
      </w:r>
      <w:r>
        <w:rPr>
          <w:rFonts w:ascii="Times New Roman" w:hAnsi="Times New Roman" w:eastAsia="Times New Roman" w:cs="Times New Roman"/>
        </w:rPr>
        <w:t xml:space="preserve"> </w:t>
      </w:r>
      <w:r>
        <w:rPr>
          <w:rFonts w:ascii="Nirmala UI" w:hAnsi="Nirmala UI" w:eastAsia="Nirmala UI" w:cs="Nirmala UI"/>
        </w:rPr>
        <w:t>চুয়াল্লিশ</w:t>
      </w:r>
      <w:r>
        <w:rPr>
          <w:rFonts w:ascii="Times New Roman" w:hAnsi="Times New Roman" w:eastAsia="Times New Roman" w:cs="Times New Roman"/>
        </w:rPr>
        <w:t xml:space="preserve"> </w:t>
      </w:r>
      <w:r>
        <w:rPr>
          <w:rFonts w:ascii="Nirmala UI" w:hAnsi="Nirmala UI" w:eastAsia="Nirmala UI" w:cs="Nirmala UI"/>
        </w:rPr>
        <w:t>হাজারের</w:t>
      </w:r>
      <w:r>
        <w:rPr>
          <w:rFonts w:ascii="Times New Roman" w:hAnsi="Times New Roman" w:eastAsia="Times New Roman" w:cs="Times New Roman"/>
        </w:rPr>
        <w:t xml:space="preserve"> </w:t>
      </w:r>
      <w:r>
        <w:rPr>
          <w:rFonts w:ascii="Nirmala UI" w:hAnsi="Nirmala UI" w:eastAsia="Nirmala UI" w:cs="Nirmala UI"/>
        </w:rPr>
        <w:t>বিপরীতে</w:t>
      </w:r>
      <w:r>
        <w:rPr>
          <w:rFonts w:ascii="Times New Roman" w:hAnsi="Times New Roman" w:eastAsia="Times New Roman" w:cs="Times New Roman"/>
        </w:rPr>
        <w:t xml:space="preserve"> </w:t>
      </w:r>
      <w:r>
        <w:rPr>
          <w:rFonts w:ascii="Nirmala UI" w:hAnsi="Nirmala UI" w:eastAsia="Nirmala UI" w:cs="Nirmala UI"/>
        </w:rPr>
        <w:t>শনাক্ত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যোহন</w:t>
      </w:r>
      <w:r>
        <w:rPr>
          <w:rFonts w:ascii="Times New Roman" w:hAnsi="Times New Roman" w:eastAsia="Times New Roman" w:cs="Times New Roman"/>
        </w:rPr>
        <w:t xml:space="preserve"> </w:t>
      </w:r>
      <w:r>
        <w:rPr>
          <w:rFonts w:ascii="Nirmala UI" w:hAnsi="Nirmala UI" w:eastAsia="Nirmala UI" w:cs="Nirmala UI"/>
        </w:rPr>
        <w:t>তাদেরকে</w:t>
      </w:r>
      <w:r>
        <w:rPr>
          <w:rFonts w:ascii="Times New Roman" w:hAnsi="Times New Roman" w:eastAsia="Times New Roman" w:cs="Times New Roman"/>
        </w:rPr>
        <w:t xml:space="preserve"> “</w:t>
      </w:r>
      <w:r>
        <w:rPr>
          <w:rFonts w:ascii="Nirmala UI" w:hAnsi="Nirmala UI" w:eastAsia="Nirmala UI" w:cs="Nirmala UI"/>
        </w:rPr>
        <w:t>মহাসমাবেশ</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অভিহিত</w:t>
      </w:r>
      <w:r>
        <w:rPr>
          <w:rFonts w:ascii="Times New Roman" w:hAnsi="Times New Roman" w:eastAsia="Times New Roman" w:cs="Times New Roman"/>
        </w:rPr>
        <w:t xml:space="preserve"> </w:t>
      </w:r>
      <w:r>
        <w:rPr>
          <w:rFonts w:ascii="Nirmala UI" w:hAnsi="Nirmala UI" w:eastAsia="Nirmala UI" w:cs="Nirmala UI"/>
        </w:rPr>
        <w:t>করেছেন।</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মহাসমাবেশ</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জীবিত</w:t>
      </w:r>
      <w:r>
        <w:rPr>
          <w:rFonts w:ascii="Times New Roman" w:hAnsi="Times New Roman" w:eastAsia="Times New Roman" w:cs="Times New Roman"/>
        </w:rPr>
        <w:t xml:space="preserve"> </w:t>
      </w:r>
      <w:r>
        <w:rPr>
          <w:rFonts w:ascii="Nirmala UI" w:hAnsi="Nirmala UI" w:eastAsia="Nirmala UI" w:cs="Nirmala UI"/>
        </w:rPr>
        <w:t>আত্মিক</w:t>
      </w:r>
      <w:r>
        <w:rPr>
          <w:rFonts w:ascii="Times New Roman" w:hAnsi="Times New Roman" w:eastAsia="Times New Roman" w:cs="Times New Roman"/>
        </w:rPr>
        <w:t xml:space="preserve"> </w:t>
      </w:r>
      <w:r>
        <w:rPr>
          <w:rFonts w:ascii="Nirmala UI" w:hAnsi="Nirmala UI" w:eastAsia="Nirmala UI" w:cs="Nirmala UI"/>
        </w:rPr>
        <w:t>শ্রেণির</w:t>
      </w:r>
      <w:r>
        <w:rPr>
          <w:rFonts w:ascii="Times New Roman" w:hAnsi="Times New Roman" w:eastAsia="Times New Roman" w:cs="Times New Roman"/>
        </w:rPr>
        <w:t xml:space="preserve"> </w:t>
      </w:r>
      <w:r>
        <w:rPr>
          <w:rFonts w:ascii="Nirmala UI" w:hAnsi="Nirmala UI" w:eastAsia="Nirmala UI" w:cs="Nirmala UI"/>
        </w:rPr>
        <w:t>প্রতীক</w:t>
      </w:r>
      <w:r>
        <w:rPr>
          <w:rFonts w:ascii="Times New Roman" w:hAnsi="Times New Roman" w:eastAsia="Times New Roman" w:cs="Times New Roman"/>
        </w:rPr>
        <w:t xml:space="preserve">, </w:t>
      </w:r>
      <w:r>
        <w:rPr>
          <w:rFonts w:ascii="Nirmala UI" w:hAnsi="Nirmala UI" w:eastAsia="Nirmala UI" w:cs="Nirmala UI"/>
        </w:rPr>
        <w:t>যাদের</w:t>
      </w:r>
      <w:r>
        <w:rPr>
          <w:rFonts w:ascii="Times New Roman" w:hAnsi="Times New Roman" w:eastAsia="Times New Roman" w:cs="Times New Roman"/>
        </w:rPr>
        <w:t xml:space="preserve"> </w:t>
      </w:r>
      <w:r>
        <w:rPr>
          <w:rFonts w:ascii="Nirmala UI" w:hAnsi="Nirmala UI" w:eastAsia="Nirmala UI" w:cs="Nirmala UI"/>
        </w:rPr>
        <w:t>জীবিতদের</w:t>
      </w:r>
      <w:r>
        <w:rPr>
          <w:rFonts w:ascii="Times New Roman" w:hAnsi="Times New Roman" w:eastAsia="Times New Roman" w:cs="Times New Roman"/>
        </w:rPr>
        <w:t xml:space="preserve"> </w:t>
      </w:r>
      <w:r>
        <w:rPr>
          <w:rFonts w:ascii="Nirmala UI" w:hAnsi="Nirmala UI" w:eastAsia="Nirmala UI" w:cs="Nirmala UI"/>
        </w:rPr>
        <w:t>বিচারকালের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বিচার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ব্যবস্থা</w:t>
      </w:r>
      <w:r>
        <w:rPr>
          <w:rFonts w:ascii="Times New Roman" w:hAnsi="Times New Roman" w:eastAsia="Times New Roman" w:cs="Times New Roman"/>
        </w:rPr>
        <w:t xml:space="preserve"> </w:t>
      </w:r>
      <w:r>
        <w:rPr>
          <w:rFonts w:ascii="Nirmala UI" w:hAnsi="Nirmala UI" w:eastAsia="Nirmala UI" w:cs="Nirmala UI"/>
        </w:rPr>
        <w:t>সম্পূর্ণরূপে</w:t>
      </w:r>
      <w:r>
        <w:rPr>
          <w:rFonts w:ascii="Times New Roman" w:hAnsi="Times New Roman" w:eastAsia="Times New Roman" w:cs="Times New Roman"/>
        </w:rPr>
        <w:t xml:space="preserve"> </w:t>
      </w:r>
      <w:r>
        <w:rPr>
          <w:rFonts w:ascii="Nirmala UI" w:hAnsi="Nirmala UI" w:eastAsia="Nirmala UI" w:cs="Nirmala UI"/>
        </w:rPr>
        <w:t>মান্য</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পোপের</w:t>
      </w:r>
      <w:r>
        <w:rPr>
          <w:rFonts w:ascii="Times New Roman" w:hAnsi="Times New Roman" w:eastAsia="Times New Roman" w:cs="Times New Roman"/>
        </w:rPr>
        <w:t xml:space="preserve"> </w:t>
      </w:r>
      <w:r>
        <w:rPr>
          <w:rFonts w:ascii="Nirmala UI" w:hAnsi="Nirmala UI" w:eastAsia="Nirmala UI" w:cs="Nirmala UI"/>
        </w:rPr>
        <w:t>সূর্য</w:t>
      </w:r>
      <w:r>
        <w:rPr>
          <w:rFonts w:ascii="Times New Roman" w:hAnsi="Times New Roman" w:eastAsia="Times New Roman" w:cs="Times New Roman"/>
        </w:rPr>
        <w:t>-</w:t>
      </w:r>
      <w:r>
        <w:rPr>
          <w:rFonts w:ascii="Nirmala UI" w:hAnsi="Nirmala UI" w:eastAsia="Nirmala UI" w:cs="Nirmala UI"/>
        </w:rPr>
        <w:t>দিবসে</w:t>
      </w:r>
      <w:r>
        <w:rPr>
          <w:rFonts w:ascii="Times New Roman" w:hAnsi="Times New Roman" w:eastAsia="Times New Roman" w:cs="Times New Roman"/>
        </w:rPr>
        <w:t xml:space="preserve"> </w:t>
      </w:r>
      <w:r>
        <w:rPr>
          <w:rFonts w:ascii="Nirmala UI" w:hAnsi="Nirmala UI" w:eastAsia="Nirmala UI" w:cs="Nirmala UI"/>
        </w:rPr>
        <w:t>উপাসনা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এসেছে।</w:t>
      </w:r>
      <w:r>
        <w:rPr>
          <w:rFonts w:ascii="Times New Roman" w:hAnsi="Times New Roman" w:eastAsia="Times New Roman" w:cs="Times New Roman"/>
        </w:rPr>
        <w:t xml:space="preserve"> </w:t>
      </w:r>
      <w:r>
        <w:rPr>
          <w:rFonts w:ascii="Nirmala UI" w:hAnsi="Nirmala UI" w:eastAsia="Nirmala UI" w:cs="Nirmala UI"/>
        </w:rPr>
        <w:t>যুক্তরাষ্ট্রে</w:t>
      </w:r>
      <w:r>
        <w:rPr>
          <w:rFonts w:ascii="Times New Roman" w:hAnsi="Times New Roman" w:eastAsia="Times New Roman" w:cs="Times New Roman"/>
        </w:rPr>
        <w:t xml:space="preserve"> </w:t>
      </w:r>
      <w:r>
        <w:rPr>
          <w:rFonts w:ascii="Nirmala UI" w:hAnsi="Nirmala UI" w:eastAsia="Nirmala UI" w:cs="Nirmala UI"/>
        </w:rPr>
        <w:t>শীঘ্র</w:t>
      </w:r>
      <w:r>
        <w:rPr>
          <w:rFonts w:ascii="Times New Roman" w:hAnsi="Times New Roman" w:eastAsia="Times New Roman" w:cs="Times New Roman"/>
        </w:rPr>
        <w:t>-</w:t>
      </w:r>
      <w:r>
        <w:rPr>
          <w:rFonts w:ascii="Nirmala UI" w:hAnsi="Nirmala UI" w:eastAsia="Nirmala UI" w:cs="Nirmala UI"/>
        </w:rPr>
        <w:t>আসন্ন</w:t>
      </w:r>
      <w:r>
        <w:rPr>
          <w:rFonts w:ascii="Times New Roman" w:hAnsi="Times New Roman" w:eastAsia="Times New Roman" w:cs="Times New Roman"/>
        </w:rPr>
        <w:t xml:space="preserve"> </w:t>
      </w:r>
      <w:r>
        <w:rPr>
          <w:rFonts w:ascii="Nirmala UI" w:hAnsi="Nirmala UI" w:eastAsia="Nirmala UI" w:cs="Nirmala UI"/>
        </w:rPr>
        <w:t>রবিবার</w:t>
      </w:r>
      <w:r>
        <w:rPr>
          <w:rFonts w:ascii="Times New Roman" w:hAnsi="Times New Roman" w:eastAsia="Times New Roman" w:cs="Times New Roman"/>
        </w:rPr>
        <w:t>-</w:t>
      </w:r>
      <w:r>
        <w:rPr>
          <w:rFonts w:ascii="Nirmala UI" w:hAnsi="Nirmala UI" w:eastAsia="Nirmala UI" w:cs="Nirmala UI"/>
        </w:rPr>
        <w:t>আইনের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যাদেরকে</w:t>
      </w:r>
      <w:r>
        <w:rPr>
          <w:rFonts w:ascii="Times New Roman" w:hAnsi="Times New Roman" w:eastAsia="Times New Roman" w:cs="Times New Roman"/>
        </w:rPr>
        <w:t xml:space="preserve"> </w:t>
      </w:r>
      <w:r>
        <w:rPr>
          <w:rFonts w:ascii="Nirmala UI" w:hAnsi="Nirmala UI" w:eastAsia="Nirmala UI" w:cs="Nirmala UI"/>
        </w:rPr>
        <w:t>যিহিষ্কেল</w:t>
      </w:r>
      <w:r>
        <w:rPr>
          <w:rFonts w:ascii="Times New Roman" w:hAnsi="Times New Roman" w:eastAsia="Times New Roman" w:cs="Times New Roman"/>
        </w:rPr>
        <w:t xml:space="preserve"> </w:t>
      </w:r>
      <w:r>
        <w:rPr>
          <w:rFonts w:ascii="Nirmala UI" w:hAnsi="Nirmala UI" w:eastAsia="Nirmala UI" w:cs="Nirmala UI"/>
        </w:rPr>
        <w:t>নবম</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লেখকের</w:t>
      </w:r>
      <w:r>
        <w:rPr>
          <w:rFonts w:ascii="Times New Roman" w:hAnsi="Times New Roman" w:eastAsia="Times New Roman" w:cs="Times New Roman"/>
        </w:rPr>
        <w:t xml:space="preserve"> </w:t>
      </w:r>
      <w:r>
        <w:rPr>
          <w:rFonts w:ascii="Nirmala UI" w:hAnsi="Nirmala UI" w:eastAsia="Nirmala UI" w:cs="Nirmala UI"/>
        </w:rPr>
        <w:t>মস্যাধারী</w:t>
      </w:r>
      <w:r>
        <w:rPr>
          <w:rFonts w:ascii="Times New Roman" w:hAnsi="Times New Roman" w:eastAsia="Times New Roman" w:cs="Times New Roman"/>
        </w:rPr>
        <w:t xml:space="preserve"> </w:t>
      </w:r>
      <w:r>
        <w:rPr>
          <w:rFonts w:ascii="Nirmala UI" w:hAnsi="Nirmala UI" w:eastAsia="Nirmala UI" w:cs="Nirmala UI"/>
        </w:rPr>
        <w:t>দূতের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সীলমোহর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সপ্তম</w:t>
      </w:r>
      <w:r>
        <w:rPr>
          <w:rFonts w:ascii="Times New Roman" w:hAnsi="Times New Roman" w:eastAsia="Times New Roman" w:cs="Times New Roman"/>
        </w:rPr>
        <w:t xml:space="preserve"> </w:t>
      </w:r>
      <w:r>
        <w:rPr>
          <w:rFonts w:ascii="Nirmala UI" w:hAnsi="Nirmala UI" w:eastAsia="Nirmala UI" w:cs="Nirmala UI"/>
        </w:rPr>
        <w:t>অধ্যায়ের</w:t>
      </w:r>
      <w:r>
        <w:rPr>
          <w:rFonts w:ascii="Times New Roman" w:hAnsi="Times New Roman" w:eastAsia="Times New Roman" w:cs="Times New Roman"/>
        </w:rPr>
        <w:t xml:space="preserve"> </w:t>
      </w:r>
      <w:r>
        <w:rPr>
          <w:rFonts w:ascii="Nirmala UI" w:hAnsi="Nirmala UI" w:eastAsia="Nirmala UI" w:cs="Nirmala UI"/>
        </w:rPr>
        <w:t>সীলমোহরও</w:t>
      </w:r>
      <w:r>
        <w:rPr>
          <w:rFonts w:ascii="Times New Roman" w:hAnsi="Times New Roman" w:eastAsia="Times New Roman" w:cs="Times New Roman"/>
        </w:rPr>
        <w:t>—</w:t>
      </w:r>
      <w:r>
        <w:rPr>
          <w:rFonts w:ascii="Nirmala UI" w:hAnsi="Nirmala UI" w:eastAsia="Nirmala UI" w:cs="Nirmala UI"/>
        </w:rPr>
        <w:t>তাদেরকে</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পতাকার</w:t>
      </w:r>
      <w:r>
        <w:rPr>
          <w:rFonts w:ascii="Times New Roman" w:hAnsi="Times New Roman" w:eastAsia="Times New Roman" w:cs="Times New Roman"/>
        </w:rPr>
        <w:t xml:space="preserve"> </w:t>
      </w:r>
      <w:r>
        <w:rPr>
          <w:rFonts w:ascii="Nirmala UI" w:hAnsi="Nirmala UI" w:eastAsia="Nirmala UI" w:cs="Nirmala UI"/>
        </w:rPr>
        <w:t>ন্যায়</w:t>
      </w:r>
      <w:r>
        <w:rPr>
          <w:rFonts w:ascii="Times New Roman" w:hAnsi="Times New Roman" w:eastAsia="Times New Roman" w:cs="Times New Roman"/>
        </w:rPr>
        <w:t xml:space="preserve"> </w:t>
      </w:r>
      <w:r>
        <w:rPr>
          <w:rFonts w:ascii="Nirmala UI" w:hAnsi="Nirmala UI" w:eastAsia="Nirmala UI" w:cs="Nirmala UI"/>
        </w:rPr>
        <w:t>উচ্চে</w:t>
      </w:r>
      <w:r>
        <w:rPr>
          <w:rFonts w:ascii="Times New Roman" w:hAnsi="Times New Roman" w:eastAsia="Times New Roman" w:cs="Times New Roman"/>
        </w:rPr>
        <w:t xml:space="preserve"> </w:t>
      </w:r>
      <w:r>
        <w:rPr>
          <w:rFonts w:ascii="Nirmala UI" w:hAnsi="Nirmala UI" w:eastAsia="Nirmala UI" w:cs="Nirmala UI"/>
        </w:rPr>
        <w:t>উত্তোলন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বর্তমানে</w:t>
      </w:r>
      <w:r>
        <w:rPr>
          <w:rFonts w:ascii="Times New Roman" w:hAnsi="Times New Roman" w:eastAsia="Times New Roman" w:cs="Times New Roman"/>
        </w:rPr>
        <w:t xml:space="preserve"> </w:t>
      </w:r>
      <w:r>
        <w:rPr>
          <w:rFonts w:ascii="Nirmala UI" w:hAnsi="Nirmala UI" w:eastAsia="Nirmala UI" w:cs="Nirmala UI"/>
        </w:rPr>
        <w:t>সুসমাচারের</w:t>
      </w:r>
      <w:r>
        <w:rPr>
          <w:rFonts w:ascii="Times New Roman" w:hAnsi="Times New Roman" w:eastAsia="Times New Roman" w:cs="Times New Roman"/>
        </w:rPr>
        <w:t xml:space="preserve"> </w:t>
      </w:r>
      <w:r>
        <w:rPr>
          <w:rFonts w:ascii="Nirmala UI" w:hAnsi="Nirmala UI" w:eastAsia="Nirmala UI" w:cs="Nirmala UI"/>
        </w:rPr>
        <w:t>আনুগত্য</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তাদেরকে</w:t>
      </w:r>
      <w:r>
        <w:rPr>
          <w:rFonts w:ascii="Times New Roman" w:hAnsi="Times New Roman" w:eastAsia="Times New Roman" w:cs="Times New Roman"/>
        </w:rPr>
        <w:t xml:space="preserve"> </w:t>
      </w:r>
      <w:r>
        <w:rPr>
          <w:rFonts w:ascii="Nirmala UI" w:hAnsi="Nirmala UI" w:eastAsia="Nirmala UI" w:cs="Nirmala UI"/>
        </w:rPr>
        <w:t>সপ্তম</w:t>
      </w:r>
      <w:r>
        <w:rPr>
          <w:rFonts w:ascii="Times New Roman" w:hAnsi="Times New Roman" w:eastAsia="Times New Roman" w:cs="Times New Roman"/>
        </w:rPr>
        <w:t>-</w:t>
      </w:r>
      <w:r>
        <w:rPr>
          <w:rFonts w:ascii="Nirmala UI" w:hAnsi="Nirmala UI" w:eastAsia="Nirmala UI" w:cs="Nirmala UI"/>
        </w:rPr>
        <w:t>দিনের</w:t>
      </w:r>
      <w:r>
        <w:rPr>
          <w:rFonts w:ascii="Times New Roman" w:hAnsi="Times New Roman" w:eastAsia="Times New Roman" w:cs="Times New Roman"/>
        </w:rPr>
        <w:t xml:space="preserve"> </w:t>
      </w:r>
      <w:r>
        <w:rPr>
          <w:rFonts w:ascii="Nirmala UI" w:hAnsi="Nirmala UI" w:eastAsia="Nirmala UI" w:cs="Nirmala UI"/>
        </w:rPr>
        <w:t>বিশ্রামবার</w:t>
      </w:r>
      <w:r>
        <w:rPr>
          <w:rFonts w:ascii="Times New Roman" w:hAnsi="Times New Roman" w:eastAsia="Times New Roman" w:cs="Times New Roman"/>
        </w:rPr>
        <w:t xml:space="preserve"> </w:t>
      </w:r>
      <w:r>
        <w:rPr>
          <w:rFonts w:ascii="Nirmala UI" w:hAnsi="Nirmala UI" w:eastAsia="Nirmala UI" w:cs="Nirmala UI"/>
        </w:rPr>
        <w:t>সম্বন্ধে</w:t>
      </w:r>
      <w:r>
        <w:rPr>
          <w:rFonts w:ascii="Times New Roman" w:hAnsi="Times New Roman" w:eastAsia="Times New Roman" w:cs="Times New Roman"/>
        </w:rPr>
        <w:t xml:space="preserve"> </w:t>
      </w:r>
      <w:r>
        <w:rPr>
          <w:rFonts w:ascii="Nirmala UI" w:hAnsi="Nirmala UI" w:eastAsia="Nirmala UI" w:cs="Nirmala UI"/>
        </w:rPr>
        <w:t>জবাবদিহির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আনা</w:t>
      </w:r>
      <w:r>
        <w:rPr>
          <w:rFonts w:ascii="Times New Roman" w:hAnsi="Times New Roman" w:eastAsia="Times New Roman" w:cs="Times New Roman"/>
        </w:rPr>
        <w:t xml:space="preserve"> </w:t>
      </w:r>
      <w:r>
        <w:rPr>
          <w:rFonts w:ascii="Nirmala UI" w:hAnsi="Nirmala UI" w:eastAsia="Nirmala UI" w:cs="Nirmala UI"/>
        </w:rPr>
        <w:t>হবে।</w:t>
      </w:r>
    </w:p>
    <w:p>
      <w:pPr>
        <w:pStyle w:val="ArticleScripture"/>
        <w:jc w:val="left"/>
      </w:pPr>
      <w:r>
        <w:rPr>
          <w:rFonts w:ascii="Times New Roman" w:hAnsi="Times New Roman" w:eastAsia="Times New Roman" w:cs="Times New Roman"/>
        </w:rPr>
        <w:t>“אולם הנוצרים בני הדורות הקודמים שמרו את יום ראשון, בסברם כי בכך הם שומרים את שבת המקרא; וגם עתה ישנם נוצרים אמיתיים בכל כנסייה, מבלי להוציא מכלל זה את העדה הרומית־קתולית, המאמינים ביושר כי יום ראשון הוא השבת שנתמנה מאת אלוהים. אלוהים מקבל את כנות כוונתם ואת יושר לבבם לפניו. אך כאשר שמירת יום ראשון תיאכף בחוק, והעולם יואר באשר לחובת השבת האמיתית, אזי כל מי שיעבור על מצוות אלוהים כדי לציית לתקנה שאין לה סמכות נעלה יותר מזו של רומא, יכבד בכך את האפיפיורות מעל אלוהים. הוא חולק כבוד לרומא ולכוח האוכף את המוסד אשר נקבע בידי רומא. הוא עובד את החיה ואת צלמה. כאשר בני האדם דוחים אז את המוסד אשר אלוהים הכריז עליו כאות סמכותו, ומכבדים תחתיו את אשר רומא בחרה בו כאות לעליונותה, הם יקבלו בכך את אות הנאמנות לרומא—‘תו החיה.’ ורק כאשר הסוגיה תוצג כך בבירור לפני העם, והם יובאו לבחור בין מצוות אלוהים ובין מצוות בני אדם, יקבלו אלה המתמידים בעבירה את ‘תו החיה.’” העימות הגדול, 449.</w:t>
      </w:r>
    </w:p>
    <w:p>
      <w:pPr>
        <w:pStyle w:val="ArticleBody"/>
        <w:jc w:val="left"/>
      </w:pPr>
      <w:r>
        <w:rPr>
          <w:rFonts w:ascii="Times New Roman" w:hAnsi="Times New Roman" w:eastAsia="Times New Roman" w:cs="Times New Roman"/>
        </w:rPr>
        <w:t>Alama ya wale waliotiwa muhuri ni yeye awaitaye wale wasiolitii Injili waingie katika utii.</w:t>
      </w:r>
    </w:p>
    <w:p>
      <w:pPr>
        <w:pStyle w:val="ArticleScripture"/>
        <w:jc w:val="left"/>
      </w:pPr>
      <w:r>
        <w:rPr>
          <w:rFonts w:ascii="Times New Roman" w:hAnsi="Times New Roman" w:eastAsia="Times New Roman" w:cs="Times New Roman"/>
        </w:rPr>
        <w:t>Kuloo guyyaa sanaatti hidda Isseey keessaa baʼu tokko sabootaaf mallattoo ol kaafame taʼee ni dhaabata; ormootnis isa barbaadu; boqonnaan isaas ulfina qabeessa ni taʼa. Guyyaa sanaattis, hafe keessaa uummata isaa deebisee argachuuf Gooftaan yeroo lammaffaatiif harka isaa ni diriirsa; warra Asor keessaa, warra Gibxii keessaa, warra Phaxroos keessaa, warra Kuush keessaa, warra Eelaam keessaa, warra Shiinaar keessaa, warra Hamaat keessaa, akkasumas odoolota galaanaa keessaa hafan ni deebisa. Inni sabootaaf mallattoo ni ol kaasa; baqattoota Israaʼel ni walitti qaba; warra Yihudaa facaʼan immoo qarqara afurii lafaa irraa ni walitti sassaaba. Isaayyaas 11:10–12.</w:t>
      </w:r>
    </w:p>
    <w:p>
      <w:pPr>
        <w:pStyle w:val="ArticleBody"/>
        <w:jc w:val="left"/>
      </w:pPr>
      <w:r>
        <w:rPr>
          <w:rFonts w:ascii="Times New Roman" w:hAnsi="Times New Roman" w:eastAsia="Times New Roman" w:cs="Times New Roman"/>
        </w:rPr>
        <w:t>Cei care în prezent nu ascultă de Evanghelie sunt judecați în timp ce trăiesc, dar judecata lor trebuie să urmeze judecății de cercetare a celor vii, a celor o sută patruzeci și patru de mii, căci ei pot fi avertizați numai văzând bărbați și femei având sigiliul lui Dumnezeu în timpul crizei apropiatei legi duminicale.</w:t>
      </w:r>
    </w:p>
    <w:p>
      <w:pPr>
        <w:pStyle w:val="ArticleScripture"/>
        <w:jc w:val="left"/>
      </w:pPr>
      <w:r>
        <w:rPr>
          <w:rFonts w:ascii="Times New Roman" w:hAnsi="Times New Roman" w:eastAsia="Times New Roman" w:cs="Times New Roman"/>
        </w:rPr>
        <w:t>“Bikorwa bya Mwuka Wera ni ibyo kwemeza isi iby’icyaha, n’iby’uko hariho gukiranuka n’urubanza. Isi ishobora kuburirwa gusa no kubona abizera ukuri bejejwe n’ukuri, bakora bakurikije amahame yo hejuru kandi yera, bagaragaza mu buryo bwo hejuru kandi busobanutse umurongo utandukanya abita ku mategeko y’Imana n’abayandagaza bakayakandagira munsi y’ibirenge byabo. Kwezwa kwa Mwuka kugaragaza itandukaniro riri hagati y’abafite ikimenyetso cy’Imana n’abubahiriza umunsi w’ikiruhuko w’impimbano. Igihe cy’ikigeragezo nikigera, bizagaragara neza icyo ikimenyetso cy’inyamaswa ari cyo. Ni ukwitondera no kuziririza ku cyumweru. Abantu, bamaze kumva ukuri, bagakomeza gufata uyu munsi nk’uwera, bitwaza ikirango cy’umuntu w’icyaha, watekereje guhindura ibihe n’amategeko.” Bible Training School, 1 Ukuboza 1903.</w:t>
      </w:r>
    </w:p>
    <w:p>
      <w:pPr>
        <w:pStyle w:val="ArticleBody"/>
        <w:jc w:val="left"/>
      </w:pPr>
      <w:r>
        <w:rPr>
          <w:rFonts w:ascii="Times New Roman" w:hAnsi="Times New Roman" w:eastAsia="Times New Roman" w:cs="Times New Roman"/>
        </w:rPr>
        <w:t>Jeje gbɛtɔŋu si wɔwɔ Elija etɔ la dɔwɔa le eme la, ewɔa gɔmedzedze kple Sɔnde se si gbɔna kpuie la. Esi nye ɣeyiɣi eveawo: le ɣeyiɣi gbãtɔ me la, Mawu ƒe ʋɔnudɔdrɔwo tsakple nublanui na ame siwo menɔa nyanyui la dzi se fifia o; eye emegbe la, woakɔ tsi afãadre mamlɛtɔwo agblɔe adza siwo wokɔna gbeɖe nublanui manɔmee o.</w:t>
      </w:r>
    </w:p>
    <w:p>
      <w:pPr>
        <w:pStyle w:val="ArticleScripture"/>
        <w:jc w:val="left"/>
      </w:pPr>
      <w:r>
        <w:rPr>
          <w:rFonts w:ascii="Times New Roman" w:hAnsi="Times New Roman" w:eastAsia="Times New Roman" w:cs="Times New Roman"/>
        </w:rPr>
        <w:t>«Пробационното време няма да продължи още дълго. Сега Бог оттегля възпиращата Си ръка от земята. Дълго време Той е говорил на мъже и жени чрез действието на Своя Свети Дух; но те не са откликнали на призива. Сега Той говори на Своя народ и на света чрез Своите съдби. Времето на тези съдби е време на милост за онези, които все още не са имали възможност да узнаят що е истина. Господ ще погледне на тях с нежност. Сърцето Му на милост е трогнато; ръката Му е още простряна, за да спасява. Голям брой ще бъдат приети в кошарата на безопасността — хора, които в тези последни дни ще чуят истината за първи път.» Review and Herald, November 22, 1906.</w:t>
      </w:r>
    </w:p>
    <w:p>
      <w:pPr>
        <w:pStyle w:val="ArticleBody"/>
        <w:jc w:val="left"/>
      </w:pPr>
      <w:r>
        <w:rPr>
          <w:rFonts w:ascii="Times New Roman" w:hAnsi="Times New Roman" w:eastAsia="Times New Roman" w:cs="Times New Roman"/>
        </w:rPr>
        <w:t>Afa a wɔnyɛ asɛmpa no so osetie no ne “nguan foforo” no a Yesu hyɛɛ bɔ sɛ ɔbɛfrɛ wɔn, na sɛ ɔfrɛ wɔn a, wɔbɛte Ne nne.</w:t>
      </w:r>
    </w:p>
    <w:p>
      <w:pPr>
        <w:pStyle w:val="ArticleScripture"/>
        <w:jc w:val="left"/>
      </w:pPr>
      <w:r>
        <w:rPr>
          <w:rFonts w:ascii="Times New Roman" w:hAnsi="Times New Roman" w:eastAsia="Times New Roman" w:cs="Times New Roman"/>
        </w:rPr>
        <w:t>Et j’ai d’autres brebis, qui ne sont pas de cette bergerie : il faut que je les amène aussi ; elles entendront ma voix ; et il y aura un seul troupeau, un seul berger. Jean 10:16.</w:t>
      </w:r>
    </w:p>
    <w:p>
      <w:pPr>
        <w:pStyle w:val="ArticleBody"/>
        <w:jc w:val="left"/>
      </w:pPr>
      <w:r>
        <w:rPr>
          <w:rFonts w:ascii="Times New Roman" w:hAnsi="Times New Roman" w:eastAsia="Times New Roman" w:cs="Times New Roman"/>
        </w:rPr>
        <w:t>“Vwa” yo tande a se dezyèm “vwa” ki nan Revelasyon chapit dizuit la, ki rele byen fò nan moman lwa dimanch ki pral vini talè a, lè jijman gwo jennès la double, paske li fin plen gode pwobasyon peche li a.</w:t>
      </w:r>
    </w:p>
    <w:p>
      <w:pPr>
        <w:pStyle w:val="ArticleScripture"/>
        <w:jc w:val="left"/>
      </w:pPr>
      <w:r>
        <w:rPr>
          <w:rFonts w:ascii="Times New Roman" w:hAnsi="Times New Roman" w:eastAsia="Times New Roman" w:cs="Times New Roman"/>
        </w:rPr>
        <w:t>نبى مى‌گوید: «فرشته‌اى دیگر را دیدم که از آسمان نازل مى‌شد و قدرتى عظیم داشت؛ و زمین از جلال او منوّر گردید. و با آوازى بلند و نیرومند فریاد برآورد و گفت: بابلِ عظیم سقوط کرده است، سقوط کرده است، و مسکن دیوها گردیده است» (Revelation 18:1, 2). این همان پیغامى است که به‌وسیلهٔ فرشتهٔ دوم داده شد. بابل سقوط کرده است، «زیرا که او همهٔ امت‌ها را از شرابِ خشمِ زنایش نوشانید» (Revelation 14:8). آن شراب چیست؟—تعالیم باطل او. او به‌جاى سبتِ فرمان چهارم، سبتى کاذب به جهان داده است، و آن دروغى را که شیطان نخست به حوّا در عدن گفت—یعنى جاودانگىِ ذاتىِ نفس—دوباره تکرار کرده است. خطاهاى خویشاوندِ بسیارى را نیز در همه‌جا منتشر ساخته است، «و احکام مردم را به‌جاى تعلیمات الهى تعلیم مى‌دهند» (Matthew 15:9).</w:t>
      </w:r>
    </w:p>
    <w:p>
      <w:pPr>
        <w:pStyle w:val="ArticleScripture"/>
        <w:jc w:val="left"/>
      </w:pPr>
      <w:r>
        <w:rPr>
          <w:rFonts w:ascii="Times New Roman" w:hAnsi="Times New Roman" w:eastAsia="Times New Roman" w:cs="Times New Roman"/>
        </w:rPr>
        <w:t>“An de chour ma Jésus a cminchi S’n ministère public, I a purgi l’Temple d’sa profanâtion sacrilège. Parmi les dèrnièrs actes d’Son ministère y eut la sconde purification de l’Temple. Aînsi, dans la dèrnière œuvre d’avèrtissement au monde, deux appels distincts sont adressés aux églises. Le message du deuxième ange est: ‘Babylone est tombée, est tombée, cette grande ville, parce qu’elle a fait boire à toutes les nations du vin de la colère de sa fornication’ (Apocalypse 14:8). Et dans le grand cri du message du troisième ange, on entend une voix venant du ciel, disant: ‘Sortez du milieu d’elle, mon peuple, afin que vous ne participiez point à ses péchés, et que vous n’ayez point part à ses fléaux. Car ses péchés se sont accumulés jusqu’au ciel, et Dieu s’est souvenu de ses iniquités’ (Apocalypse 18:4, 5).” Messages choisis, livre 2, 118.</w:t>
      </w:r>
    </w:p>
    <w:p>
      <w:pPr>
        <w:pStyle w:val="ArticleBody"/>
        <w:jc w:val="left"/>
      </w:pPr>
      <w:r>
        <w:rPr>
          <w:rFonts w:ascii="Times New Roman" w:hAnsi="Times New Roman" w:eastAsia="Times New Roman" w:cs="Times New Roman"/>
        </w:rPr>
        <w:t>در قانون یکشنبه‌ای که به‌زودی در ایالات متحده برقرار خواهد شد، داوری اجراییِ تدریجی بر بابِلِ جدید آغاز می‌شود، و آخرین دورهٔ داوریِ زندگان، هنگامی که آن دو داوری بر یکدیگر منطبق می‌شوند، شروع می‌گردد. سومین پیام‌آور که راه را برای کارِ رسولِ عهد مهیا می‌سازد، نمایانگرِ کاری است در زمانِ داوریِ زندگان که در 11 سپتامبر 2001 آغاز شد و زمانی پایان می‌یابد که آخرینِ کسانی که اکنون از انجیل اطاعت نمی‌کنند، ندای دومِ مکاشفه، فصل هجده را بشنوند و از بابِل بیرون آیند. آن کار، تطهیر و پالایشِ هیکلِ یک‌صد و چهل و چهار هزار را در آغازِ خدمتِ پیام‌آوری که راه را مهیا می‌سازد، مشخص می‌کند، و سپس پالایش و تطهیرِ هیکلِ گروهِ عظیم را در پایانِ خدمتِ پیام‌آوری که راه را برای رسولِ عهد مهیا می‌سازد.</w:t>
      </w:r>
    </w:p>
    <w:p>
      <w:pPr>
        <w:pStyle w:val="ArticleBody"/>
        <w:jc w:val="left"/>
      </w:pPr>
      <w:r>
        <w:rPr>
          <w:rFonts w:ascii="Times New Roman" w:hAnsi="Times New Roman" w:eastAsia="Times New Roman" w:cs="Times New Roman"/>
        </w:rPr>
        <w:t>Au moment de la loi dominicale imminente, la manifestation de la puissance de Dieu qui eut lieu à la Pentecôte se répète.</w:t>
      </w:r>
    </w:p>
    <w:p>
      <w:pPr>
        <w:pStyle w:val="ArticleScripture"/>
        <w:jc w:val="left"/>
      </w:pPr>
      <w:r>
        <w:rPr>
          <w:rFonts w:ascii="Times New Roman" w:hAnsi="Times New Roman" w:eastAsia="Times New Roman" w:cs="Times New Roman"/>
        </w:rPr>
        <w:t>«</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व्यक्ति</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कभी</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चरित्र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धब्बा</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छोड़</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चरित्र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हर</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अशुद्धि</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उत्तरवर्षा</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वैसे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उतरेगी</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प्रारम्भिक</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पिन्तेकुस्त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शिष्यों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उतरी</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 Que faites-vous, frères, dans la grande œuvre de préparation ? Ceux qui s’unissent au monde reçoivent l’empreinte du monde et se préparent pour la marque de la bête. Ceux qui se défient d’eux-mêmes, qui s’humilient devant Dieu et purifient leur âme en obéissant à la vérité, ceux-là reçoivent l’empreinte céleste et se préparent pour le sceau de Dieu sur leur front. Lorsque le décret sera promulgué et que l’empreinte sera apposée, leur caractère demeurera pur et sans tache pour l’éternité. » Testimonies, volume 5, 214, 216.</w:t>
      </w:r>
    </w:p>
    <w:p>
      <w:pPr>
        <w:pStyle w:val="ArticleBody"/>
        <w:jc w:val="left"/>
      </w:pPr>
      <w:r>
        <w:rPr>
          <w:rFonts w:ascii="Times New Roman" w:hAnsi="Times New Roman" w:eastAsia="Times New Roman" w:cs="Times New Roman"/>
        </w:rPr>
        <w:t>Ni hano ahari uko bisa nk’ukutumvikana mu Ijambo ry’ubuhanuzi umuntu ashobora kugwamo, nubwo bidakenewe ko biba bityo. Kuri Pentekote mu gihe cy’abigishwa, ubutumwa bwahawe imbaraga ntibwagejejwe ku Banyamahanga, ari bo badakumvira ubutumwa bwiza igihe cy’itegeko ryo ku Cyumweru rigiye kuza vuba. Ubutumwa bwahawe imbaraga kuri Pentekote bwagejejwe kuri Isirayeli ya kera, yo yari igifite indi myaka itatu n’igice mu gihe cyayo cya nyuma cy’igeragezwa.</w:t>
      </w:r>
    </w:p>
    <w:p>
      <w:pPr>
        <w:pStyle w:val="ArticleScripture"/>
        <w:jc w:val="left"/>
      </w:pPr>
      <w:r>
        <w:rPr>
          <w:rFonts w:ascii="Times New Roman" w:hAnsi="Times New Roman" w:eastAsia="Times New Roman" w:cs="Times New Roman"/>
        </w:rPr>
        <w:t>Hēpetoma e fitungofulu kuo tuʻutuʻuni ki ho kakai pea ki ho kolo māʻoniʻoni, ke fakaʻosi ai ʻa e maumau-fono, pea ke fakangata ai ʻa e ngaahi angahala, pea ke fai ai ʻa e fakalelei maʻá e faihala, pea ke ʻomi ai ʻa e māʻoniʻoni taʻengata, pea ke fakamaʻu ai ʻa e meʻa-hāmai mo e kikite, pea ke pani ʻa e Toko Taha Māʻoniʻoni ʻAupito. Taniela 9:24.</w:t>
      </w:r>
    </w:p>
    <w:p>
      <w:pPr>
        <w:pStyle w:val="ArticleBody"/>
        <w:jc w:val="left"/>
      </w:pPr>
      <w:r>
        <w:rPr>
          <w:rFonts w:ascii="Times New Roman" w:hAnsi="Times New Roman" w:eastAsia="Times New Roman" w:cs="Times New Roman"/>
        </w:rPr>
        <w:t>Leson ki ti resevwa puisans nan Pentkot la pa t ap pote bay moun ki pa t obeyi levanjil la jouk lè yo te kale Etyèn ak wòch nan ane 34. Sè White souvan idantifye reyalite sa a.</w:t>
      </w:r>
    </w:p>
    <w:p>
      <w:pPr>
        <w:pStyle w:val="ArticleScripture"/>
        <w:jc w:val="left"/>
      </w:pPr>
      <w:r>
        <w:rPr>
          <w:rFonts w:ascii="Times New Roman" w:hAnsi="Times New Roman" w:eastAsia="Times New Roman" w:cs="Times New Roman"/>
        </w:rPr>
        <w:t>“Sa láimh sin, a dúirt an t-aingeal, ‘Daingneoidh sé an cúnant le mórán ar feadh seachtaine amháin [seacht mbliana].’ Ar feadh seacht mbliana tar éis don Slánaitheoir dul i mbun a aireachta, bhí an soiscéal le seanmóireacht go háirithe do na Giúdaigh; ar feadh trí bliana go leith ag Críost Féin; agus ina dhiaidh sin ag na haspail. ‘I lár na seachtaine cuirfidh sé faoi deara go scoirfidh an íobairt agus an ofráil.’ Daniel 9:27. In earrach A.D. 31, ofráileadh Críost, an fhíor-íobairt, ar Chalbhair. Ansin sracadh brat an teampaill ina dhá chuid, á thaispeáint go raibh beannaitheacht agus tábhacht na seirbhíse íobartha imithe ar ceal. Bhí an t-am tagtha chun go scoirfeadh an íobairt agus an ofráil thalmhaí.”</w:t>
      </w:r>
    </w:p>
    <w:p>
      <w:pPr>
        <w:pStyle w:val="ArticleScripture"/>
        <w:jc w:val="left"/>
      </w:pPr>
      <w:r>
        <w:rPr>
          <w:rFonts w:ascii="Microsoft YaHei" w:hAnsi="Microsoft YaHei" w:eastAsia="Microsoft YaHei" w:cs="Microsoft YaHei"/>
        </w:rPr>
        <w:t>「一週</w:t>
      </w:r>
      <w:r>
        <w:rPr>
          <w:rFonts w:ascii="Times New Roman" w:hAnsi="Times New Roman" w:eastAsia="Times New Roman" w:cs="Times New Roman"/>
        </w:rPr>
        <w:t>―</w:t>
      </w:r>
      <w:r>
        <w:rPr>
          <w:rFonts w:ascii="Microsoft YaHei" w:hAnsi="Microsoft YaHei" w:eastAsia="Microsoft YaHei" w:cs="Microsoft YaHei"/>
        </w:rPr>
        <w:t>七年</w:t>
      </w:r>
      <w:r>
        <w:rPr>
          <w:rFonts w:ascii="Times New Roman" w:hAnsi="Times New Roman" w:eastAsia="Times New Roman" w:cs="Times New Roman"/>
        </w:rPr>
        <w:t>―</w:t>
      </w:r>
      <w:r>
        <w:rPr>
          <w:rFonts w:ascii="MS Gothic" w:hAnsi="MS Gothic" w:eastAsia="MS Gothic" w:cs="MS Gothic"/>
        </w:rPr>
        <w:t>は</w:t>
      </w:r>
      <w:r>
        <w:rPr>
          <w:rFonts w:ascii="Microsoft YaHei" w:hAnsi="Microsoft YaHei" w:eastAsia="Microsoft YaHei" w:cs="Microsoft YaHei"/>
        </w:rPr>
        <w:t>西暦</w:t>
      </w:r>
      <w:r>
        <w:rPr>
          <w:rFonts w:ascii="Times New Roman" w:hAnsi="Times New Roman" w:eastAsia="Times New Roman" w:cs="Times New Roman"/>
        </w:rPr>
        <w:t>34</w:t>
      </w:r>
      <w:r>
        <w:rPr>
          <w:rFonts w:ascii="Microsoft YaHei" w:hAnsi="Microsoft YaHei" w:eastAsia="Microsoft YaHei" w:cs="Microsoft YaHei"/>
        </w:rPr>
        <w:t>年</w:t>
      </w:r>
      <w:r>
        <w:rPr>
          <w:rFonts w:ascii="MS Gothic" w:hAnsi="MS Gothic" w:eastAsia="MS Gothic" w:cs="MS Gothic"/>
        </w:rPr>
        <w:t>に</w:t>
      </w:r>
      <w:r>
        <w:rPr>
          <w:rFonts w:ascii="Microsoft YaHei" w:hAnsi="Microsoft YaHei" w:eastAsia="Microsoft YaHei" w:cs="Microsoft YaHei"/>
        </w:rPr>
        <w:t>終</w:t>
      </w:r>
      <w:r>
        <w:rPr>
          <w:rFonts w:ascii="MS Gothic" w:hAnsi="MS Gothic" w:eastAsia="MS Gothic" w:cs="MS Gothic"/>
        </w:rPr>
        <w:t>わった</w:t>
      </w:r>
      <w:r>
        <w:rPr>
          <w:rFonts w:ascii="Times New Roman" w:hAnsi="Times New Roman" w:eastAsia="Times New Roman" w:cs="Times New Roman"/>
        </w:rPr>
        <w:t>.</w:t>
      </w:r>
      <w:r>
        <w:rPr>
          <w:rFonts w:ascii="Microsoft YaHei" w:hAnsi="Microsoft YaHei" w:eastAsia="Microsoft YaHei" w:cs="Microsoft YaHei"/>
        </w:rPr>
        <w:t>次</w:t>
      </w:r>
      <w:r>
        <w:rPr>
          <w:rFonts w:ascii="MS Gothic" w:hAnsi="MS Gothic" w:eastAsia="MS Gothic" w:cs="MS Gothic"/>
        </w:rPr>
        <w:t>いで</w:t>
      </w:r>
      <w:r>
        <w:rPr>
          <w:rFonts w:ascii="Microsoft YaHei" w:hAnsi="Microsoft YaHei" w:eastAsia="Microsoft YaHei" w:cs="Microsoft YaHei"/>
        </w:rPr>
        <w:t>、</w:t>
      </w:r>
      <w:r>
        <w:rPr>
          <w:rFonts w:ascii="MS Gothic" w:hAnsi="MS Gothic" w:eastAsia="MS Gothic" w:cs="MS Gothic"/>
        </w:rPr>
        <w:t>ステパノの</w:t>
      </w:r>
      <w:r>
        <w:rPr>
          <w:rFonts w:ascii="Microsoft YaHei" w:hAnsi="Microsoft YaHei" w:eastAsia="Microsoft YaHei" w:cs="Microsoft YaHei"/>
        </w:rPr>
        <w:t>石打</w:t>
      </w:r>
      <w:r>
        <w:rPr>
          <w:rFonts w:ascii="MS Gothic" w:hAnsi="MS Gothic" w:eastAsia="MS Gothic" w:cs="MS Gothic"/>
        </w:rPr>
        <w:t>ちによって</w:t>
      </w:r>
      <w:r>
        <w:rPr>
          <w:rFonts w:ascii="Microsoft YaHei" w:hAnsi="Microsoft YaHei" w:eastAsia="Microsoft YaHei" w:cs="Microsoft YaHei"/>
        </w:rPr>
        <w:t>、</w:t>
      </w:r>
      <w:r>
        <w:rPr>
          <w:rFonts w:ascii="MS Gothic" w:hAnsi="MS Gothic" w:eastAsia="MS Gothic" w:cs="MS Gothic"/>
        </w:rPr>
        <w:t>ユダヤ</w:t>
      </w:r>
      <w:r>
        <w:rPr>
          <w:rFonts w:ascii="Microsoft YaHei" w:hAnsi="Microsoft YaHei" w:eastAsia="Microsoft YaHei" w:cs="Microsoft YaHei"/>
        </w:rPr>
        <w:t>人</w:t>
      </w:r>
      <w:r>
        <w:rPr>
          <w:rFonts w:ascii="MS Gothic" w:hAnsi="MS Gothic" w:eastAsia="MS Gothic" w:cs="MS Gothic"/>
        </w:rPr>
        <w:t>はついに</w:t>
      </w:r>
      <w:r>
        <w:rPr>
          <w:rFonts w:ascii="Microsoft YaHei" w:hAnsi="Microsoft YaHei" w:eastAsia="Microsoft YaHei" w:cs="Microsoft YaHei"/>
        </w:rPr>
        <w:t>福音</w:t>
      </w:r>
      <w:r>
        <w:rPr>
          <w:rFonts w:ascii="MS Gothic" w:hAnsi="MS Gothic" w:eastAsia="MS Gothic" w:cs="MS Gothic"/>
        </w:rPr>
        <w:t>の</w:t>
      </w:r>
      <w:r>
        <w:rPr>
          <w:rFonts w:ascii="Microsoft YaHei" w:hAnsi="Microsoft YaHei" w:eastAsia="Microsoft YaHei" w:cs="Microsoft YaHei"/>
        </w:rPr>
        <w:t>拒絶</w:t>
      </w:r>
      <w:r>
        <w:rPr>
          <w:rFonts w:ascii="MS Gothic" w:hAnsi="MS Gothic" w:eastAsia="MS Gothic" w:cs="MS Gothic"/>
        </w:rPr>
        <w:t>を</w:t>
      </w:r>
      <w:r>
        <w:rPr>
          <w:rFonts w:ascii="Microsoft YaHei" w:hAnsi="Microsoft YaHei" w:eastAsia="Microsoft YaHei" w:cs="Microsoft YaHei"/>
        </w:rPr>
        <w:t>決定的</w:t>
      </w:r>
      <w:r>
        <w:rPr>
          <w:rFonts w:ascii="MS Gothic" w:hAnsi="MS Gothic" w:eastAsia="MS Gothic" w:cs="MS Gothic"/>
        </w:rPr>
        <w:t>なものとした</w:t>
      </w:r>
      <w:r>
        <w:rPr>
          <w:rFonts w:ascii="Times New Roman" w:hAnsi="Times New Roman" w:eastAsia="Times New Roman" w:cs="Times New Roman"/>
        </w:rPr>
        <w:t>.</w:t>
      </w:r>
      <w:r>
        <w:rPr>
          <w:rFonts w:ascii="Microsoft YaHei" w:hAnsi="Microsoft YaHei" w:eastAsia="Microsoft YaHei" w:cs="Microsoft YaHei"/>
        </w:rPr>
        <w:t>迫害</w:t>
      </w:r>
      <w:r>
        <w:rPr>
          <w:rFonts w:ascii="MS Gothic" w:hAnsi="MS Gothic" w:eastAsia="MS Gothic" w:cs="MS Gothic"/>
        </w:rPr>
        <w:t>によって</w:t>
      </w:r>
      <w:r>
        <w:rPr>
          <w:rFonts w:ascii="Microsoft YaHei" w:hAnsi="Microsoft YaHei" w:eastAsia="Microsoft YaHei" w:cs="Microsoft YaHei"/>
        </w:rPr>
        <w:t>散</w:t>
      </w:r>
      <w:r>
        <w:rPr>
          <w:rFonts w:ascii="MS Gothic" w:hAnsi="MS Gothic" w:eastAsia="MS Gothic" w:cs="MS Gothic"/>
        </w:rPr>
        <w:t>らされた</w:t>
      </w:r>
      <w:r>
        <w:rPr>
          <w:rFonts w:ascii="Microsoft YaHei" w:hAnsi="Microsoft YaHei" w:eastAsia="Microsoft YaHei" w:cs="Microsoft YaHei"/>
        </w:rPr>
        <w:t>弟子</w:t>
      </w:r>
      <w:r>
        <w:rPr>
          <w:rFonts w:ascii="MS Gothic" w:hAnsi="MS Gothic" w:eastAsia="MS Gothic" w:cs="MS Gothic"/>
        </w:rPr>
        <w:t>たちは</w:t>
      </w:r>
      <w:r>
        <w:rPr>
          <w:rFonts w:ascii="Microsoft YaHei" w:hAnsi="Microsoft YaHei" w:eastAsia="Microsoft YaHei" w:cs="Microsoft YaHei"/>
        </w:rPr>
        <w:t>、『至</w:t>
      </w:r>
      <w:r>
        <w:rPr>
          <w:rFonts w:ascii="MS Gothic" w:hAnsi="MS Gothic" w:eastAsia="MS Gothic" w:cs="MS Gothic"/>
        </w:rPr>
        <w:t>る</w:t>
      </w:r>
      <w:r>
        <w:rPr>
          <w:rFonts w:ascii="Microsoft YaHei" w:hAnsi="Microsoft YaHei" w:eastAsia="Microsoft YaHei" w:cs="Microsoft YaHei"/>
        </w:rPr>
        <w:t>所</w:t>
      </w:r>
      <w:r>
        <w:rPr>
          <w:rFonts w:ascii="MS Gothic" w:hAnsi="MS Gothic" w:eastAsia="MS Gothic" w:cs="MS Gothic"/>
        </w:rPr>
        <w:t>を</w:t>
      </w:r>
      <w:r>
        <w:rPr>
          <w:rFonts w:ascii="Microsoft YaHei" w:hAnsi="Microsoft YaHei" w:eastAsia="Microsoft YaHei" w:cs="Microsoft YaHei"/>
        </w:rPr>
        <w:t>巡</w:t>
      </w:r>
      <w:r>
        <w:rPr>
          <w:rFonts w:ascii="MS Gothic" w:hAnsi="MS Gothic" w:eastAsia="MS Gothic" w:cs="MS Gothic"/>
        </w:rPr>
        <w:t>って</w:t>
      </w:r>
      <w:r>
        <w:rPr>
          <w:rFonts w:ascii="Microsoft YaHei" w:hAnsi="Microsoft YaHei" w:eastAsia="Microsoft YaHei" w:cs="Microsoft YaHei"/>
        </w:rPr>
        <w:t>、</w:t>
      </w:r>
      <w:r>
        <w:rPr>
          <w:rFonts w:ascii="MS Gothic" w:hAnsi="MS Gothic" w:eastAsia="MS Gothic" w:cs="MS Gothic"/>
        </w:rPr>
        <w:t>みことばを</w:t>
      </w:r>
      <w:r>
        <w:rPr>
          <w:rFonts w:ascii="Microsoft YaHei" w:hAnsi="Microsoft YaHei" w:eastAsia="Microsoft YaHei" w:cs="Microsoft YaHei"/>
        </w:rPr>
        <w:t>宣</w:t>
      </w:r>
      <w:r>
        <w:rPr>
          <w:rFonts w:ascii="MS Gothic" w:hAnsi="MS Gothic" w:eastAsia="MS Gothic" w:cs="MS Gothic"/>
        </w:rPr>
        <w:t>べ</w:t>
      </w:r>
      <w:r>
        <w:rPr>
          <w:rFonts w:ascii="Microsoft YaHei" w:hAnsi="Microsoft YaHei" w:eastAsia="Microsoft YaHei" w:cs="Microsoft YaHei"/>
        </w:rPr>
        <w:t>伝</w:t>
      </w:r>
      <w:r>
        <w:rPr>
          <w:rFonts w:ascii="MS Gothic" w:hAnsi="MS Gothic" w:eastAsia="MS Gothic" w:cs="MS Gothic"/>
        </w:rPr>
        <w:t>えた</w:t>
      </w:r>
      <w:r>
        <w:rPr>
          <w:rFonts w:ascii="Microsoft YaHei" w:hAnsi="Microsoft YaHei" w:eastAsia="Microsoft YaHei" w:cs="Microsoft YaHei"/>
        </w:rPr>
        <w:t>』（使徒</w:t>
      </w:r>
      <w:r>
        <w:rPr>
          <w:rFonts w:ascii="Times New Roman" w:hAnsi="Times New Roman" w:eastAsia="Times New Roman" w:cs="Times New Roman"/>
        </w:rPr>
        <w:t xml:space="preserve"> 8:4</w:t>
      </w:r>
      <w:r>
        <w:rPr>
          <w:rFonts w:ascii="Microsoft YaHei" w:hAnsi="Microsoft YaHei" w:eastAsia="Microsoft YaHei" w:cs="Microsoft YaHei"/>
        </w:rPr>
        <w:t>）</w:t>
      </w:r>
      <w:r>
        <w:rPr>
          <w:rFonts w:ascii="Times New Roman" w:hAnsi="Times New Roman" w:eastAsia="Times New Roman" w:cs="Times New Roman"/>
        </w:rPr>
        <w:t>.</w:t>
      </w:r>
      <w:r>
        <w:rPr>
          <w:rFonts w:ascii="MS Gothic" w:hAnsi="MS Gothic" w:eastAsia="MS Gothic" w:cs="MS Gothic"/>
        </w:rPr>
        <w:t>そしてその</w:t>
      </w:r>
      <w:r>
        <w:rPr>
          <w:rFonts w:ascii="Microsoft YaHei" w:hAnsi="Microsoft YaHei" w:eastAsia="Microsoft YaHei" w:cs="Microsoft YaHei"/>
        </w:rPr>
        <w:t>後</w:t>
      </w:r>
      <w:r>
        <w:rPr>
          <w:rFonts w:ascii="MS Gothic" w:hAnsi="MS Gothic" w:eastAsia="MS Gothic" w:cs="MS Gothic"/>
        </w:rPr>
        <w:t>まもなく</w:t>
      </w:r>
      <w:r>
        <w:rPr>
          <w:rFonts w:ascii="Microsoft YaHei" w:hAnsi="Microsoft YaHei" w:eastAsia="Microsoft YaHei" w:cs="Microsoft YaHei"/>
        </w:rPr>
        <w:t>、迫害者</w:t>
      </w:r>
      <w:r>
        <w:rPr>
          <w:rFonts w:ascii="MS Gothic" w:hAnsi="MS Gothic" w:eastAsia="MS Gothic" w:cs="MS Gothic"/>
        </w:rPr>
        <w:t>サウロは</w:t>
      </w:r>
      <w:r>
        <w:rPr>
          <w:rFonts w:ascii="Microsoft YaHei" w:hAnsi="Microsoft YaHei" w:eastAsia="Microsoft YaHei" w:cs="Microsoft YaHei"/>
        </w:rPr>
        <w:t>回心</w:t>
      </w:r>
      <w:r>
        <w:rPr>
          <w:rFonts w:ascii="MS Gothic" w:hAnsi="MS Gothic" w:eastAsia="MS Gothic" w:cs="MS Gothic"/>
        </w:rPr>
        <w:t>し</w:t>
      </w:r>
      <w:r>
        <w:rPr>
          <w:rFonts w:ascii="Microsoft YaHei" w:hAnsi="Microsoft YaHei" w:eastAsia="Microsoft YaHei" w:cs="Microsoft YaHei"/>
        </w:rPr>
        <w:t>、異邦人</w:t>
      </w:r>
      <w:r>
        <w:rPr>
          <w:rFonts w:ascii="MS Gothic" w:hAnsi="MS Gothic" w:eastAsia="MS Gothic" w:cs="MS Gothic"/>
        </w:rPr>
        <w:t>への</w:t>
      </w:r>
      <w:r>
        <w:rPr>
          <w:rFonts w:ascii="Microsoft YaHei" w:hAnsi="Microsoft YaHei" w:eastAsia="Microsoft YaHei" w:cs="Microsoft YaHei"/>
        </w:rPr>
        <w:t>使徒</w:t>
      </w:r>
      <w:r>
        <w:rPr>
          <w:rFonts w:ascii="MS Gothic" w:hAnsi="MS Gothic" w:eastAsia="MS Gothic" w:cs="MS Gothic"/>
        </w:rPr>
        <w:t>パウロとなった</w:t>
      </w:r>
      <w:r>
        <w:rPr>
          <w:rFonts w:ascii="Times New Roman" w:hAnsi="Times New Roman" w:eastAsia="Times New Roman" w:cs="Times New Roman"/>
        </w:rPr>
        <w:t>.</w:t>
      </w:r>
      <w:r>
        <w:rPr>
          <w:rFonts w:ascii="Microsoft YaHei" w:hAnsi="Microsoft YaHei" w:eastAsia="Microsoft YaHei" w:cs="Microsoft YaHei"/>
        </w:rPr>
        <w:t>」『各時代</w:t>
      </w:r>
      <w:r>
        <w:rPr>
          <w:rFonts w:ascii="MS Gothic" w:hAnsi="MS Gothic" w:eastAsia="MS Gothic" w:cs="MS Gothic"/>
        </w:rPr>
        <w:t>の</w:t>
      </w:r>
      <w:r>
        <w:rPr>
          <w:rFonts w:ascii="Microsoft YaHei" w:hAnsi="Microsoft YaHei" w:eastAsia="Microsoft YaHei" w:cs="Microsoft YaHei"/>
        </w:rPr>
        <w:t>希望』</w:t>
      </w:r>
      <w:r>
        <w:rPr>
          <w:rFonts w:ascii="Times New Roman" w:hAnsi="Times New Roman" w:eastAsia="Times New Roman" w:cs="Times New Roman"/>
        </w:rPr>
        <w:t>233</w:t>
      </w:r>
      <w:r>
        <w:rPr>
          <w:rFonts w:ascii="Microsoft YaHei" w:hAnsi="Microsoft YaHei" w:eastAsia="Microsoft YaHei" w:cs="Microsoft YaHei"/>
        </w:rPr>
        <w:t>頁</w:t>
      </w:r>
      <w:r>
        <w:rPr>
          <w:rFonts w:ascii="Times New Roman" w:hAnsi="Times New Roman" w:eastAsia="Times New Roman" w:cs="Times New Roman"/>
        </w:rPr>
        <w:t>.</w:t>
      </w:r>
    </w:p>
    <w:p>
      <w:pPr>
        <w:pStyle w:val="ArticleBody"/>
        <w:jc w:val="left"/>
      </w:pPr>
      <w:r>
        <w:rPr>
          <w:rFonts w:ascii="Nirmala UI" w:hAnsi="Nirmala UI" w:eastAsia="Nirmala UI" w:cs="Nirmala UI"/>
        </w:rPr>
        <w:t>পেন্টেকস্টে</w:t>
      </w:r>
      <w:r>
        <w:rPr>
          <w:rFonts w:ascii="Times New Roman" w:hAnsi="Times New Roman" w:eastAsia="Times New Roman" w:cs="Times New Roman"/>
        </w:rPr>
        <w:t xml:space="preserve">, </w:t>
      </w:r>
      <w:r>
        <w:rPr>
          <w:rFonts w:ascii="Nirmala UI" w:hAnsi="Nirmala UI" w:eastAsia="Nirmala UI" w:cs="Nirmala UI"/>
        </w:rPr>
        <w:t>অর্থাৎ</w:t>
      </w:r>
      <w:r>
        <w:rPr>
          <w:rFonts w:ascii="Times New Roman" w:hAnsi="Times New Roman" w:eastAsia="Times New Roman" w:cs="Times New Roman"/>
        </w:rPr>
        <w:t xml:space="preserve"> </w:t>
      </w:r>
      <w:r>
        <w:rPr>
          <w:rFonts w:ascii="Nirmala UI" w:hAnsi="Nirmala UI" w:eastAsia="Nirmala UI" w:cs="Nirmala UI"/>
        </w:rPr>
        <w:t>খ্রীষ্টের</w:t>
      </w:r>
      <w:r>
        <w:rPr>
          <w:rFonts w:ascii="Times New Roman" w:hAnsi="Times New Roman" w:eastAsia="Times New Roman" w:cs="Times New Roman"/>
        </w:rPr>
        <w:t xml:space="preserve"> </w:t>
      </w:r>
      <w:r>
        <w:rPr>
          <w:rFonts w:ascii="Nirmala UI" w:hAnsi="Nirmala UI" w:eastAsia="Nirmala UI" w:cs="Nirmala UI"/>
        </w:rPr>
        <w:t>পুনরুত্থানের</w:t>
      </w:r>
      <w:r>
        <w:rPr>
          <w:rFonts w:ascii="Times New Roman" w:hAnsi="Times New Roman" w:eastAsia="Times New Roman" w:cs="Times New Roman"/>
        </w:rPr>
        <w:t xml:space="preserve"> </w:t>
      </w:r>
      <w:r>
        <w:rPr>
          <w:rFonts w:ascii="Nirmala UI" w:hAnsi="Nirmala UI" w:eastAsia="Nirmala UI" w:cs="Nirmala UI"/>
        </w:rPr>
        <w:t>পঞ্চাশ</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শক্তিসম্পন্ন</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রবিবার</w:t>
      </w:r>
      <w:r>
        <w:rPr>
          <w:rFonts w:ascii="Times New Roman" w:hAnsi="Times New Roman" w:eastAsia="Times New Roman" w:cs="Times New Roman"/>
        </w:rPr>
        <w:t>-</w:t>
      </w:r>
      <w:r>
        <w:rPr>
          <w:rFonts w:ascii="Nirmala UI" w:hAnsi="Nirmala UI" w:eastAsia="Nirmala UI" w:cs="Nirmala UI"/>
        </w:rPr>
        <w:t>আইনের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সামঞ্জস্যপূর্ণ</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সুসমাচার</w:t>
      </w:r>
      <w:r>
        <w:rPr>
          <w:rFonts w:ascii="Times New Roman" w:hAnsi="Times New Roman" w:eastAsia="Times New Roman" w:cs="Times New Roman"/>
        </w:rPr>
        <w:t xml:space="preserve"> </w:t>
      </w:r>
      <w:r>
        <w:rPr>
          <w:rFonts w:ascii="Nirmala UI" w:hAnsi="Nirmala UI" w:eastAsia="Nirmala UI" w:cs="Nirmala UI"/>
        </w:rPr>
        <w:t>খ্রীষ্টের</w:t>
      </w:r>
      <w:r>
        <w:rPr>
          <w:rFonts w:ascii="Times New Roman" w:hAnsi="Times New Roman" w:eastAsia="Times New Roman" w:cs="Times New Roman"/>
        </w:rPr>
        <w:t xml:space="preserve"> </w:t>
      </w:r>
      <w:r>
        <w:rPr>
          <w:rFonts w:ascii="Nirmala UI" w:hAnsi="Nirmala UI" w:eastAsia="Nirmala UI" w:cs="Nirmala UI"/>
        </w:rPr>
        <w:t>অন্য</w:t>
      </w:r>
      <w:r>
        <w:rPr>
          <w:rFonts w:ascii="Times New Roman" w:hAnsi="Times New Roman" w:eastAsia="Times New Roman" w:cs="Times New Roman"/>
        </w:rPr>
        <w:t xml:space="preserve"> </w:t>
      </w:r>
      <w:r>
        <w:rPr>
          <w:rFonts w:ascii="Nirmala UI" w:hAnsi="Nirmala UI" w:eastAsia="Nirmala UI" w:cs="Nirmala UI"/>
        </w:rPr>
        <w:t>পালকে</w:t>
      </w:r>
      <w:r>
        <w:rPr>
          <w:rFonts w:ascii="Times New Roman" w:hAnsi="Times New Roman" w:eastAsia="Times New Roman" w:cs="Times New Roman"/>
        </w:rPr>
        <w:t xml:space="preserve"> </w:t>
      </w:r>
      <w:r>
        <w:rPr>
          <w:rFonts w:ascii="Nirmala UI" w:hAnsi="Nirmala UI" w:eastAsia="Nirmala UI" w:cs="Nirmala UI"/>
        </w:rPr>
        <w:t>বাবেল</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বাইরে</w:t>
      </w:r>
      <w:r>
        <w:rPr>
          <w:rFonts w:ascii="Times New Roman" w:hAnsi="Times New Roman" w:eastAsia="Times New Roman" w:cs="Times New Roman"/>
        </w:rPr>
        <w:t xml:space="preserve"> </w:t>
      </w:r>
      <w:r>
        <w:rPr>
          <w:rFonts w:ascii="Nirmala UI" w:hAnsi="Nirmala UI" w:eastAsia="Nirmala UI" w:cs="Nirmala UI"/>
        </w:rPr>
        <w:t>আহ্বান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তবুও</w:t>
      </w:r>
      <w:r>
        <w:rPr>
          <w:rFonts w:ascii="Times New Roman" w:hAnsi="Times New Roman" w:eastAsia="Times New Roman" w:cs="Times New Roman"/>
        </w:rPr>
        <w:t xml:space="preserve"> </w:t>
      </w:r>
      <w:r>
        <w:rPr>
          <w:rFonts w:ascii="Nirmala UI" w:hAnsi="Nirmala UI" w:eastAsia="Nirmala UI" w:cs="Nirmala UI"/>
        </w:rPr>
        <w:t>ক্রুশের</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সাড়ে</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বছর</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যিহূদীরা</w:t>
      </w:r>
      <w:r>
        <w:rPr>
          <w:rFonts w:ascii="Times New Roman" w:hAnsi="Times New Roman" w:eastAsia="Times New Roman" w:cs="Times New Roman"/>
        </w:rPr>
        <w:t xml:space="preserve"> “</w:t>
      </w:r>
      <w:r>
        <w:rPr>
          <w:rFonts w:ascii="Nirmala UI" w:hAnsi="Nirmala UI" w:eastAsia="Nirmala UI" w:cs="Nirmala UI"/>
        </w:rPr>
        <w:t>সুসমাচার</w:t>
      </w:r>
      <w:r>
        <w:rPr>
          <w:rFonts w:ascii="Times New Roman" w:hAnsi="Times New Roman" w:eastAsia="Times New Roman" w:cs="Times New Roman"/>
        </w:rPr>
        <w:t xml:space="preserve"> </w:t>
      </w:r>
      <w:r>
        <w:rPr>
          <w:rFonts w:ascii="Nirmala UI" w:hAnsi="Nirmala UI" w:eastAsia="Nirmala UI" w:cs="Nirmala UI"/>
        </w:rPr>
        <w:t>প্রত্যাখ্যানের</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সিদ্ধান্তে</w:t>
      </w:r>
      <w:r>
        <w:rPr>
          <w:rFonts w:ascii="Times New Roman" w:hAnsi="Times New Roman" w:eastAsia="Times New Roman" w:cs="Times New Roman"/>
        </w:rPr>
        <w:t xml:space="preserve"> </w:t>
      </w:r>
      <w:r>
        <w:rPr>
          <w:rFonts w:ascii="Nirmala UI" w:hAnsi="Nirmala UI" w:eastAsia="Nirmala UI" w:cs="Nirmala UI"/>
        </w:rPr>
        <w:t>মোহর</w:t>
      </w:r>
      <w:r>
        <w:rPr>
          <w:rFonts w:ascii="Times New Roman" w:hAnsi="Times New Roman" w:eastAsia="Times New Roman" w:cs="Times New Roman"/>
        </w:rPr>
        <w:t xml:space="preserve"> </w:t>
      </w:r>
      <w:r>
        <w:rPr>
          <w:rFonts w:ascii="Nirmala UI" w:hAnsi="Nirmala UI" w:eastAsia="Nirmala UI" w:cs="Nirmala UI"/>
        </w:rPr>
        <w:t>দেয়নি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বার্তাটি</w:t>
      </w:r>
      <w:r>
        <w:rPr>
          <w:rFonts w:ascii="Times New Roman" w:hAnsi="Times New Roman" w:eastAsia="Times New Roman" w:cs="Times New Roman"/>
        </w:rPr>
        <w:t xml:space="preserve"> </w:t>
      </w:r>
      <w:r>
        <w:rPr>
          <w:rFonts w:ascii="Nirmala UI" w:hAnsi="Nirmala UI" w:eastAsia="Nirmala UI" w:cs="Nirmala UI"/>
        </w:rPr>
        <w:t>অইহুদীদের</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গেল</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সুসমাচারের</w:t>
      </w:r>
      <w:r>
        <w:rPr>
          <w:rFonts w:ascii="Times New Roman" w:hAnsi="Times New Roman" w:eastAsia="Times New Roman" w:cs="Times New Roman"/>
        </w:rPr>
        <w:t xml:space="preserve"> </w:t>
      </w:r>
      <w:r>
        <w:rPr>
          <w:rFonts w:ascii="Nirmala UI" w:hAnsi="Nirmala UI" w:eastAsia="Nirmala UI" w:cs="Nirmala UI"/>
        </w:rPr>
        <w:t>আজ্ঞাপালন</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আপাত</w:t>
      </w:r>
      <w:r>
        <w:rPr>
          <w:rFonts w:ascii="Times New Roman" w:hAnsi="Times New Roman" w:eastAsia="Times New Roman" w:cs="Times New Roman"/>
        </w:rPr>
        <w:t>-</w:t>
      </w:r>
      <w:r>
        <w:rPr>
          <w:rFonts w:ascii="Nirmala UI" w:hAnsi="Nirmala UI" w:eastAsia="Nirmala UI" w:cs="Nirmala UI"/>
        </w:rPr>
        <w:t>বিরোধ</w:t>
      </w:r>
      <w:r>
        <w:rPr>
          <w:rFonts w:ascii="Times New Roman" w:hAnsi="Times New Roman" w:eastAsia="Times New Roman" w:cs="Times New Roman"/>
        </w:rPr>
        <w:t xml:space="preserve"> </w:t>
      </w:r>
      <w:r>
        <w:rPr>
          <w:rFonts w:ascii="Nirmala UI" w:hAnsi="Nirmala UI" w:eastAsia="Nirmala UI" w:cs="Nirmala UI"/>
        </w:rPr>
        <w:t>আরও</w:t>
      </w:r>
      <w:r>
        <w:rPr>
          <w:rFonts w:ascii="Times New Roman" w:hAnsi="Times New Roman" w:eastAsia="Times New Roman" w:cs="Times New Roman"/>
        </w:rPr>
        <w:t xml:space="preserve"> </w:t>
      </w:r>
      <w:r>
        <w:rPr>
          <w:rFonts w:ascii="Nirmala UI" w:hAnsi="Nirmala UI" w:eastAsia="Nirmala UI" w:cs="Nirmala UI"/>
        </w:rPr>
        <w:t>প্রকট</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ওঠে</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সনাক্তকরণের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৩৪</w:t>
      </w:r>
      <w:r>
        <w:rPr>
          <w:rFonts w:ascii="Times New Roman" w:hAnsi="Times New Roman" w:eastAsia="Times New Roman" w:cs="Times New Roman"/>
        </w:rPr>
        <w:t xml:space="preserve"> </w:t>
      </w:r>
      <w:r>
        <w:rPr>
          <w:rFonts w:ascii="Nirmala UI" w:hAnsi="Nirmala UI" w:eastAsia="Nirmala UI" w:cs="Nirmala UI"/>
        </w:rPr>
        <w:t>খ্রিষ্টাব্দে</w:t>
      </w:r>
      <w:r>
        <w:rPr>
          <w:rFonts w:ascii="Times New Roman" w:hAnsi="Times New Roman" w:eastAsia="Times New Roman" w:cs="Times New Roman"/>
        </w:rPr>
        <w:t xml:space="preserve"> </w:t>
      </w:r>
      <w:r>
        <w:rPr>
          <w:rFonts w:ascii="Nirmala UI" w:hAnsi="Nirmala UI" w:eastAsia="Nirmala UI" w:cs="Nirmala UI"/>
        </w:rPr>
        <w:t>যিহূদীরা</w:t>
      </w:r>
      <w:r>
        <w:rPr>
          <w:rFonts w:ascii="Times New Roman" w:hAnsi="Times New Roman" w:eastAsia="Times New Roman" w:cs="Times New Roman"/>
        </w:rPr>
        <w:t xml:space="preserve"> </w:t>
      </w:r>
      <w:r>
        <w:rPr>
          <w:rFonts w:ascii="Nirmala UI" w:hAnsi="Nirmala UI" w:eastAsia="Nirmala UI" w:cs="Nirmala UI"/>
        </w:rPr>
        <w:t>সুসমাচার</w:t>
      </w:r>
      <w:r>
        <w:rPr>
          <w:rFonts w:ascii="Times New Roman" w:hAnsi="Times New Roman" w:eastAsia="Times New Roman" w:cs="Times New Roman"/>
        </w:rPr>
        <w:t xml:space="preserve"> </w:t>
      </w:r>
      <w:r>
        <w:rPr>
          <w:rFonts w:ascii="Nirmala UI" w:hAnsi="Nirmala UI" w:eastAsia="Nirmala UI" w:cs="Nirmala UI"/>
        </w:rPr>
        <w:t>প্রত্যাখ্যানের</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সিদ্ধান্তে</w:t>
      </w:r>
      <w:r>
        <w:rPr>
          <w:rFonts w:ascii="Times New Roman" w:hAnsi="Times New Roman" w:eastAsia="Times New Roman" w:cs="Times New Roman"/>
        </w:rPr>
        <w:t xml:space="preserve"> </w:t>
      </w:r>
      <w:r>
        <w:rPr>
          <w:rFonts w:ascii="Nirmala UI" w:hAnsi="Nirmala UI" w:eastAsia="Nirmala UI" w:cs="Nirmala UI"/>
        </w:rPr>
        <w:t>মোহর</w:t>
      </w:r>
      <w:r>
        <w:rPr>
          <w:rFonts w:ascii="Times New Roman" w:hAnsi="Times New Roman" w:eastAsia="Times New Roman" w:cs="Times New Roman"/>
        </w:rPr>
        <w:t xml:space="preserve"> </w:t>
      </w:r>
      <w:r>
        <w:rPr>
          <w:rFonts w:ascii="Nirmala UI" w:hAnsi="Nirmala UI" w:eastAsia="Nirmala UI" w:cs="Nirmala UI"/>
        </w:rPr>
        <w:t>দিয়েছিল</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সিস্টার</w:t>
      </w:r>
      <w:r>
        <w:rPr>
          <w:rFonts w:ascii="Times New Roman" w:hAnsi="Times New Roman" w:eastAsia="Times New Roman" w:cs="Times New Roman"/>
        </w:rPr>
        <w:t xml:space="preserve"> </w:t>
      </w:r>
      <w:r>
        <w:rPr>
          <w:rFonts w:ascii="Nirmala UI" w:hAnsi="Nirmala UI" w:eastAsia="Nirmala UI" w:cs="Nirmala UI"/>
        </w:rPr>
        <w:t>হোয়াইট</w:t>
      </w:r>
      <w:r>
        <w:rPr>
          <w:rFonts w:ascii="Times New Roman" w:hAnsi="Times New Roman" w:eastAsia="Times New Roman" w:cs="Times New Roman"/>
        </w:rPr>
        <w:t xml:space="preserve"> </w:t>
      </w:r>
      <w:r>
        <w:rPr>
          <w:rFonts w:ascii="Nirmala UI" w:hAnsi="Nirmala UI" w:eastAsia="Nirmala UI" w:cs="Nirmala UI"/>
        </w:rPr>
        <w:t>ভিন্ন</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বলেন।</w:t>
      </w:r>
    </w:p>
    <w:p>
      <w:pPr>
        <w:pStyle w:val="ArticleScripture"/>
        <w:jc w:val="left"/>
      </w:pPr>
      <w:r>
        <w:rPr>
          <w:rFonts w:ascii="Times New Roman" w:hAnsi="Times New Roman" w:eastAsia="Times New Roman" w:cs="Times New Roman"/>
        </w:rPr>
        <w:t>«Puisque tout le système rituel était symbolique du Christ, il n’avait aucune valeur en dehors de lui. Lorsque les Juifs scellèrent leur rejet du Christ en le livrant à la mort, ils rejetèrent tout ce qui conférait sa signification au temple et à ses services. Sa sainteté l’avait quitté. Il était voué à la destruction. Dès ce jour, les offrandes sacrificielles et le service qui s’y rattachait furent dépourvus de sens. Comme l’offrande de Caïn, elles n’exprimaient pas la foi au Sauveur. En mettant le Christ à mort, les Juifs détruisirent virtuellement leur temple. Lorsque le Christ fut crucifié, le voile intérieur du temple se déchira en deux, du haut en bas, signifiant que le grand sacrifice final avait été offert, et que le système des offrandes sacrificielles prenait fin pour toujours.» The Desire of Ages, 165.</w:t>
      </w:r>
    </w:p>
    <w:p>
      <w:pPr>
        <w:pStyle w:val="ArticleBody"/>
        <w:jc w:val="left"/>
      </w:pPr>
      <w:r>
        <w:rPr>
          <w:rFonts w:ascii="Times New Roman" w:hAnsi="Times New Roman" w:eastAsia="Times New Roman" w:cs="Times New Roman"/>
        </w:rPr>
        <w:t>¿Sellaron los judíos su rechazo del evangelio en el apedreamiento de Esteban o en la cruz de Cristo? Esta aparente contradicción está asociada con la aparente contradicción de identificar la manifestación del poder de Dios en Pentecostés con la ley dominical de pronta promulgación.</w:t>
      </w:r>
    </w:p>
    <w:p>
      <w:pPr>
        <w:pStyle w:val="ArticleBody"/>
        <w:jc w:val="left"/>
      </w:pPr>
      <w:r>
        <w:rPr>
          <w:rFonts w:ascii="Times New Roman" w:hAnsi="Times New Roman" w:eastAsia="Times New Roman" w:cs="Times New Roman"/>
        </w:rPr>
        <w:t>Vi har för avsikt att reda ut den skenbara motsägelsen i nästa artikel, men jag vill påminna oss om att syftet med just denna framställning grundar sig på det förhållande som profeterna har identifierat, nämligen att Guds laodiceiska folk i de sista dagarna inte förstår domen. Vi har tagit oss tid att gå igenom domens olika perioder och syften för att klart förstå hur både den undersökande och den verkställande domen sammanstrålar vid den snart kommande söndagslagen. För att kunna se den uppenbarelse som är förknippad med de skenbara motsägelser som vi just har berört, behövde dessa delar granskas.</w:t>
      </w:r>
    </w:p>
    <w:p>
      <w:pPr>
        <w:pStyle w:val="ArticleBody"/>
        <w:jc w:val="left"/>
      </w:pPr>
      <w:r>
        <w:rPr>
          <w:rFonts w:ascii="Times New Roman" w:hAnsi="Times New Roman" w:eastAsia="Times New Roman" w:cs="Times New Roman"/>
        </w:rPr>
        <w:t>Nous poursuivrons cette étude dans le prochain article.</w:t>
      </w:r>
    </w:p>
    <w:p>
      <w:pPr>
        <w:pStyle w:val="ArticleScripture"/>
        <w:jc w:val="left"/>
      </w:pPr>
      <w:r>
        <w:rPr>
          <w:rFonts w:ascii="Times New Roman" w:hAnsi="Times New Roman" w:eastAsia="Times New Roman" w:cs="Times New Roman"/>
        </w:rPr>
        <w:t>Katorika rōma kaafoɔ gye tom sɛ wɔn asafo na ɛyɛɛ Nsabida no nsakraeɛ no, na wɔde saa nsakraeɛ korɔ no ara yɛ adanseɛ de kyerɛ wɔn asafo no tumi a ɛkorɔn sen biara no. Wɔka sɛ, ɛdenam dapɛn no da a ɛdi kan so a Protestants di no sɛ Nsabida no, wɔregye ne tumi a ɔde yɛ mmara wɔ nneɛma a ɛfa Onyankopɔn ho mu no atom. Asafo Rōma no nnyae ne deɛ ɔka sɛ ɔmfomsoɔ nni ne mu no; na sɛ wiase no ne Protestant asafo ahodoɔ no gye Nsabida a ɛnyɛ nokorɛ, a ɔno ara na ɔyɛeɛ, tom, berɛ a wɔpo Yehowa Nsabida no a, wɔnam so pene saa deɛ ɔka no so ankasa. Ebia wɔbɛtumi de tumi a wɔde yɛɛ saa nsakraeɛ yi akyerɛ, nanso wɔn adwenehyɛmu no mfomsoɔ no da adi ntɛm ara. Papani no ani bere na ɔhu sɛ Protestants redaadaa wɔn ho, na wɔpɛ wɔn ankasa so reto wɔn ani agu nokwasɛm a ɛwɔ asɛm no mu no so. Sɛ Kwasida nhyehyɛeɛ no nya adom kɛseɛ no, ɔdi ahurisie, na ɔte nka sɛ ne ho akyere no yiye sɛ ɛbɛwie ase de Protestant wiase nyinaa aba Roma frankaa ase.</w:t>
      </w:r>
    </w:p>
    <w:p>
      <w:pPr>
        <w:pStyle w:val="ArticleScripture"/>
        <w:jc w:val="left"/>
      </w:pPr>
      <w:r>
        <w:rPr>
          <w:rFonts w:ascii="Times New Roman" w:hAnsi="Times New Roman" w:eastAsia="Times New Roman" w:cs="Times New Roman"/>
        </w:rPr>
        <w:t>“Uvuselelo lweSabatha luwuphawu, noma uphawu lwesiphathamandla, lobukhosi beBandla laseRoma. Labo okuthi, beqonda okufunwa ngumthetho wesine, bakhethe ukugcina iSabatha elingelona iqiniso esikhundleni seliqiniso, ngalokho benza ukuhlonipha kulawo mandla okuyiwo wodwa alikuyalayo. Uphawu lwesilo luyiSabatha lobupapa, elamukelwe ngumhlaba esikhundleni losuku olwamiswa nguNkulunkulu.</w:t>
      </w:r>
    </w:p>
    <w:p>
      <w:pPr>
        <w:pStyle w:val="ArticleScripture"/>
        <w:jc w:val="left"/>
      </w:pPr>
      <w:r>
        <w:rPr>
          <w:rFonts w:ascii="Times New Roman" w:hAnsi="Times New Roman" w:eastAsia="Times New Roman" w:cs="Times New Roman"/>
        </w:rPr>
        <w:t>“Mutta petoa koskevan merkin vastaanottamisen aika, niin kuin profetiassa on osoitettu, ei ole vielä tullut. Koetuksen aika ei ole vielä tullut. Jokaisessa kirkossa on aitoja kristittyjä, roomalaiskatolista kirkkoakaan lukuun ottamatta. Ketään ei tuomita, ennen kuin he ovat saaneet valon ja nähneet neljännen käskyn velvoittavuuden. Mutta kun annetaan määräys, joka pakottaa noudattamaan väärennettyä sapattia, ja kun kolmannen enkelin kuuluva huuto varoittaa ihmisiä pedon ja sen kuvan palvomisesta, raja väärän ja todellisen välillä vedetään selvästi. Silloin ne, jotka yhä edelleen jatkavat rikkomuksessa, saavat pedon merkin otsaansa tai käteensä.”</w:t>
      </w:r>
    </w:p>
    <w:p>
      <w:pPr>
        <w:pStyle w:val="ArticleScripture"/>
        <w:jc w:val="left"/>
      </w:pPr>
      <w:r>
        <w:rPr>
          <w:rFonts w:ascii="Times New Roman" w:hAnsi="Times New Roman" w:eastAsia="Times New Roman" w:cs="Times New Roman"/>
        </w:rPr>
        <w:t>« Mo a ke ka maphatha a bonako re atamela piriote eno. Fa dikereke tsa Boprotestanta di tla kopana le taolo ya lefatshe go tshegetsa bodumedi jwa maaka, jo bagologolwane ba tsona ba neng ba itshokela pogiso e e setlhogo go bo ganetsa, foo Sabata ya bopapa e tla patelediwa ka taolo e e kopaneng ya kereke le puso. Go tla nna le botlhanogi jwa setšhaba, jo bo tla khutlang fela ka tshenyego ya setšhaba. » Bible Training School, February 2, 1913.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cent quatre</dc:title>
  <dc:subject>Atklājot pravietisko likumu: izpratne par izmeklējošo un izpildošo tiesu pēdējās dienās</dc:subject>
  <dc:creator>Jeff Pippenger</dc:creator>
  <cp:keywords/>
  <dc:description>Generated by ArticleDigger from daniel\104_daniel.json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