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cent-cinq</w:t>
      </w:r>
    </w:p>
    <w:p>
      <w:pPr>
        <w:pStyle w:val="ArticleSubtitle"/>
        <w:jc w:val="left"/>
      </w:pPr>
      <w:r>
        <w:rPr>
          <w:rFonts w:ascii="Arial" w:hAnsi="Arial" w:eastAsia="Arial" w:cs="Arial"/>
        </w:rPr>
        <w:t>Inkwetra ry’Inkuru Nziza ryagendaga ryiyongera: kuva ku Kuvuka kwa Kristo kugeza ku guterwa amabuye kwa Sitefano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Dans le dernier article, nous avons noté que l’inspiration indiquait que les Juifs « scellèrent leur rejet » de l’Évangile à la croix, puis confirmèrent de nouveau leur rejet lors de la lapidation d’Étienne. Comment cela se peut-il ? Bien entendu, le rejet de l’Évangile par les Juifs ergoteurs de cette histoire s’accomplit progressivement. Ils avaient déjà été mis de côté à sa naissance. De la naissance du Christ à la lapidation d’Étienne se manifeste une illustration du rejet progressif de l’Évangile.</w:t>
      </w:r>
    </w:p>
    <w:p>
      <w:pPr>
        <w:pStyle w:val="ArticleScripture"/>
        <w:jc w:val="left"/>
      </w:pPr>
      <w:r>
        <w:rPr>
          <w:rFonts w:ascii="Times New Roman" w:hAnsi="Times New Roman" w:eastAsia="Times New Roman" w:cs="Times New Roman"/>
        </w:rPr>
        <w:t>«Одамон инро намедонанд, аммо ин хабар осмонро аз шодӣ лабрез месозад. Бо таваҷҷуҳе амиқтару латифтар, мавҷудоти муқаддас аз ҷаҳони нур ба сӯи замин ҷалб мешаванд. Ҳузури Ӯ тамоми ҷаҳонро равшантар месозад. Бар фарози теппаҳои Байт-Лаҳм анбӯҳи бешумори фариштагон гирд омадаанд. Онҳо мунтазири ишора ҳастанд, то ин муждаи шодро ба ҷаҳон эълон кунанд. Агар роҳбарони Исроил ба амонати ба онҳо супурдашуда содиқ мебуданд, метавонистанд дар шодии башорат додани таваллуди Исо шарик шаванд. Аммо ҳоло аз онҳо гузашта мешавад». The Desire of Ages, 47.</w:t>
      </w:r>
    </w:p>
    <w:p>
      <w:pPr>
        <w:pStyle w:val="ArticleBody"/>
        <w:jc w:val="left"/>
      </w:pPr>
      <w:r>
        <w:rPr>
          <w:rFonts w:ascii="Times New Roman" w:hAnsi="Times New Roman" w:eastAsia="Times New Roman" w:cs="Times New Roman"/>
        </w:rPr>
        <w:t>Kuuka kuJesu kuze kube sekufeni kukaStefanu kubonakaliswa ukwenqatshwa okuqhubekayo kwevangeli ngu-Israyeli wasendulo. Ukwamukela ukuthi ukwenqatshwa kwamaJuda kukaKristu kwaba yinto eqhubekayo kuvumela ukubonwa “kokuphawulwa kokwenqatshwa kwawo,” kokubili esiphambanweni, lapho ikhethini lethempeli ladabuka khona, nasekufeni kukaStefanu. Ukudabuka kwekhethini kwakuyisibonakaliso sokuthi ayesengasengabantu bakaNkulunkulu besivumelwano, kwathi lapho uStefanu egcotshwa ngamatshe, uStefanu wabona uJesu emi ngakwesokunene sikaNkulunkulu, okuyinto kuDaniyeli isahluko seshumi nambili, ivesi lokuqala, eyisibonakaliso sokuvalwa komusa. Ukubhujiswa kweJerusalema nakho kuyisibonakaliso sokuvalwa komusa.</w:t>
      </w:r>
    </w:p>
    <w:p>
      <w:pPr>
        <w:pStyle w:val="ArticleScripture"/>
        <w:jc w:val="left"/>
      </w:pPr>
      <w:r>
        <w:rPr>
          <w:rFonts w:ascii="Times New Roman" w:hAnsi="Times New Roman" w:eastAsia="Times New Roman" w:cs="Times New Roman"/>
        </w:rPr>
        <w:t>«Ёру́салим устига келадиган жазо фақат қисқа муддатгагина кечиктирилиши мумкин эди; ва Масеҳнинг назари ҳалокатга маҳкум этилган шаҳар устида тўхтаганида, У фақат унинг вайрон бўлишинигина эмас, балки бутун бир оламнинг ҳалокатини ҳам кўрди. У Ёрусалим қандай қилиб ҳалокатга топширилган бўлса, шундай қилиб дунё ҳам ўз маҳкумиятига топширилишини кўрди. У Худонинг рақиблари устига тушириладиган жазони кўрди. Ёрусалимнинг вайрон қилинишида содир бўлган манзаралар Раббининг буюк ва даҳшатли кунида яна такрорланади, аммо янада қўрқинчлироқ тарзда». Review and Herald, December 7, 1897.</w:t>
      </w:r>
    </w:p>
    <w:p>
      <w:pPr>
        <w:pStyle w:val="ArticleBody"/>
        <w:jc w:val="left"/>
      </w:pPr>
      <w:r>
        <w:rPr>
          <w:rFonts w:ascii="Times New Roman" w:hAnsi="Times New Roman" w:eastAsia="Times New Roman" w:cs="Times New Roman"/>
        </w:rPr>
        <w:t>Ccɛma a wɔfrɛ no Onyankopɔn mmɔborɔhunu nkutoo na ɛmaa wɔansɛe Yerusalem wɔ asɛndua no so.</w:t>
      </w:r>
    </w:p>
    <w:p>
      <w:pPr>
        <w:pStyle w:val="ArticleScripture"/>
        <w:jc w:val="left"/>
      </w:pPr>
      <w:r>
        <w:rPr>
          <w:rFonts w:ascii="Times New Roman" w:hAnsi="Times New Roman" w:eastAsia="Times New Roman" w:cs="Times New Roman"/>
        </w:rPr>
        <w:t>« Dans la crucifixion du Christ par les Juifs était impliquée la destruction de Jérusalem. Le sang répandu sur le Calvaire fut le poids qui les entraîna à la ruine pour ce monde et pour le monde à venir. Ainsi en sera-t-il au grand jour final, lorsque le jugement tombera sur ceux qui rejettent la grâce de Dieu. Le Christ, leur pierre d’achoppement, leur apparaîtra alors comme une montagne vengeresse. La gloire de son visage, qui est vie pour les justes, sera pour les méchants un feu dévorant. À cause de l’amour rejeté, de la grâce méprisée, le pécheur sera détruit. » The Desire of Ages, 600.</w:t>
      </w:r>
    </w:p>
    <w:p>
      <w:pPr>
        <w:pStyle w:val="ArticleBody"/>
        <w:jc w:val="left"/>
      </w:pPr>
      <w:r>
        <w:rPr>
          <w:rFonts w:ascii="Times New Roman" w:hAnsi="Times New Roman" w:eastAsia="Times New Roman" w:cs="Times New Roman"/>
        </w:rPr>
        <w:t>Єрусалим був урятований від знищення в час хреста лише завдяки Божому милосердю, яке ще зволікало.</w:t>
      </w:r>
    </w:p>
    <w:p>
      <w:pPr>
        <w:pStyle w:val="ArticleScripture"/>
        <w:jc w:val="left"/>
      </w:pPr>
      <w:r>
        <w:rPr>
          <w:rFonts w:ascii="Times New Roman" w:hAnsi="Times New Roman" w:eastAsia="Times New Roman" w:cs="Times New Roman"/>
        </w:rPr>
        <w:t>« Pendant près de quarante ans après que la ruine de Jérusalem eut été prononcée par le Christ Lui-même, le Seigneur différa Ses jugements sur la ville et sur la nation. Admirable fut la longanimité de Dieu envers ceux qui rejetaient Son Évangile et envers les meurtriers de Son Fils. » The Great Controversy, 27.</w:t>
      </w:r>
    </w:p>
    <w:p>
      <w:pPr>
        <w:pStyle w:val="ArticleBody"/>
        <w:jc w:val="left"/>
      </w:pPr>
      <w:r>
        <w:rPr>
          <w:rFonts w:ascii="Times New Roman" w:hAnsi="Times New Roman" w:eastAsia="Times New Roman" w:cs="Times New Roman"/>
        </w:rPr>
        <w:t>Kei te wā o Tāna whakawātea whakamutunga i te temepara, kua whakatakotoria e Īhu te whakatūpato kia rere atu i Hiruharama ina kitea e Āna akonga te mea whakarihariha e whakangaro ana, i kōrerotia e Raniera poropiti. I te wā tuatahi i whakawāteatia e Ia te temepara, i kī Ia kua meinga e ngā Hūrai te whare o Tōna Matua hei ana tāhae; engari i te wā whakamutunga ka mea Ia, “kua waiho tō koutou whare kia takoto kau ki a koutou.” Ahakoa i mua tonu i te ripekatanga, e tata tonu ana ki te whakatutukitia, kua oti kē te tautohu te temepara i reira e haehaea ai te ārai i te wā o te ripekatanga hei whare nō ngā Hūrai, ehara i te whare nō te Atua. E kōrero ana a Sister White mō te wā i whakaputa ai a te Karaiti i taua kupu whakapuaki, ā, i te haere tonu o tana whakaaturanga ka kōrero anō ia mō ngā tau e whā tekau o te aroha noa i whakawhānuitia.</w:t>
      </w:r>
    </w:p>
    <w:p>
      <w:pPr>
        <w:pStyle w:val="ArticleScripture"/>
        <w:jc w:val="left"/>
      </w:pPr>
      <w:r>
        <w:rPr>
          <w:rFonts w:ascii="Times New Roman" w:hAnsi="Times New Roman" w:eastAsia="Times New Roman" w:cs="Times New Roman"/>
        </w:rPr>
        <w:t>“Les paroles du Christ aux prêtres et aux chefs : « Voici, votre maison vous sera laissée déserte » (Matthieu 23:38), avaient frappé leurs cœurs de terreur. Ils affectaient l’indifférence, mais la question revenait sans cesse dans leur esprit quant à la portée de ces paroles. Un danger invisible semblait les menacer. Se pouvait-il que le magnifique temple, qui faisait la gloire de la nation, fût bientôt réduit à un monceau de ruines ?…”</w:t>
      </w:r>
    </w:p>
    <w:p>
      <w:pPr>
        <w:pStyle w:val="ArticleScripture"/>
        <w:jc w:val="left"/>
      </w:pPr>
      <w:r>
        <w:rPr>
          <w:rFonts w:ascii="Times New Roman" w:hAnsi="Times New Roman" w:eastAsia="Times New Roman" w:cs="Times New Roman"/>
        </w:rPr>
        <w:t>“Kristo ya ba almajiransa wata alama ta hallakar da za ta zo a kan Urushalima, kuma ya gaya musu yadda za su tsira: ‘Sa’ad da kuka ga an kewaye Urushalima da rundunoni, sai ku sani cewa kufewarta ta kusato. Sa’an nan waɗanda suke Yahudiya su gudu zuwa duwatsu; waɗanda kuma suke a tsakiyarta su fita; waɗanda kuwa suke cikin karkara kada su shiga cikinta. Gama waɗannan su ne kwanakin ɗaukan fansa, domin dukan abubuwan da aka rubuta su cika.’ An ba da wannan gargaɗi ne domin a kula da shi bayan shekara arba’in, a lokacin halakar Urushalima. Kiristoci suka yi biyayya ga gargaɗin, kuma ba wani Kirista ko ɗaya da ya halaka a faɗuwar birnin.” The Desire of Ages, 628, 630.</w:t>
      </w:r>
    </w:p>
    <w:p>
      <w:pPr>
        <w:pStyle w:val="ArticleBody"/>
        <w:jc w:val="left"/>
      </w:pPr>
      <w:r>
        <w:rPr>
          <w:rFonts w:ascii="Times New Roman" w:hAnsi="Times New Roman" w:eastAsia="Times New Roman" w:cs="Times New Roman"/>
        </w:rPr>
        <w:t>Kristo alisailiwa katika mwaka wa 31, na karibu miaka arobaini baadaye, katika mwaka wa 70, Yerusalemu uliharibiwa baada ya kuzingirwa kwa muda wa miaka mitatu na nusu. Yerusalemu ingewezaje kuwa iliharibiwa msalabani katika mwaka wa 31, ikiwa bado kulikuwapo miaka mitatu na nusu ya wakati wa rehema uliotambuliwa kama majuma sabini katika Danieli sura ya tisa, aya ya ishirini na nne? Inawezekanaje kutatua kutokuwiana huku kunakoonekana? Suluhisho lililo rahisi zaidi ni kutambua tu ukweli kwamba, inapohusu kufungwa kwa wakati wa rehema unaowakilishwa na majuma sabini, ni lazima kueleweka kuwa ni kufungwa kwa rehema kunakoendelea hatua kwa hatua. Hili ni kweli, lakini huondoa umahususi wowote wa kinabii katika kutumia alama za historia hiyo. Nitajaribu kueleza.</w:t>
      </w:r>
    </w:p>
    <w:p>
      <w:pPr>
        <w:pStyle w:val="ArticleBody"/>
        <w:jc w:val="left"/>
      </w:pPr>
      <w:r>
        <w:rPr>
          <w:rFonts w:ascii="Times New Roman" w:hAnsi="Times New Roman" w:eastAsia="Times New Roman" w:cs="Times New Roman"/>
        </w:rPr>
        <w:t>Агар Пентикост тез орада келажак якшанба қонунини, яъни Бобилдаги бошқа қўйлар чақириб олинадиган вақтни ифода этса, нега Инжил Пентикостдан уч ярим йил ўтгачгина ғайрияҳудийларга етказилди? Масиҳнинг ўлими ёки Истефаннинг ўлими қадимги Исроил учун синов муддатининг ёпилишига аломатми? Агар Лаодикиячи Адвентизм тез орада келажак якшанба қонунида черков бўлишдан тўхтаса, у ҳолда милодий 70-йили маъбаднинг вайрон қилиниши якшанба қонунидаги Лаодикиячи Адвентизм маъбадининг интиҳосини ифода этганми? Зоҳиран мавжуддек кўринадиган номувофиқликлар “сатр устига сатр” тамойилини қўллаш орқали ҳал этилади, ва шу қўлланиш ишга солинганда, биз аниқлаб бораётган белги-тошларнинг гувоҳлиги жуда равшан ва лўнда бўлиб қолади.</w:t>
      </w:r>
    </w:p>
    <w:p>
      <w:pPr>
        <w:pStyle w:val="ArticleBody"/>
        <w:jc w:val="left"/>
      </w:pPr>
      <w:r>
        <w:rPr>
          <w:rFonts w:ascii="Times New Roman" w:hAnsi="Times New Roman" w:eastAsia="Times New Roman" w:cs="Times New Roman"/>
        </w:rPr>
        <w:t>La semaine durant laquelle Christ confirma l’alliance se divise en deux périodes égales de trois ans et demi. Les trois premières années et demie commencent au baptême de Christ et s’achèvent par Sa mort. Le baptême est le symbole de Sa mort et de Sa résurrection ; ainsi, le commencement de cette période de trois ans et demi est identique à sa fin. Durant cette période, Christ présenta l’Évangile exclusivement aux Juifs. La fin de ces trois ans et demi marque le commencement des trois ans et demi suivants. Le début de la seconde période de trois ans et demi commence avec la mort de Christ, et elle se termine avec la mort d’Étienne. Durant cette période, les disciples présentèrent l’Évangile exclusivement aux Juifs.</w:t>
      </w:r>
    </w:p>
    <w:p>
      <w:pPr>
        <w:pStyle w:val="ArticleBody"/>
        <w:jc w:val="left"/>
      </w:pPr>
      <w:r>
        <w:rPr>
          <w:rFonts w:ascii="Times New Roman" w:hAnsi="Times New Roman" w:eastAsia="Times New Roman" w:cs="Times New Roman"/>
        </w:rPr>
        <w:t>Ces deux périodes, qui constituent des lignes prophétiques distinctes, doivent être réunies « précepte sur précepte ». Les commencements comme les fins portent la signature de l’Alpha et de l’Oméga, car les histoires du commencement et de la fin sont les mêmes. Les deux périodes de durée sont identiques, et l’œuvre accomplie durant chacune de ces périodes est identique. Le Christ, qui est le Premier et le Dernier, est aussi le créateur de toutes choses, et à cet égard Il est le Créateur de la Vérité. Le mot hébreu « vérité » est formé de trois lettres hébraïques. La première lettre, suivie de la treizième lettre, puis de la dernière lettre de l’alphabet hébreu, sont réunies pour former le mot hébreu signifiant « vérité ».</w:t>
      </w:r>
    </w:p>
    <w:p>
      <w:pPr>
        <w:pStyle w:val="ArticleBody"/>
        <w:jc w:val="left"/>
      </w:pP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w:t>
      </w:r>
      <w:r>
        <w:rPr>
          <w:rFonts w:ascii="Nirmala UI" w:hAnsi="Nirmala UI" w:eastAsia="Nirmala UI" w:cs="Nirmala UI"/>
        </w:rPr>
        <w:t>झगड़ालू</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Ka wā ʻelua, like nō ka lōʻihi, lawe pū i ka hōʻailona o ka ʻAlapa a me ka ʻŌmeka, a kuhikuhi i ka ʻeuanelio hoʻokahi nō. Pono e hoʻohui ʻia kēlā mau wā ʻelua “laina ma luna o laina.” ʻO ka hana hoʻokolohua o “laina ma luna o laina,” ʻo ia ka hana hoʻāʻo o ka ua hope. ʻO ia nō ke ʻano hana o nā lā hope; a ʻo nā ʻoiaʻiʻo i ʻike ʻia a hoʻokūpaʻa ʻia e ia ʻano hana i nā lā hope, ʻo ia ka mea nāna e huikala a hoʻomaʻemaʻe i nā keiki kāne a Levi i ka wā o ke sila ʻia ʻana o ka hoʻokahi haneli me kanahākumamāhā tausani.</w:t>
      </w:r>
    </w:p>
    <w:p>
      <w:pPr>
        <w:pStyle w:val="ArticleScripture"/>
        <w:jc w:val="left"/>
      </w:pP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कसलाई</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सिकाउने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कसलाई</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बुझाउने</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दूधबाट</w:t>
      </w:r>
      <w:r>
        <w:rPr>
          <w:rFonts w:ascii="Times New Roman" w:hAnsi="Times New Roman" w:eastAsia="Times New Roman" w:cs="Times New Roman"/>
        </w:rPr>
        <w:t xml:space="preserve"> </w:t>
      </w:r>
      <w:r>
        <w:rPr>
          <w:rFonts w:ascii="Nirmala UI" w:hAnsi="Nirmala UI" w:eastAsia="Nirmala UI" w:cs="Nirmala UI"/>
        </w:rPr>
        <w:t>छुटाइएका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स्तनबाट</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हकलिँदै</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ओठहरूद्वारा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भाषाद्वारा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प्रजासित</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भन्यो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जसद्वारा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थाकेकालाई</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मानेनन्।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पछिल्तिर</w:t>
      </w:r>
      <w:r>
        <w:rPr>
          <w:rFonts w:ascii="Times New Roman" w:hAnsi="Times New Roman" w:eastAsia="Times New Roman" w:cs="Times New Roman"/>
        </w:rPr>
        <w:t xml:space="preserve"> </w:t>
      </w:r>
      <w:r>
        <w:rPr>
          <w:rFonts w:ascii="Nirmala UI" w:hAnsi="Nirmala UI" w:eastAsia="Nirmala UI" w:cs="Nirmala UI"/>
        </w:rPr>
        <w:t>लडून्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टुक्रा</w:t>
      </w:r>
      <w:r>
        <w:rPr>
          <w:rFonts w:ascii="Times New Roman" w:hAnsi="Times New Roman" w:eastAsia="Times New Roman" w:cs="Times New Roman"/>
        </w:rPr>
        <w:t>-</w:t>
      </w:r>
      <w:r>
        <w:rPr>
          <w:rFonts w:ascii="Nirmala UI" w:hAnsi="Nirmala UI" w:eastAsia="Nirmala UI" w:cs="Nirmala UI"/>
        </w:rPr>
        <w:t>टुक्रा</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पासोमा</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समातिऊन्।</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28:9–13</w:t>
      </w:r>
      <w:r>
        <w:rPr>
          <w:rFonts w:ascii="Nirmala UI" w:hAnsi="Nirmala UI" w:eastAsia="Nirmala UI" w:cs="Nirmala UI"/>
        </w:rPr>
        <w:t>।</w:t>
      </w:r>
    </w:p>
    <w:p>
      <w:pPr>
        <w:pStyle w:val="ArticleBody"/>
        <w:jc w:val="left"/>
      </w:pPr>
      <w:r>
        <w:rPr>
          <w:rFonts w:ascii="Times New Roman" w:hAnsi="Times New Roman" w:eastAsia="Times New Roman" w:cs="Times New Roman"/>
        </w:rPr>
        <w:t>Ayat berikutnya dalam kitab Yesaya menujukan firman kepada orang-orang pencemooh yang memerintah bangsa Yerusalem. Bagi orang-orang pencemooh itu, “perhentian dan penyegaran” itu (hujan akhir), yang mereka tolak untuk “mendengarkan,” itulah yang menyebabkan mereka “pergi, dan jatuh terlentang, dan diremukkan, dan terjerat, dan tertangkap.” Ujian itu disampaikan kepada mereka melalui lidah lain, sebab Elia, Yohanes Pembaptis, dan William Miller tidak dididik dalam sekolah-sekolah teologi pada sejarah masing-masing. Pekabaran hujan akhir yang menguji Adventisme Laodikia adalah pekabaran yang dihasilkan oleh penerapan “baris demi baris.”</w:t>
      </w:r>
    </w:p>
    <w:p>
      <w:pPr>
        <w:pStyle w:val="ArticleBody"/>
        <w:jc w:val="left"/>
      </w:pPr>
      <w:r>
        <w:rPr>
          <w:rFonts w:ascii="Times New Roman" w:hAnsi="Times New Roman" w:eastAsia="Times New Roman" w:cs="Times New Roman"/>
        </w:rPr>
        <w:t>Lorsque les trois premières années et demie de la semaine durant laquelle Christ confirma l’alliance sont superposées aux trois dernières années et demie, nous trouvons une lumière prophétique qui éclaire toute apparente incohérence pouvant surgir dans un esprit en quête de compréhension. Cette semaine était celle durant laquelle le Messager de l’Alliance devait confirmer l’alliance, et une alliance biblique doit être confirmée par le sang. Le baptême et la crucifixion de Christ, ainsi que la lapidation d’Étienne, désignent tous le sang. Les deux lignes représentent le sang de l’alliance, et ces lignes confirment l’alliance.</w:t>
      </w:r>
    </w:p>
    <w:p>
      <w:pPr>
        <w:pStyle w:val="ArticleBody"/>
        <w:jc w:val="left"/>
      </w:pPr>
      <w:r>
        <w:rPr>
          <w:rFonts w:ascii="Times New Roman" w:hAnsi="Times New Roman" w:eastAsia="Times New Roman" w:cs="Times New Roman"/>
        </w:rPr>
        <w:t>A sɛ ka wɔn bom “nsensan wɔ nsensan so” a, asubɔ ne asɛnnua mu wu no yɛ waymark a edi kan, na asɛnnua mu wu ne Stefano siw no abo kum no yɛ waymark a etwa to. Sɛ wɔde wɔn bom yɛ line baako a, yehu asɛnnua no ne Michael sɔre gyina wɔ Stefano wu mu sɛ adansefo baanu a ɛsɔre tia Yudafo no, de sɔ wɔn asɛmpa no a wɔpowee no ano. Kristo wu no yɛ ne suani Stefano wu nso, a ɛno ne Twam Afahyɛ no bere a wɔde lines abien no bom no. Nnansa akyi no, wonyan Kristo sɛ Aba a Edi Kan afɔrebɔ no.</w:t>
      </w:r>
    </w:p>
    <w:p>
      <w:pPr>
        <w:pStyle w:val="ArticleScripture"/>
        <w:jc w:val="left"/>
      </w:pPr>
      <w:r>
        <w:rPr>
          <w:rFonts w:ascii="Times New Roman" w:hAnsi="Times New Roman" w:eastAsia="Times New Roman" w:cs="Times New Roman"/>
        </w:rPr>
        <w:t>Kasi sasa Kristo amefufuka katika wafu, naye amekuwa malimbuko ya hao waliolala. 1 Wakorintho 15:20.</w:t>
      </w:r>
    </w:p>
    <w:p>
      <w:pPr>
        <w:pStyle w:val="ArticleBody"/>
        <w:jc w:val="left"/>
      </w:pPr>
      <w:r>
        <w:rPr>
          <w:rFonts w:ascii="Times New Roman" w:hAnsi="Times New Roman" w:eastAsia="Times New Roman" w:cs="Times New Roman"/>
        </w:rPr>
        <w:t>Entre la Pâque et la fête des Prémices, le troisième jour, se situe le commencement de la fête des Pains sans levain. Le pain sans levain ne « lève » pas, et le Christ n’est pas ressuscité le deuxième jour ; Il est ressuscité le troisième jour. Le Christ et Étienne meurent ensemble dans l’application du « précepte sur précepte », mais Étienne est ressuscité après le Christ, car il y a un ordre dans la résurrection des prémices.</w:t>
      </w:r>
    </w:p>
    <w:p>
      <w:pPr>
        <w:pStyle w:val="ArticleScripture"/>
        <w:jc w:val="left"/>
      </w:pPr>
      <w:r>
        <w:rPr>
          <w:rFonts w:ascii="Times New Roman" w:hAnsi="Times New Roman" w:eastAsia="Times New Roman" w:cs="Times New Roman"/>
        </w:rPr>
        <w:t>Pero cada uno en su debido orden: Cristo, las primicias; luego los que son de Cristo, en su venida. 1 Corintios 15:22.</w:t>
      </w:r>
    </w:p>
    <w:p>
      <w:pPr>
        <w:pStyle w:val="ArticleBody"/>
        <w:jc w:val="left"/>
      </w:pPr>
      <w:r>
        <w:rPr>
          <w:rFonts w:ascii="Nirmala UI" w:hAnsi="Nirmala UI" w:eastAsia="Nirmala UI" w:cs="Nirmala UI"/>
        </w:rPr>
        <w:t>মুকুল</w:t>
      </w:r>
      <w:r>
        <w:rPr>
          <w:rFonts w:ascii="Times New Roman" w:hAnsi="Times New Roman" w:eastAsia="Times New Roman" w:cs="Times New Roman"/>
        </w:rPr>
        <w:t xml:space="preserve"> </w:t>
      </w:r>
      <w:r>
        <w:rPr>
          <w:rFonts w:ascii="Nirmala UI" w:hAnsi="Nirmala UI" w:eastAsia="Nirmala UI" w:cs="Nirmala UI"/>
        </w:rPr>
        <w:t>ঋতুর</w:t>
      </w:r>
      <w:r>
        <w:rPr>
          <w:rFonts w:ascii="Times New Roman" w:hAnsi="Times New Roman" w:eastAsia="Times New Roman" w:cs="Times New Roman"/>
        </w:rPr>
        <w:t xml:space="preserve"> </w:t>
      </w:r>
      <w:r>
        <w:rPr>
          <w:rFonts w:ascii="Nirmala UI" w:hAnsi="Nirmala UI" w:eastAsia="Nirmala UI" w:cs="Nirmala UI"/>
        </w:rPr>
        <w:t>পর্বসমূহ</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অপরের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প্রত্যক্ষভাবে</w:t>
      </w:r>
      <w:r>
        <w:rPr>
          <w:rFonts w:ascii="Times New Roman" w:hAnsi="Times New Roman" w:eastAsia="Times New Roman" w:cs="Times New Roman"/>
        </w:rPr>
        <w:t xml:space="preserve"> </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পেন্টেকোস্ট</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অষ্টাদশ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বেরিয়ে</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শব্দের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বিভ্রান্তি</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ভাষাসমূহে</w:t>
      </w:r>
      <w:r>
        <w:rPr>
          <w:rFonts w:ascii="Times New Roman" w:hAnsi="Times New Roman" w:eastAsia="Times New Roman" w:cs="Times New Roman"/>
        </w:rPr>
        <w:t xml:space="preserve"> </w:t>
      </w:r>
      <w:r>
        <w:rPr>
          <w:rFonts w:ascii="Nirmala UI" w:hAnsi="Nirmala UI" w:eastAsia="Nirmala UI" w:cs="Nirmala UI"/>
        </w:rPr>
        <w:t>বিভ্রান্তি</w:t>
      </w:r>
      <w:r>
        <w:rPr>
          <w:rFonts w:ascii="Times New Roman" w:hAnsi="Times New Roman" w:eastAsia="Times New Roman" w:cs="Times New Roman"/>
        </w:rPr>
        <w:t xml:space="preserve"> </w:t>
      </w:r>
      <w:r>
        <w:rPr>
          <w:rFonts w:ascii="Nirmala UI" w:hAnsi="Nirmala UI" w:eastAsia="Nirmala UI" w:cs="Nirmala UI"/>
        </w:rPr>
        <w:t>ঘটিয়েছিলেন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পেন্টেকোস্টেই</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ভাষার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বিভ্রান্তিকে</w:t>
      </w:r>
      <w:r>
        <w:rPr>
          <w:rFonts w:ascii="Times New Roman" w:hAnsi="Times New Roman" w:eastAsia="Times New Roman" w:cs="Times New Roman"/>
        </w:rPr>
        <w:t xml:space="preserve"> </w:t>
      </w:r>
      <w:r>
        <w:rPr>
          <w:rFonts w:ascii="Nirmala UI" w:hAnsi="Nirmala UI" w:eastAsia="Nirmala UI" w:cs="Nirmala UI"/>
        </w:rPr>
        <w:t>প্রত্যাহার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পেন্টেকোস্ট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p>
    <w:p>
      <w:pPr>
        <w:pStyle w:val="ArticleBody"/>
        <w:jc w:val="left"/>
      </w:pP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पेंतीकोस्त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रेखाएँ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पेंतीकोस्त</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34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स्तिफनुस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पथराव</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p>
    <w:p>
      <w:pPr>
        <w:pStyle w:val="ArticleBody"/>
        <w:jc w:val="left"/>
      </w:pPr>
      <w:r>
        <w:rPr>
          <w:rFonts w:ascii="Times New Roman" w:hAnsi="Times New Roman" w:eastAsia="Times New Roman" w:cs="Times New Roman"/>
        </w:rPr>
        <w:t>Étienne représente ceux qui ressuscitent « à son avènement », mais qui sont morts avec lui. L’offrande des prémices marque la résurrection du Christ le troisième jour, et elle marque aussi le commencement de la fête des Semaines, qui est également la fête de la Pentecôte, et qui commémore le don des Dix Commandements au Sinaï.</w:t>
      </w:r>
    </w:p>
    <w:p>
      <w:pPr>
        <w:pStyle w:val="ArticleBody"/>
        <w:jc w:val="left"/>
      </w:pP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क्रूससँग</w:t>
      </w:r>
      <w:r>
        <w:rPr>
          <w:rFonts w:ascii="Times New Roman" w:hAnsi="Times New Roman" w:eastAsia="Times New Roman" w:cs="Times New Roman"/>
        </w:rPr>
        <w:t xml:space="preserve"> </w:t>
      </w:r>
      <w:r>
        <w:rPr>
          <w:rFonts w:ascii="Nirmala UI" w:hAnsi="Nirmala UI" w:eastAsia="Nirmala UI" w:cs="Nirmala UI"/>
        </w:rPr>
        <w:t>मिल्दछ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प्रमाणहरूमध्ये</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क्रूसपछि</w:t>
      </w:r>
      <w:r>
        <w:rPr>
          <w:rFonts w:ascii="Times New Roman" w:hAnsi="Times New Roman" w:eastAsia="Times New Roman" w:cs="Times New Roman"/>
        </w:rPr>
        <w:t xml:space="preserve"> </w:t>
      </w:r>
      <w:r>
        <w:rPr>
          <w:rFonts w:ascii="Nirmala UI" w:hAnsi="Nirmala UI" w:eastAsia="Nirmala UI" w:cs="Nirmala UI"/>
        </w:rPr>
        <w:t>चेलाहरूले</w:t>
      </w:r>
      <w:r>
        <w:rPr>
          <w:rFonts w:ascii="Times New Roman" w:hAnsi="Times New Roman" w:eastAsia="Times New Roman" w:cs="Times New Roman"/>
        </w:rPr>
        <w:t xml:space="preserve"> </w:t>
      </w:r>
      <w:r>
        <w:rPr>
          <w:rFonts w:ascii="Nirmala UI" w:hAnsi="Nirmala UI" w:eastAsia="Nirmala UI" w:cs="Nirmala UI"/>
        </w:rPr>
        <w:t>भोगेको</w:t>
      </w:r>
      <w:r>
        <w:rPr>
          <w:rFonts w:ascii="Times New Roman" w:hAnsi="Times New Roman" w:eastAsia="Times New Roman" w:cs="Times New Roman"/>
        </w:rPr>
        <w:t xml:space="preserve"> </w:t>
      </w:r>
      <w:r>
        <w:rPr>
          <w:rFonts w:ascii="Nirmala UI" w:hAnsi="Nirmala UI" w:eastAsia="Nirmala UI" w:cs="Nirmala UI"/>
        </w:rPr>
        <w:t>निराशालाई</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निराशासँग</w:t>
      </w:r>
      <w:r>
        <w:rPr>
          <w:rFonts w:ascii="Times New Roman" w:hAnsi="Times New Roman" w:eastAsia="Times New Roman" w:cs="Times New Roman"/>
        </w:rPr>
        <w:t xml:space="preserve"> </w:t>
      </w:r>
      <w:r>
        <w:rPr>
          <w:rFonts w:ascii="Nirmala UI" w:hAnsi="Nirmala UI" w:eastAsia="Nirmala UI" w:cs="Nirmala UI"/>
        </w:rPr>
        <w:t>मिलान</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व्यवस्थालाई</w:t>
      </w:r>
      <w:r>
        <w:rPr>
          <w:rFonts w:ascii="Times New Roman" w:hAnsi="Times New Roman" w:eastAsia="Times New Roman" w:cs="Times New Roman"/>
        </w:rPr>
        <w:t xml:space="preserve"> </w:t>
      </w:r>
      <w:r>
        <w:rPr>
          <w:rFonts w:ascii="Nirmala UI" w:hAnsi="Nirmala UI" w:eastAsia="Nirmala UI" w:cs="Nirmala UI"/>
        </w:rPr>
        <w:t>पूर्वचित्रित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पेन्टेकोस्टले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पेन्टेकोस्ट</w:t>
      </w:r>
      <w:r>
        <w:rPr>
          <w:rFonts w:ascii="Times New Roman" w:hAnsi="Times New Roman" w:eastAsia="Times New Roman" w:cs="Times New Roman"/>
        </w:rPr>
        <w:t xml:space="preserve"> </w:t>
      </w:r>
      <w:r>
        <w:rPr>
          <w:rFonts w:ascii="Nirmala UI" w:hAnsi="Nirmala UI" w:eastAsia="Nirmala UI" w:cs="Nirmala UI"/>
        </w:rPr>
        <w:t>क्रूसपछि</w:t>
      </w:r>
      <w:r>
        <w:rPr>
          <w:rFonts w:ascii="Times New Roman" w:hAnsi="Times New Roman" w:eastAsia="Times New Roman" w:cs="Times New Roman"/>
        </w:rPr>
        <w:t xml:space="preserve"> </w:t>
      </w:r>
      <w:r>
        <w:rPr>
          <w:rFonts w:ascii="Nirmala UI" w:hAnsi="Nirmala UI" w:eastAsia="Nirmala UI" w:cs="Nirmala UI"/>
        </w:rPr>
        <w:t>बाउन्न</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पास्का</w:t>
      </w:r>
      <w:r>
        <w:rPr>
          <w:rFonts w:ascii="Times New Roman" w:hAnsi="Times New Roman" w:eastAsia="Times New Roman" w:cs="Times New Roman"/>
        </w:rPr>
        <w:t xml:space="preserve"> </w:t>
      </w:r>
      <w:r>
        <w:rPr>
          <w:rFonts w:ascii="Nirmala UI" w:hAnsi="Nirmala UI" w:eastAsia="Nirmala UI" w:cs="Nirmala UI"/>
        </w:rPr>
        <w:t>पर्वद्वारा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क्रूसले</w:t>
      </w:r>
      <w:r>
        <w:rPr>
          <w:rFonts w:ascii="Times New Roman" w:hAnsi="Times New Roman" w:eastAsia="Times New Roman" w:cs="Times New Roman"/>
        </w:rPr>
        <w:t xml:space="preserve"> </w:t>
      </w:r>
      <w:r>
        <w:rPr>
          <w:rFonts w:ascii="Nirmala UI" w:hAnsi="Nirmala UI" w:eastAsia="Nirmala UI" w:cs="Nirmala UI"/>
        </w:rPr>
        <w:t>पर्वहरूको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शृङ्खला</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मृत्युका</w:t>
      </w:r>
      <w:r>
        <w:rPr>
          <w:rFonts w:ascii="Times New Roman" w:hAnsi="Times New Roman" w:eastAsia="Times New Roman" w:cs="Times New Roman"/>
        </w:rPr>
        <w:t xml:space="preserve"> </w:t>
      </w:r>
      <w:r>
        <w:rPr>
          <w:rFonts w:ascii="Nirmala UI" w:hAnsi="Nirmala UI" w:eastAsia="Nirmala UI" w:cs="Nirmala UI"/>
        </w:rPr>
        <w:t>दूतले</w:t>
      </w:r>
      <w:r>
        <w:rPr>
          <w:rFonts w:ascii="Times New Roman" w:hAnsi="Times New Roman" w:eastAsia="Times New Roman" w:cs="Times New Roman"/>
        </w:rPr>
        <w:t xml:space="preserve"> </w:t>
      </w:r>
      <w:r>
        <w:rPr>
          <w:rFonts w:ascii="Nirmala UI" w:hAnsi="Nirmala UI" w:eastAsia="Nirmala UI" w:cs="Nirmala UI"/>
        </w:rPr>
        <w:t>मिश्रलाई</w:t>
      </w:r>
      <w:r>
        <w:rPr>
          <w:rFonts w:ascii="Times New Roman" w:hAnsi="Times New Roman" w:eastAsia="Times New Roman" w:cs="Times New Roman"/>
        </w:rPr>
        <w:t xml:space="preserve"> </w:t>
      </w:r>
      <w:r>
        <w:rPr>
          <w:rFonts w:ascii="Nirmala UI" w:hAnsi="Nirmala UI" w:eastAsia="Nirmala UI" w:cs="Nirmala UI"/>
        </w:rPr>
        <w:t>उछिनेको</w:t>
      </w:r>
      <w:r>
        <w:rPr>
          <w:rFonts w:ascii="Times New Roman" w:hAnsi="Times New Roman" w:eastAsia="Times New Roman" w:cs="Times New Roman"/>
        </w:rPr>
        <w:t xml:space="preserve"> </w:t>
      </w:r>
      <w:r>
        <w:rPr>
          <w:rFonts w:ascii="Nirmala UI" w:hAnsi="Nirmala UI" w:eastAsia="Nirmala UI" w:cs="Nirmala UI"/>
        </w:rPr>
        <w:t>रातदेखि</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गरिनेसम्म</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मार्गहरूको</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पर्वहरूका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विशिष्टताहरू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अर्कासँग</w:t>
      </w:r>
      <w:r>
        <w:rPr>
          <w:rFonts w:ascii="Times New Roman" w:hAnsi="Times New Roman" w:eastAsia="Times New Roman" w:cs="Times New Roman"/>
        </w:rPr>
        <w:t xml:space="preserve"> </w:t>
      </w:r>
      <w:r>
        <w:rPr>
          <w:rFonts w:ascii="Nirmala UI" w:hAnsi="Nirmala UI" w:eastAsia="Nirmala UI" w:cs="Nirmala UI"/>
        </w:rPr>
        <w:t>अविभाज्य</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पास्का</w:t>
      </w:r>
      <w:r>
        <w:rPr>
          <w:rFonts w:ascii="Times New Roman" w:hAnsi="Times New Roman" w:eastAsia="Times New Roman" w:cs="Times New Roman"/>
        </w:rPr>
        <w:t xml:space="preserve"> </w:t>
      </w:r>
      <w:r>
        <w:rPr>
          <w:rFonts w:ascii="Nirmala UI" w:hAnsi="Nirmala UI" w:eastAsia="Nirmala UI" w:cs="Nirmala UI"/>
        </w:rPr>
        <w:t>पर्वदेखि</w:t>
      </w:r>
      <w:r>
        <w:rPr>
          <w:rFonts w:ascii="Times New Roman" w:hAnsi="Times New Roman" w:eastAsia="Times New Roman" w:cs="Times New Roman"/>
        </w:rPr>
        <w:t xml:space="preserve"> </w:t>
      </w:r>
      <w:r>
        <w:rPr>
          <w:rFonts w:ascii="Nirmala UI" w:hAnsi="Nirmala UI" w:eastAsia="Nirmala UI" w:cs="Nirmala UI"/>
        </w:rPr>
        <w:t>पेन्टेकोस्टसम्मका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बाउन्न</w:t>
      </w:r>
      <w:r>
        <w:rPr>
          <w:rFonts w:ascii="Times New Roman" w:hAnsi="Times New Roman" w:eastAsia="Times New Roman" w:cs="Times New Roman"/>
        </w:rPr>
        <w:t xml:space="preserve"> </w:t>
      </w:r>
      <w:r>
        <w:rPr>
          <w:rFonts w:ascii="Nirmala UI" w:hAnsi="Nirmala UI" w:eastAsia="Nirmala UI" w:cs="Nirmala UI"/>
        </w:rPr>
        <w:t>दिनलाई</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एकल</w:t>
      </w:r>
      <w:r>
        <w:rPr>
          <w:rFonts w:ascii="Times New Roman" w:hAnsi="Times New Roman" w:eastAsia="Times New Roman" w:cs="Times New Roman"/>
        </w:rPr>
        <w:t xml:space="preserve"> </w:t>
      </w:r>
      <w:r>
        <w:rPr>
          <w:rFonts w:ascii="Nirmala UI" w:hAnsi="Nirmala UI" w:eastAsia="Nirmala UI" w:cs="Nirmala UI"/>
        </w:rPr>
        <w:t>मार्गचिन्हको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यथार्थ</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Pour cette raison, la croix, la mort d’Étienne et la Pentecôte préfigurent toutes la loi dominicale bientôt à venir, lorsque commence le jugement exécutif progressif contre Babylone moderne, au moment où la seconde voix d’Apocalypse, chapitre dix-huit, commence à appeler hors de Babylone les autres brebis de Dieu. C’est à ce repère prophétique que le jugement exécutif contre Jérusalem arriva, bien que Dieu, dans Sa miséricorde, ait différé la destruction effective du temple et de la ville pendant près de quarante ans après la croix, jusqu’à l’an 70. La destruction de l’ancienne Jérusalem représente le commencement du jugement exécutif progressif qui débute aux États-Unis lorsque « l’apostasie nationale est suivie de la ruine nationale ».</w:t>
      </w:r>
    </w:p>
    <w:p>
      <w:pPr>
        <w:pStyle w:val="ArticleBody"/>
        <w:jc w:val="left"/>
      </w:pPr>
      <w:r>
        <w:rPr>
          <w:rFonts w:ascii="Times New Roman" w:hAnsi="Times New Roman" w:eastAsia="Times New Roman" w:cs="Times New Roman"/>
        </w:rPr>
        <w:t>La vérité est établie sur le témoignage de deux, et dans les deux périodes de trois ans et demi pendant lesquelles le Christ confirma l’alliance, nous trouvons deux témoins d’une mort et d’une résurrection associées à l’histoire qui identifie la loi dominicale imminente. Cette loi dominicale, dans le chapitre onze de l’Apocalypse, est identifiée comme « l’heure du grand tremblement de terre ». Cette « heure » est directement liée à deux témoins qui rendirent un témoignage pendant trois ans et demi. Leur témoignage s’achève par leur mort et leur résurrection.</w:t>
      </w:r>
    </w:p>
    <w:p>
      <w:pPr>
        <w:pStyle w:val="ArticleBody"/>
        <w:jc w:val="left"/>
      </w:pPr>
      <w:r>
        <w:rPr>
          <w:rFonts w:ascii="Times New Roman" w:hAnsi="Times New Roman" w:eastAsia="Times New Roman" w:cs="Times New Roman"/>
        </w:rPr>
        <w:t>Jéhovaa-anumodyefo adansedi a wode mfe abiɛsa ne fa no kaa ho, na nea edii akyi bae, wɔn wu ne wɔn wusɔre no, agyina hɔ ama Yesu ne Stefano baanu no nyinaa wu ne wusɔre; efisɛ, “line upon line,” wɔde Stefano gyina hɔ sɛ wɔne Kristo asɔre afi awufo mu. Wɔ Aba a Edi Kan Afahyɛ no mu no, na wɔde afɔrebɔde atitiriw abien ba.</w:t>
      </w:r>
    </w:p>
    <w:p>
      <w:pPr>
        <w:pStyle w:val="ArticleBody"/>
        <w:jc w:val="left"/>
      </w:pPr>
      <w:r>
        <w:rPr>
          <w:rFonts w:ascii="Times New Roman" w:hAnsi="Times New Roman" w:eastAsia="Times New Roman" w:cs="Times New Roman"/>
        </w:rPr>
        <w:t>Un était un agneau sans défaut, et l’autre une offrande d’orge. L’orge représentait la moisson à venir, et l’agneau représentait le Christ. Le Christ est ressuscité le troisième jour, et Étienne représentait ceux qui suivent, et l’orge représentait la récolte qui devait suivre. Les deux témoins d’Apocalypse onze rendirent témoignage pendant trois ans et demi, après quoi ils furent mis à mort, puis ressuscitèrent trois jours et demi plus tard. Ces deux témoins avaient été préfigurés par le Christ, qui était les Prémices, car ils représentent les cent quarante-quatre mille, qui sont eux aussi des prémices.</w:t>
      </w:r>
    </w:p>
    <w:p>
      <w:pPr>
        <w:pStyle w:val="ArticleScripture"/>
        <w:jc w:val="left"/>
      </w:pPr>
      <w:r>
        <w:rPr>
          <w:rFonts w:ascii="Times New Roman" w:hAnsi="Times New Roman" w:eastAsia="Times New Roman" w:cs="Times New Roman"/>
        </w:rPr>
        <w:t>Et je regardai, et voici, l’Agneau se tenait sur la montagne de Sion, et avec lui cent quarante-quatre mille personnes, ayant le nom de son Père écrit sur leurs fronts. Et j’entendis du ciel une voix comme le bruit de grandes eaux, et comme le bruit d’un grand tonnerre; et j’entendis le son de joueurs de harpe jouant de leurs harpes. Et ils chantaient comme un cantique nouveau devant le trône, et devant les quatre êtres vivants et les anciens; et nul ne pouvait apprendre ce cantique, si ce n’est les cent quarante-quatre mille, qui avaient été rachetés de la terre. Ce sont ceux qui ne se sont point souillés avec des femmes; car ils sont vierges. Ce sont ceux qui suivent l’Agneau partout où il va. Ce sont ceux qui ont été rachetés d’entre les hommes, comme des prémices pour Dieu et pour l’Agneau. Et dans leur bouche il ne s’est point trouvé de fraude; car ils sont irréprochables devant le trône de Dieu. Apocalypse 14:1–5.</w:t>
      </w:r>
    </w:p>
    <w:p>
      <w:pPr>
        <w:pStyle w:val="ArticleBody"/>
        <w:jc w:val="left"/>
      </w:pPr>
      <w:r>
        <w:rPr>
          <w:rFonts w:ascii="Times New Roman" w:hAnsi="Times New Roman" w:eastAsia="Times New Roman" w:cs="Times New Roman"/>
        </w:rPr>
        <w:t>Ɔfɔre a wɔde atokoɔ a edi kan baeɛ no too Afahyɛ a wɔfrɛ no First Fruits no so no, na egyina hɔ ma aba a na ɛbɛdi akyi aba no; na Stefano wɔ afe 34 mu dii Kristo wu a ɛbaa afe 31 mu no akyi, ɛwom sɛ, “line upon line,” wɔwuwui wɔ waymark korɔ no ara so. Wɔ First Fruits afɔrebɔ no ho no, na Kristo ne odwan no a wɔkumm no, na Stefano nso ne atokoɔ no. Sɛnea Paulo ka no, “Christ” ne “the first fruits of them that slept,” na afei “afterward they that are Christ’s at his coming.” Mpem ɔha aduanan anan no yɛ first fruits, na wɔn ne wɔn a “which follow the Lamb whithersoever he goeth.”</w:t>
      </w:r>
    </w:p>
    <w:p>
      <w:pPr>
        <w:pStyle w:val="ArticleBody"/>
        <w:jc w:val="left"/>
      </w:pPr>
      <w:r>
        <w:rPr>
          <w:rFonts w:ascii="Times New Roman" w:hAnsi="Times New Roman" w:eastAsia="Times New Roman" w:cs="Times New Roman"/>
        </w:rPr>
        <w:t>در «ساعتِ» «زلزلهٔ عظیمِ» مکاشفه فصل یازدهم، آن دو شاهد که سه سال و نیم نبوّت کرده‌اند، اما کشته شده و سه روز و نیم در کوچه‌ها افتاده‌اند، قیام می‌کنند. آنان همان کسانی هستند که به‌وسیلهٔ استیفان تمثیل شده‌اند؛ استیفانی که به‌گونه‌ای نبوی با عیسی، و نیز پس از عیسی، برخیزانیده شد. ازاین‌رو، آنان «سه روز و نیم» پس از آنکه به‌دستِ وحشی که از هاویه برآمده است به قتل می‌رسند، قیام می‌کنند. در همان «ساعت» که آنان قیام می‌کنند، به‌عنوانِ عَلَمی به آسمان صعود می‌نمایند. فرایندِ قیام و صعودِ ایشان با دقّت در کلامِ نبویِ خدا ترسیم شده است، و این امر شامل آن است که ایشان به‌وسیلهٔ مرگِ حقیقیِ استیفان نمونه‌سازی شدند؛ و بدین‌سان نمایانگرِ مرگی روحانی‌اند که بر آن دو شاهد واقع می‌شود، آنگاه که از جنبشِ لائودیکیه‌ایِ فرشتهٔ سوم به جنبشِ فیلادلفیاییِ فرشتهٔ سوم دگرگون می‌گردند.</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“Jëf ju wóor a ngi fii: ñi bokk ci Aji-Bésub-Ñaareel yi te taxaw ci ndajeley Seytaane, ñoo jëkk a bàyyi seen ngëm ci artu yi ak yedd yi nekk ci Seede yi ci Xelum Yàlla.</w:t>
      </w:r>
    </w:p>
    <w:p>
      <w:pPr>
        <w:pStyle w:val="ArticleScripture"/>
        <w:jc w:val="left"/>
      </w:pPr>
      <w:r>
        <w:rPr>
          <w:rFonts w:ascii="Microsoft YaHei" w:hAnsi="Microsoft YaHei" w:eastAsia="Microsoft YaHei" w:cs="Microsoft YaHei"/>
        </w:rPr>
        <w:t>「</w:t>
      </w:r>
      <w:r>
        <w:rPr>
          <w:rFonts w:ascii="MS Gothic" w:hAnsi="MS Gothic" w:eastAsia="MS Gothic" w:cs="MS Gothic"/>
        </w:rPr>
        <w:t>より</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献身</w:t>
      </w:r>
      <w:r>
        <w:rPr>
          <w:rFonts w:ascii="MS Gothic" w:hAnsi="MS Gothic" w:eastAsia="MS Gothic" w:cs="MS Gothic"/>
        </w:rPr>
        <w:t>と</w:t>
      </w:r>
      <w:r>
        <w:rPr>
          <w:rFonts w:ascii="Microsoft YaHei" w:hAnsi="Microsoft YaHei" w:eastAsia="Microsoft YaHei" w:cs="Microsoft YaHei"/>
        </w:rPr>
        <w:t>、</w:t>
      </w:r>
      <w:r>
        <w:rPr>
          <w:rFonts w:ascii="MS Gothic" w:hAnsi="MS Gothic" w:eastAsia="MS Gothic" w:cs="MS Gothic"/>
        </w:rPr>
        <w:t>さらに</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奉仕</w:t>
      </w:r>
      <w:r>
        <w:rPr>
          <w:rFonts w:ascii="MS Gothic" w:hAnsi="MS Gothic" w:eastAsia="MS Gothic" w:cs="MS Gothic"/>
        </w:rPr>
        <w:t>への</w:t>
      </w:r>
      <w:r>
        <w:rPr>
          <w:rFonts w:ascii="Microsoft YaHei" w:hAnsi="Microsoft YaHei" w:eastAsia="Microsoft YaHei" w:cs="Microsoft YaHei"/>
        </w:rPr>
        <w:t>召</w:t>
      </w:r>
      <w:r>
        <w:rPr>
          <w:rFonts w:ascii="MS Gothic" w:hAnsi="MS Gothic" w:eastAsia="MS Gothic" w:cs="MS Gothic"/>
        </w:rPr>
        <w:t>しが</w:t>
      </w:r>
      <w:r>
        <w:rPr>
          <w:rFonts w:ascii="Microsoft YaHei" w:hAnsi="Microsoft YaHei" w:eastAsia="Microsoft YaHei" w:cs="Microsoft YaHei"/>
        </w:rPr>
        <w:t>発</w:t>
      </w:r>
      <w:r>
        <w:rPr>
          <w:rFonts w:ascii="MS Gothic" w:hAnsi="MS Gothic" w:eastAsia="MS Gothic" w:cs="MS Gothic"/>
        </w:rPr>
        <w:t>せられており</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今後</w:t>
      </w:r>
      <w:r>
        <w:rPr>
          <w:rFonts w:ascii="MS Gothic" w:hAnsi="MS Gothic" w:eastAsia="MS Gothic" w:cs="MS Gothic"/>
        </w:rPr>
        <w:t>もなお</w:t>
      </w:r>
      <w:r>
        <w:rPr>
          <w:rFonts w:ascii="Microsoft YaHei" w:hAnsi="Microsoft YaHei" w:eastAsia="Microsoft YaHei" w:cs="Microsoft YaHei"/>
        </w:rPr>
        <w:t>発</w:t>
      </w:r>
      <w:r>
        <w:rPr>
          <w:rFonts w:ascii="MS Gothic" w:hAnsi="MS Gothic" w:eastAsia="MS Gothic" w:cs="MS Gothic"/>
        </w:rPr>
        <w:t>せられ</w:t>
      </w:r>
      <w:r>
        <w:rPr>
          <w:rFonts w:ascii="Microsoft YaHei" w:hAnsi="Microsoft YaHei" w:eastAsia="Microsoft YaHei" w:cs="Microsoft YaHei"/>
        </w:rPr>
        <w:t>続</w:t>
      </w:r>
      <w:r>
        <w:rPr>
          <w:rFonts w:ascii="MS Gothic" w:hAnsi="MS Gothic" w:eastAsia="MS Gothic" w:cs="MS Gothic"/>
        </w:rPr>
        <w:t>ける</w:t>
      </w:r>
      <w:r>
        <w:rPr>
          <w:rFonts w:ascii="Times New Roman" w:hAnsi="Times New Roman" w:eastAsia="Times New Roman" w:cs="Times New Roman"/>
        </w:rPr>
        <w:t>.</w:t>
      </w:r>
      <w:r>
        <w:rPr>
          <w:rFonts w:ascii="Microsoft YaHei" w:hAnsi="Microsoft YaHei" w:eastAsia="Microsoft YaHei" w:cs="Microsoft YaHei"/>
        </w:rPr>
        <w:t>今</w:t>
      </w:r>
      <w:r>
        <w:rPr>
          <w:rFonts w:ascii="MS Gothic" w:hAnsi="MS Gothic" w:eastAsia="MS Gothic" w:cs="MS Gothic"/>
        </w:rPr>
        <w:t>サタンの</w:t>
      </w:r>
      <w:r>
        <w:rPr>
          <w:rFonts w:ascii="Microsoft YaHei" w:hAnsi="Microsoft YaHei" w:eastAsia="Microsoft YaHei" w:cs="Microsoft YaHei"/>
        </w:rPr>
        <w:t>示唆</w:t>
      </w:r>
      <w:r>
        <w:rPr>
          <w:rFonts w:ascii="MS Gothic" w:hAnsi="MS Gothic" w:eastAsia="MS Gothic" w:cs="MS Gothic"/>
        </w:rPr>
        <w:t>を</w:t>
      </w:r>
      <w:r>
        <w:rPr>
          <w:rFonts w:ascii="Microsoft YaHei" w:hAnsi="Microsoft YaHei" w:eastAsia="Microsoft YaHei" w:cs="Microsoft YaHei"/>
        </w:rPr>
        <w:t>語</w:t>
      </w:r>
      <w:r>
        <w:rPr>
          <w:rFonts w:ascii="MS Gothic" w:hAnsi="MS Gothic" w:eastAsia="MS Gothic" w:cs="MS Gothic"/>
        </w:rPr>
        <w:t>っている</w:t>
      </w:r>
      <w:r>
        <w:rPr>
          <w:rFonts w:ascii="Microsoft YaHei" w:hAnsi="Microsoft YaHei" w:eastAsia="Microsoft YaHei" w:cs="Microsoft YaHei"/>
        </w:rPr>
        <w:t>者</w:t>
      </w:r>
      <w:r>
        <w:rPr>
          <w:rFonts w:ascii="MS Gothic" w:hAnsi="MS Gothic" w:eastAsia="MS Gothic" w:cs="MS Gothic"/>
        </w:rPr>
        <w:t>たちのうちにも</w:t>
      </w:r>
      <w:r>
        <w:rPr>
          <w:rFonts w:ascii="Microsoft YaHei" w:hAnsi="Microsoft YaHei" w:eastAsia="Microsoft YaHei" w:cs="Microsoft YaHei"/>
        </w:rPr>
        <w:t>、正気</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返</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がいる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していないまま</w:t>
      </w:r>
      <w:r>
        <w:rPr>
          <w:rFonts w:ascii="Microsoft YaHei" w:hAnsi="Microsoft YaHei" w:eastAsia="Microsoft YaHei" w:cs="Microsoft YaHei"/>
        </w:rPr>
        <w:t>、重要</w:t>
      </w:r>
      <w:r>
        <w:rPr>
          <w:rFonts w:ascii="MS Gothic" w:hAnsi="MS Gothic" w:eastAsia="MS Gothic" w:cs="MS Gothic"/>
        </w:rPr>
        <w:t>な</w:t>
      </w:r>
      <w:r>
        <w:rPr>
          <w:rFonts w:ascii="Microsoft YaHei" w:hAnsi="Microsoft YaHei" w:eastAsia="Microsoft YaHei" w:cs="Microsoft YaHei"/>
        </w:rPr>
        <w:t>信任</w:t>
      </w:r>
      <w:r>
        <w:rPr>
          <w:rFonts w:ascii="MS Gothic" w:hAnsi="MS Gothic" w:eastAsia="MS Gothic" w:cs="MS Gothic"/>
        </w:rPr>
        <w:t>の</w:t>
      </w:r>
      <w:r>
        <w:rPr>
          <w:rFonts w:ascii="Microsoft YaHei" w:hAnsi="Microsoft YaHei" w:eastAsia="Microsoft YaHei" w:cs="Microsoft YaHei"/>
        </w:rPr>
        <w:t>地位</w:t>
      </w:r>
      <w:r>
        <w:rPr>
          <w:rFonts w:ascii="MS Gothic" w:hAnsi="MS Gothic" w:eastAsia="MS Gothic" w:cs="MS Gothic"/>
        </w:rPr>
        <w:t>にある</w:t>
      </w:r>
      <w:r>
        <w:rPr>
          <w:rFonts w:ascii="Microsoft YaHei" w:hAnsi="Microsoft YaHei" w:eastAsia="Microsoft YaHei" w:cs="Microsoft YaHei"/>
        </w:rPr>
        <w:t>者</w:t>
      </w:r>
      <w:r>
        <w:rPr>
          <w:rFonts w:ascii="MS Gothic" w:hAnsi="MS Gothic" w:eastAsia="MS Gothic" w:cs="MS Gothic"/>
        </w:rPr>
        <w:t>たちがいる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らにはこの</w:t>
      </w:r>
      <w:r>
        <w:rPr>
          <w:rFonts w:ascii="Microsoft YaHei" w:hAnsi="Microsoft YaHei" w:eastAsia="Microsoft YaHei" w:cs="Microsoft YaHei"/>
        </w:rPr>
        <w:t>使命</w:t>
      </w:r>
      <w:r>
        <w:rPr>
          <w:rFonts w:ascii="MS Gothic" w:hAnsi="MS Gothic" w:eastAsia="MS Gothic" w:cs="MS Gothic"/>
        </w:rPr>
        <w:t>が</w:t>
      </w:r>
      <w:r>
        <w:rPr>
          <w:rFonts w:ascii="Microsoft YaHei" w:hAnsi="Microsoft YaHei" w:eastAsia="Microsoft YaHei" w:cs="Microsoft YaHei"/>
        </w:rPr>
        <w:t>伝</w:t>
      </w:r>
      <w:r>
        <w:rPr>
          <w:rFonts w:ascii="MS Gothic" w:hAnsi="MS Gothic" w:eastAsia="MS Gothic" w:cs="MS Gothic"/>
        </w:rPr>
        <w:t>えられなければならない</w:t>
      </w:r>
      <w:r>
        <w:rPr>
          <w:rFonts w:ascii="Times New Roman" w:hAnsi="Times New Roman" w:eastAsia="Times New Roman" w:cs="Times New Roman"/>
        </w:rPr>
        <w:t>.</w:t>
      </w:r>
      <w:r>
        <w:rPr>
          <w:rFonts w:ascii="MS Gothic" w:hAnsi="MS Gothic" w:eastAsia="MS Gothic" w:cs="MS Gothic"/>
        </w:rPr>
        <w:t>もしそれを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れるなら</w:t>
      </w:r>
      <w:r>
        <w:rPr>
          <w:rFonts w:ascii="Microsoft YaHei" w:hAnsi="Microsoft YaHei" w:eastAsia="Microsoft YaHei" w:cs="Microsoft YaHei"/>
        </w:rPr>
        <w:t>、</w:t>
      </w:r>
      <w:r>
        <w:rPr>
          <w:rFonts w:ascii="MS Gothic" w:hAnsi="MS Gothic" w:eastAsia="MS Gothic" w:cs="MS Gothic"/>
        </w:rPr>
        <w:t>キリストは</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w:t>
      </w:r>
      <w:r>
        <w:rPr>
          <w:rFonts w:ascii="Microsoft YaHei" w:hAnsi="Microsoft YaHei" w:eastAsia="Microsoft YaHei" w:cs="Microsoft YaHei"/>
        </w:rPr>
        <w:t>、彼</w:t>
      </w:r>
      <w:r>
        <w:rPr>
          <w:rFonts w:ascii="MS Gothic" w:hAnsi="MS Gothic" w:eastAsia="MS Gothic" w:cs="MS Gothic"/>
        </w:rPr>
        <w:t>らをご</w:t>
      </w:r>
      <w:r>
        <w:rPr>
          <w:rFonts w:ascii="Microsoft YaHei" w:hAnsi="Microsoft YaHei" w:eastAsia="Microsoft YaHei" w:cs="Microsoft YaHei"/>
        </w:rPr>
        <w:t>自身</w:t>
      </w:r>
      <w:r>
        <w:rPr>
          <w:rFonts w:ascii="MS Gothic" w:hAnsi="MS Gothic" w:eastAsia="MS Gothic" w:cs="MS Gothic"/>
        </w:rPr>
        <w:t>と</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働</w:t>
      </w:r>
      <w:r>
        <w:rPr>
          <w:rFonts w:ascii="MS Gothic" w:hAnsi="MS Gothic" w:eastAsia="MS Gothic" w:cs="MS Gothic"/>
        </w:rPr>
        <w:t>く</w:t>
      </w:r>
      <w:r>
        <w:rPr>
          <w:rFonts w:ascii="Microsoft YaHei" w:hAnsi="Microsoft YaHei" w:eastAsia="Microsoft YaHei" w:cs="Microsoft YaHei"/>
        </w:rPr>
        <w:t>者</w:t>
      </w:r>
      <w:r>
        <w:rPr>
          <w:rFonts w:ascii="MS Gothic" w:hAnsi="MS Gothic" w:eastAsia="MS Gothic" w:cs="MS Gothic"/>
        </w:rPr>
        <w:t>とされる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もしこの</w:t>
      </w:r>
      <w:r>
        <w:rPr>
          <w:rFonts w:ascii="Microsoft YaHei" w:hAnsi="Microsoft YaHei" w:eastAsia="Microsoft YaHei" w:cs="Microsoft YaHei"/>
        </w:rPr>
        <w:t>使命</w:t>
      </w:r>
      <w:r>
        <w:rPr>
          <w:rFonts w:ascii="MS Gothic" w:hAnsi="MS Gothic" w:eastAsia="MS Gothic" w:cs="MS Gothic"/>
        </w:rPr>
        <w:t>に</w:t>
      </w:r>
      <w:r>
        <w:rPr>
          <w:rFonts w:ascii="Microsoft YaHei" w:hAnsi="Microsoft YaHei" w:eastAsia="Microsoft YaHei" w:cs="Microsoft YaHei"/>
        </w:rPr>
        <w:t>聞</w:t>
      </w:r>
      <w:r>
        <w:rPr>
          <w:rFonts w:ascii="MS Gothic" w:hAnsi="MS Gothic" w:eastAsia="MS Gothic" w:cs="MS Gothic"/>
        </w:rPr>
        <w:t>き</w:t>
      </w:r>
      <w:r>
        <w:rPr>
          <w:rFonts w:ascii="Microsoft YaHei" w:hAnsi="Microsoft YaHei" w:eastAsia="Microsoft YaHei" w:cs="Microsoft YaHei"/>
        </w:rPr>
        <w:t>従</w:t>
      </w:r>
      <w:r>
        <w:rPr>
          <w:rFonts w:ascii="MS Gothic" w:hAnsi="MS Gothic" w:eastAsia="MS Gothic" w:cs="MS Gothic"/>
        </w:rPr>
        <w:t>うことを</w:t>
      </w:r>
      <w:r>
        <w:rPr>
          <w:rFonts w:ascii="Microsoft YaHei" w:hAnsi="Microsoft YaHei" w:eastAsia="Microsoft YaHei" w:cs="Microsoft YaHei"/>
        </w:rPr>
        <w:t>拒</w:t>
      </w:r>
      <w:r>
        <w:rPr>
          <w:rFonts w:ascii="MS Gothic" w:hAnsi="MS Gothic" w:eastAsia="MS Gothic" w:cs="MS Gothic"/>
        </w:rPr>
        <w:t>むなら</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暗黒</w:t>
      </w:r>
      <w:r>
        <w:rPr>
          <w:rFonts w:ascii="MS Gothic" w:hAnsi="MS Gothic" w:eastAsia="MS Gothic" w:cs="MS Gothic"/>
        </w:rPr>
        <w:t>の</w:t>
      </w:r>
      <w:r>
        <w:rPr>
          <w:rFonts w:ascii="Microsoft YaHei" w:hAnsi="Microsoft YaHei" w:eastAsia="Microsoft YaHei" w:cs="Microsoft YaHei"/>
        </w:rPr>
        <w:t>君</w:t>
      </w:r>
      <w:r>
        <w:rPr>
          <w:rFonts w:ascii="MS Gothic" w:hAnsi="MS Gothic" w:eastAsia="MS Gothic" w:cs="MS Gothic"/>
        </w:rPr>
        <w:t>の</w:t>
      </w:r>
      <w:r>
        <w:rPr>
          <w:rFonts w:ascii="Microsoft YaHei" w:hAnsi="Microsoft YaHei" w:eastAsia="Microsoft YaHei" w:cs="Microsoft YaHei"/>
        </w:rPr>
        <w:t>黒</w:t>
      </w:r>
      <w:r>
        <w:rPr>
          <w:rFonts w:ascii="MS Gothic" w:hAnsi="MS Gothic" w:eastAsia="MS Gothic" w:cs="MS Gothic"/>
        </w:rPr>
        <w:t>い</w:t>
      </w:r>
      <w:r>
        <w:rPr>
          <w:rFonts w:ascii="Microsoft YaHei" w:hAnsi="Microsoft YaHei" w:eastAsia="Microsoft YaHei" w:cs="Microsoft YaHei"/>
        </w:rPr>
        <w:t>旗</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つのである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«Min chu q'ij chi ninb'ij chi ri rajawal qitzij re wa' waqt re' tajin k'utuxik chuwäch ri k'aslemal richin ri winaqi' ruk' ri más saqil. Pa jun na'ojal q'ij, achi'a' chuqa' ixoqi' k'o chi niqak'ux ri ti'jil ri Cristo chuqa' niqakum ri ruqik'el. K'o na jun b'anob'al pa ri na'oj, rumal chi ri qitzij k'o ruchuq'a' richin nitz'aket pa ronojel q'ij. Ri Diosil rutikirib'al ri qitzij xtuq'ijilaj ri ruwäch richin jun qak'ulmatajik más naqaj, chuqa' k'a más naqaj, ruk'in ri e k'olan pa ruk'axik richin retamaxik. Toq ri tinamit richin Dios nikik'ul ri ruch'abel achi'el ri kaxlan wa richin kaj, xtiketamaj chi ri ruxik'ib'al e ruchojmirisan achi'el ri saqirik richin ri aq'ab'. Xtikik'ul chuq'a' qach'akulal ri na'ojil, achi'el ri ch'akulal nikik'ul ruchuq'a' richin ri tyojlal toq nitatij ri wa.»</w:t>
      </w:r>
    </w:p>
    <w:p>
      <w:pPr>
        <w:pStyle w:val="ArticleScripture"/>
        <w:jc w:val="left"/>
      </w:pPr>
      <w:r>
        <w:rPr>
          <w:rFonts w:ascii="Times New Roman" w:hAnsi="Times New Roman" w:eastAsia="Times New Roman" w:cs="Times New Roman"/>
        </w:rPr>
        <w:t>«بىز رەبنىڭ ئىسرائىل بالىلىرىنى مىسىر قۇللۇقىدىن ئېلىپ چىقىپ، ئۇلارنى چۆل ئارقىلىق قانانغا يېتەكلىگەن پىلانىنى يېرىمچىلىكمۇ چۈشىنىپ يەتمەيمىز. »</w:t>
      </w:r>
    </w:p>
    <w:p>
      <w:pPr>
        <w:pStyle w:val="ArticleScripture"/>
        <w:jc w:val="left"/>
      </w:pPr>
      <w:r>
        <w:rPr>
          <w:rFonts w:ascii="Times New Roman" w:hAnsi="Times New Roman" w:eastAsia="Times New Roman" w:cs="Times New Roman"/>
        </w:rPr>
        <w:t>"Ko berbiakri radi-deva nani saisai mai hani Gospel, ita sei hetan kompreensaun ne'ebé klaru liu kona-ba sistema judaiku, no apresiasaun ne'ebé kle'an liu ba ninia verdades importante sira. Ami-nia buka verdade seidauk kompletu. Ami berbiakri de'it raiu balu hosi naroman. Sira ne'ebé la'ós estudante diária ba Liafuan ne'e, la sei resolve problema sira hosi sistema judaiku. Sira la sei komprende verdade sira ne'ebé hanorin husi servisu tempu. Obra Maromak nian hetan impedimentu hosi kompreensaun mundanu kona-ba Nia planu boot. Moris iha futuru sei revela lei sira-ne'ebé Kristu, taka metin iha koluna kalohan nian, fó ba Nia povu nia signifikadu."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cent-cinq</dc:title>
  <dc:subject>Inkwetra ry’Inkuru Nziza ryagendaga ryiyongera: kuva ku Kuvuka kwa Kristo kugeza ku guterwa amabuye kwa Sitefano</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