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Nambari Mia Moja na Sita</w:t>
      </w:r>
    </w:p>
    <w:p>
      <w:pPr>
        <w:pStyle w:val="ArticleSubtitle"/>
        <w:jc w:val="left"/>
      </w:pPr>
      <w:r>
        <w:rPr>
          <w:rFonts w:ascii="Arial" w:hAnsi="Arial" w:eastAsia="Arial" w:cs="Arial"/>
        </w:rPr>
        <w:t>Dévoilement du Jugement : du 11 septembre à la loi du dimanche – une analyse prophétique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ئەو دادوەرییەی لێکۆڵینەوەییِ زیندووان لە ١١ی سێپتەمبەری ٢٠٠١ دەستی پێ کرد، وە دادوەرییەی جێبەجێکردن لە یاسای یەکشەممەی نزیکەهاتوو دەست پێ دەکات. ئەو دوو ماوەیەی دادوەری نوێنەرایەتیی کاری ئەو پەیامبەرە دەکەن کە ڕێگا بۆ سێیەمین پەیامبەری پەیمان ئامادە دەکات، و بۆ سێیەمین ئیلیا، کە ئەوە کۆتاییی پەیامبەری ئیلیایە کە لە مێژووی میللەریدا دەستی پێ کرد.</w:t>
      </w:r>
    </w:p>
    <w:p>
      <w:pPr>
        <w:pStyle w:val="ArticleBody"/>
        <w:jc w:val="left"/>
      </w:pPr>
      <w:r>
        <w:rPr>
          <w:rFonts w:ascii="Times New Roman" w:hAnsi="Times New Roman" w:eastAsia="Times New Roman" w:cs="Times New Roman"/>
        </w:rPr>
        <w:t>Dans le Christ, l’accomplissement du Messager de l’Alliance, Il purifia par deux fois le temple terrestre littéral, lequel préfigurait Son corps et Son temple spirituel. Son temple terrestre littéral commença comme le Tabernacle du désert, puis comme le temple de Salomon, puis comme le temple qui fut rebâti après les soixante-dix années de captivité à Babylone, et ce même temple après un projet de réaménagement de quarante-six ans entrepris par Hérode.</w:t>
      </w:r>
    </w:p>
    <w:p>
      <w:pPr>
        <w:pStyle w:val="ArticleBody"/>
        <w:jc w:val="left"/>
      </w:pPr>
      <w:r>
        <w:rPr>
          <w:rFonts w:ascii="Times New Roman" w:hAnsi="Times New Roman" w:eastAsia="Times New Roman" w:cs="Times New Roman"/>
        </w:rPr>
        <w:t>Ko ta embo’eporã guasu omoĩva’ekue ijehegui pe Tavernákulo róga marangatu ha Salomón róga marangatu ári; ndaha’éi upéicha pe róga marangatu oñemopu’ã jey va’ekue pe jegueraha hag̃ua rire, ha upéicharõ jepe, pe róga marangatu oñemyatyrõ jey va’ekue oñevendesi Cristo retegua jeikove rupive. Herodes róga marangatu oñemyatyrõ jey va’ekue rembiasakuepe, Cristo mokõi jey omopotĩ pe róga marangatu, oñekumpli hag̃ua Malaquías kapítulo mbohapy. Pe ñemopotĩ peteĩhape, Cristo ohechauka pe róga marangatu ha’eha Itúva róga; ha pe ñemopotĩ paha peve, Cristo ohechauka pe róga marangatu ha’eha umi judío róga.</w:t>
      </w:r>
    </w:p>
    <w:p>
      <w:pPr>
        <w:pStyle w:val="ArticleBody"/>
        <w:jc w:val="left"/>
      </w:pPr>
      <w:r>
        <w:rPr>
          <w:rFonts w:ascii="Times New Roman" w:hAnsi="Times New Roman" w:eastAsia="Times New Roman" w:cs="Times New Roman"/>
        </w:rPr>
        <w:t>M’nkhani ya a Millerite, Khristu anamanga kachisi wauzimu m’zaka makumi anayi ndi zisanu ndi chimodzi kuyambira 1798 kufikira 1844. Pa October 22, 1844, pokwaniritsa Malaki chaputala chachitatu, Iye anadzidzimutsa kubwera ku kachisi Wake, motero kuyeretsa anamwali opusa. Kenako anafika monga mngelo wachitatu kuti akwaniritse kuyeretsa kwachiwiri ndi komaliza, koma monga momwe zinalili pa chiyambi cha Israyeli wakale, Israyeli wamakono analibe chikhulupiriro chofunikira kuti amalize ntchitoyo.</w:t>
      </w:r>
    </w:p>
    <w:p>
      <w:pPr>
        <w:pStyle w:val="ArticleBody"/>
        <w:jc w:val="left"/>
      </w:pPr>
      <w:r>
        <w:rPr>
          <w:rFonts w:ascii="Times New Roman" w:hAnsi="Times New Roman" w:eastAsia="Times New Roman" w:cs="Times New Roman"/>
        </w:rPr>
        <w:t>Le 11 septembre 2001, Christ est revenu pour accomplir la seconde purification du temple, laquelle s’accomplit lorsque les vierges folles sont purgées lors de la loi dominicale qui vient bientôt, lorsqu’elles s’éveillent à la réalité qu’elles ne comprennent pas l’accroissement de connaissance qui fut descellé en 1989. Cet accroissement de connaissance représente le message de la pluie de l’arrière-saison, lequel est le message du Cri de Minuit lorsqu’il est placé dans le contexte de la parabole des dix vierges. Le message des six derniers versets de Daniel onze, qui fut descellé au temps de la fin en 1989, est représenté au verset quarante-quatre de ces versets comme des « nouvelles de l’orient et du septentrion ».</w:t>
      </w:r>
    </w:p>
    <w:p>
      <w:pPr>
        <w:pStyle w:val="ArticleBody"/>
        <w:jc w:val="left"/>
      </w:pPr>
      <w:r>
        <w:rPr>
          <w:rFonts w:ascii="Times New Roman" w:hAnsi="Times New Roman" w:eastAsia="Times New Roman" w:cs="Times New Roman"/>
        </w:rPr>
        <w:t>Farri roobɓo cakkitiiɗo ɗoo ko ɓanginol Cry of Midnight, e ko ɓanginol fuɗɗorde e ɗaɓɓunde. Fuɗɗorde e ɗaɓɓunde ɗen ena njiiloo Islaam e paapaasi ka jaɓɓorgo maajum, e no ɓe ngoni ɓanginol, ɓe njiiloo ɓanginol ngol Adventism Laodicean waɗi no fottaaki hakkunde 11 Septembar 2001 e dokkal Alhadi garoowo law. 11 Septembar 2001 ena njiiloo Islaam (fuɗɗorde), e dokkal Alhadi ena njiiloo ɗakkol marbeeriijo (ɗaɓɓunde).</w:t>
      </w:r>
    </w:p>
    <w:p>
      <w:pPr>
        <w:pStyle w:val="ArticleBody"/>
        <w:jc w:val="left"/>
      </w:pPr>
      <w:r>
        <w:rPr>
          <w:rFonts w:ascii="Times New Roman" w:hAnsi="Times New Roman" w:eastAsia="Times New Roman" w:cs="Times New Roman"/>
        </w:rPr>
        <w:t>Vaandhenge laLaodikia Adventism vunaimirirwa pakati pezviratidzo zviviri izvozvo, sezvinofananidzirwa nerufu rwomuporofita asingateereri pakati pembongoro neshumba. Vaandhenge veavo vanogamuchira chiratidzo chechikara vanomiririrwa ne“nhau dzinobva kumabvazuva nokumusoro” dzinotsamwisa simba repapa uye dzinotanga kutambudzwa kwekupedzisira kwavanhu vaMwari. Shoko iroro rinotanga pamutemo weSvondo uri kuuya nokukurumidza muUnited States, ndimo munovawo uye nenguva imweyo apo ChiIslam cheNhamo yechitatu chinorova kamwe kamwe. Kurwisa ikoko kusingatarisirwi kunounza kuparara kwenyika, uye kunotsamwisa ndudzi, nokudaro kuchipa simba rezvehupfumi nezvematongerwo enyika rokuunganidza ndudzi dzose pamwechete kuzorwa neChiIslam, pasi peurongwa hwokubatana katatu kweshato, nechikara, nomuporofita wenhema.</w:t>
      </w:r>
    </w:p>
    <w:p>
      <w:pPr>
        <w:pStyle w:val="ArticleBody"/>
        <w:jc w:val="left"/>
      </w:pPr>
      <w:r>
        <w:rPr>
          <w:rFonts w:ascii="Times New Roman" w:hAnsi="Times New Roman" w:eastAsia="Times New Roman" w:cs="Times New Roman"/>
        </w:rPr>
        <w:t>Ny tantara asehon’i Elia fahatelo, ny hafatra izay mamantatra ny Loza fahatelo, dia mampahafantatra ny dragona sy ny bibidia ary ny mpaminany sandoka fa ny Silamo no fitaovam-pitsarana ampiasain’Andriamanitra hanasazy ny olona noho ny fanompoana ny mariky ny fahefan’ny papa. Tahaka ny amin’ireo Roma telo, ireo Babylona telo, ireo Elia telo, ary ireo iraka telo izay manomana ny lalana, ny Loza fahatelo dia miorina amin’ny fampiharana avo telo heny an’ireo Loza telo.</w:t>
      </w:r>
    </w:p>
    <w:p>
      <w:pPr>
        <w:pStyle w:val="ArticleScripture"/>
        <w:jc w:val="left"/>
      </w:pPr>
      <w:r>
        <w:rPr>
          <w:rFonts w:ascii="Times New Roman" w:hAnsi="Times New Roman" w:eastAsia="Times New Roman" w:cs="Times New Roman"/>
        </w:rPr>
        <w:t>Nikaangalia, nikasikia malaika akiruka katikati ya mbingu, akisema kwa sauti kuu, Ole! ole! ole! kwa wakaao juu ya nchi, kwa sababu ya sauti nyingine za tarumbeta za wale malaika watatu ambao bado hawajapiga! Ufunuo 8:13.</w:t>
      </w:r>
    </w:p>
    <w:p>
      <w:pPr>
        <w:pStyle w:val="ArticleBody"/>
        <w:jc w:val="left"/>
      </w:pPr>
      <w:r>
        <w:rPr>
          <w:rFonts w:ascii="Sylfaen" w:hAnsi="Sylfaen" w:eastAsia="Sylfaen" w:cs="Sylfaen"/>
        </w:rPr>
        <w:t>სისტერ</w:t>
      </w:r>
      <w:r>
        <w:rPr>
          <w:rFonts w:ascii="Times New Roman" w:hAnsi="Times New Roman" w:eastAsia="Times New Roman" w:cs="Times New Roman"/>
        </w:rPr>
        <w:t xml:space="preserve"> </w:t>
      </w:r>
      <w:r>
        <w:rPr>
          <w:rFonts w:ascii="Sylfaen" w:hAnsi="Sylfaen" w:eastAsia="Sylfaen" w:cs="Sylfaen"/>
        </w:rPr>
        <w:t>უაითმა</w:t>
      </w:r>
      <w:r>
        <w:rPr>
          <w:rFonts w:ascii="Times New Roman" w:hAnsi="Times New Roman" w:eastAsia="Times New Roman" w:cs="Times New Roman"/>
        </w:rPr>
        <w:t xml:space="preserve"> </w:t>
      </w:r>
      <w:r>
        <w:rPr>
          <w:rFonts w:ascii="Sylfaen" w:hAnsi="Sylfaen" w:eastAsia="Sylfaen" w:cs="Sylfaen"/>
        </w:rPr>
        <w:t>ღრმად</w:t>
      </w:r>
      <w:r>
        <w:rPr>
          <w:rFonts w:ascii="Times New Roman" w:hAnsi="Times New Roman" w:eastAsia="Times New Roman" w:cs="Times New Roman"/>
        </w:rPr>
        <w:t xml:space="preserve"> </w:t>
      </w:r>
      <w:r>
        <w:rPr>
          <w:rFonts w:ascii="Sylfaen" w:hAnsi="Sylfaen" w:eastAsia="Sylfaen" w:cs="Sylfaen"/>
        </w:rPr>
        <w:t>მოიწონა</w:t>
      </w:r>
      <w:r>
        <w:rPr>
          <w:rFonts w:ascii="Times New Roman" w:hAnsi="Times New Roman" w:eastAsia="Times New Roman" w:cs="Times New Roman"/>
        </w:rPr>
        <w:t xml:space="preserve"> </w:t>
      </w:r>
      <w:r>
        <w:rPr>
          <w:rFonts w:ascii="Sylfaen" w:hAnsi="Sylfaen" w:eastAsia="Sylfaen" w:cs="Sylfaen"/>
        </w:rPr>
        <w:t>სმითის</w:t>
      </w:r>
      <w:r>
        <w:rPr>
          <w:rFonts w:ascii="Times New Roman" w:hAnsi="Times New Roman" w:eastAsia="Times New Roman" w:cs="Times New Roman"/>
        </w:rPr>
        <w:t xml:space="preserve"> </w:t>
      </w:r>
      <w:r>
        <w:rPr>
          <w:rFonts w:ascii="Sylfaen" w:hAnsi="Sylfaen" w:eastAsia="Sylfaen" w:cs="Sylfaen"/>
        </w:rPr>
        <w:t>წიგნი</w:t>
      </w:r>
      <w:r>
        <w:rPr>
          <w:rFonts w:ascii="Times New Roman" w:hAnsi="Times New Roman" w:eastAsia="Times New Roman" w:cs="Times New Roman"/>
        </w:rPr>
        <w:t xml:space="preserve">, *Daniel and Revelation*,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მიუთითა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ყოველ</w:t>
      </w:r>
      <w:r>
        <w:rPr>
          <w:rFonts w:ascii="Times New Roman" w:hAnsi="Times New Roman" w:eastAsia="Times New Roman" w:cs="Times New Roman"/>
        </w:rPr>
        <w:t xml:space="preserve"> </w:t>
      </w:r>
      <w:r>
        <w:rPr>
          <w:rFonts w:ascii="Sylfaen" w:hAnsi="Sylfaen" w:eastAsia="Sylfaen" w:cs="Sylfaen"/>
        </w:rPr>
        <w:t>მეშვიდე</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ადვენტისტს</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ჰქონდეს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წიგნი</w:t>
      </w:r>
      <w:r>
        <w:rPr>
          <w:rFonts w:ascii="Times New Roman" w:hAnsi="Times New Roman" w:eastAsia="Times New Roman" w:cs="Times New Roman"/>
        </w:rPr>
        <w:t xml:space="preserve">, </w:t>
      </w:r>
      <w:r>
        <w:rPr>
          <w:rFonts w:ascii="Sylfaen" w:hAnsi="Sylfaen" w:eastAsia="Sylfaen" w:cs="Sylfaen"/>
        </w:rPr>
        <w:t>თუმცა</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პირდაპირ</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გამოხატა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მე</w:t>
      </w:r>
      <w:r>
        <w:rPr>
          <w:rFonts w:ascii="Times New Roman" w:hAnsi="Times New Roman" w:eastAsia="Times New Roman" w:cs="Times New Roman"/>
        </w:rPr>
        <w:t xml:space="preserve"> </w:t>
      </w:r>
      <w:r>
        <w:rPr>
          <w:rFonts w:ascii="Sylfaen" w:hAnsi="Sylfaen" w:eastAsia="Sylfaen" w:cs="Sylfaen"/>
        </w:rPr>
        <w:t>ახლა</w:t>
      </w:r>
      <w:r>
        <w:rPr>
          <w:rFonts w:ascii="Times New Roman" w:hAnsi="Times New Roman" w:eastAsia="Times New Roman" w:cs="Times New Roman"/>
        </w:rPr>
        <w:t xml:space="preserve"> </w:t>
      </w:r>
      <w:r>
        <w:rPr>
          <w:rFonts w:ascii="Sylfaen" w:hAnsi="Sylfaen" w:eastAsia="Sylfaen" w:cs="Sylfaen"/>
        </w:rPr>
        <w:t>დავწერე</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ფაქტი</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მოწონებაში</w:t>
      </w:r>
      <w:r>
        <w:rPr>
          <w:rFonts w:ascii="Times New Roman" w:hAnsi="Times New Roman" w:eastAsia="Times New Roman" w:cs="Times New Roman"/>
        </w:rPr>
        <w:t xml:space="preserve"> </w:t>
      </w:r>
      <w:r>
        <w:rPr>
          <w:rFonts w:ascii="Sylfaen" w:hAnsi="Sylfaen" w:eastAsia="Sylfaen" w:cs="Sylfaen"/>
        </w:rPr>
        <w:t>აშკარადაა</w:t>
      </w:r>
      <w:r>
        <w:rPr>
          <w:rFonts w:ascii="Times New Roman" w:hAnsi="Times New Roman" w:eastAsia="Times New Roman" w:cs="Times New Roman"/>
        </w:rPr>
        <w:t xml:space="preserve"> </w:t>
      </w:r>
      <w:r>
        <w:rPr>
          <w:rFonts w:ascii="Sylfaen" w:hAnsi="Sylfaen" w:eastAsia="Sylfaen" w:cs="Sylfaen"/>
        </w:rPr>
        <w:t>მოცემული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主呼召工人进入售书布道的园地</w:t>
      </w:r>
      <w:r>
        <w:rPr>
          <w:rFonts w:ascii="Times New Roman" w:hAnsi="Times New Roman" w:eastAsia="Times New Roman" w:cs="Times New Roman"/>
        </w:rPr>
        <w:t>,</w:t>
      </w:r>
      <w:r>
        <w:rPr>
          <w:rFonts w:ascii="Microsoft YaHei" w:hAnsi="Microsoft YaHei" w:eastAsia="Microsoft YaHei" w:cs="Microsoft YaHei"/>
        </w:rPr>
        <w:t>使那些包含现代真理之亮光的书籍得以广泛流传</w:t>
      </w:r>
      <w:r>
        <w:rPr>
          <w:rFonts w:ascii="Times New Roman" w:hAnsi="Times New Roman" w:eastAsia="Times New Roman" w:cs="Times New Roman"/>
        </w:rPr>
        <w:t>.</w:t>
      </w:r>
      <w:r>
        <w:rPr>
          <w:rFonts w:ascii="Microsoft YaHei" w:hAnsi="Microsoft YaHei" w:eastAsia="Microsoft YaHei" w:cs="Microsoft YaHei"/>
        </w:rPr>
        <w:t>世上的人需要知道</w:t>
      </w:r>
      <w:r>
        <w:rPr>
          <w:rFonts w:ascii="Times New Roman" w:hAnsi="Times New Roman" w:eastAsia="Times New Roman" w:cs="Times New Roman"/>
        </w:rPr>
        <w:t>,</w:t>
      </w:r>
      <w:r>
        <w:rPr>
          <w:rFonts w:ascii="Microsoft YaHei" w:hAnsi="Microsoft YaHei" w:eastAsia="Microsoft YaHei" w:cs="Microsoft YaHei"/>
        </w:rPr>
        <w:t>时代的预兆正在应验</w:t>
      </w:r>
      <w:r>
        <w:rPr>
          <w:rFonts w:ascii="Times New Roman" w:hAnsi="Times New Roman" w:eastAsia="Times New Roman" w:cs="Times New Roman"/>
        </w:rPr>
        <w:t>.</w:t>
      </w:r>
      <w:r>
        <w:rPr>
          <w:rFonts w:ascii="Microsoft YaHei" w:hAnsi="Microsoft YaHei" w:eastAsia="Microsoft YaHei" w:cs="Microsoft YaHei"/>
        </w:rPr>
        <w:t>要把那些能启迪他们的书带给他们</w:t>
      </w:r>
      <w:r>
        <w:rPr>
          <w:rFonts w:ascii="Times New Roman" w:hAnsi="Times New Roman" w:eastAsia="Times New Roman" w:cs="Times New Roman"/>
        </w:rPr>
        <w:t>.</w:t>
      </w:r>
      <w:r>
        <w:rPr>
          <w:rFonts w:ascii="Microsoft YaHei" w:hAnsi="Microsoft YaHei" w:eastAsia="Microsoft YaHei" w:cs="Microsoft YaHei"/>
        </w:rPr>
        <w:t>〈但以理书与启示录〉、〈善恶之争〉、〈先祖与先知〉</w:t>
      </w:r>
      <w:r>
        <w:rPr>
          <w:rFonts w:ascii="Times New Roman" w:hAnsi="Times New Roman" w:eastAsia="Times New Roman" w:cs="Times New Roman"/>
        </w:rPr>
        <w:t>,</w:t>
      </w:r>
      <w:r>
        <w:rPr>
          <w:rFonts w:ascii="Microsoft YaHei" w:hAnsi="Microsoft YaHei" w:eastAsia="Microsoft YaHei" w:cs="Microsoft YaHei"/>
        </w:rPr>
        <w:t>以及〈历代愿望〉</w:t>
      </w:r>
      <w:r>
        <w:rPr>
          <w:rFonts w:ascii="Times New Roman" w:hAnsi="Times New Roman" w:eastAsia="Times New Roman" w:cs="Times New Roman"/>
        </w:rPr>
        <w:t>,</w:t>
      </w:r>
      <w:r>
        <w:rPr>
          <w:rFonts w:ascii="Microsoft YaHei" w:hAnsi="Microsoft YaHei" w:eastAsia="Microsoft YaHei" w:cs="Microsoft YaHei"/>
        </w:rPr>
        <w:t>现今都应当传到世人中间</w:t>
      </w:r>
      <w:r>
        <w:rPr>
          <w:rFonts w:ascii="Times New Roman" w:hAnsi="Times New Roman" w:eastAsia="Times New Roman" w:cs="Times New Roman"/>
        </w:rPr>
        <w:t>.</w:t>
      </w:r>
      <w:r>
        <w:rPr>
          <w:rFonts w:ascii="Microsoft YaHei" w:hAnsi="Microsoft YaHei" w:eastAsia="Microsoft YaHei" w:cs="Microsoft YaHei"/>
        </w:rPr>
        <w:t>〈但以理书与启示录〉中所含的宏大教训</w:t>
      </w:r>
      <w:r>
        <w:rPr>
          <w:rFonts w:ascii="Times New Roman" w:hAnsi="Times New Roman" w:eastAsia="Times New Roman" w:cs="Times New Roman"/>
        </w:rPr>
        <w:t>,</w:t>
      </w:r>
      <w:r>
        <w:rPr>
          <w:rFonts w:ascii="Microsoft YaHei" w:hAnsi="Microsoft YaHei" w:eastAsia="Microsoft YaHei" w:cs="Microsoft YaHei"/>
        </w:rPr>
        <w:t>已被澳大利亚许多人热切研读</w:t>
      </w:r>
      <w:r>
        <w:rPr>
          <w:rFonts w:ascii="Times New Roman" w:hAnsi="Times New Roman" w:eastAsia="Times New Roman" w:cs="Times New Roman"/>
        </w:rPr>
        <w:t>.</w:t>
      </w:r>
      <w:r>
        <w:rPr>
          <w:rFonts w:ascii="Microsoft YaHei" w:hAnsi="Microsoft YaHei" w:eastAsia="Microsoft YaHei" w:cs="Microsoft YaHei"/>
        </w:rPr>
        <w:t>这本书一直是引领许多宝贵生灵认识真理的工具</w:t>
      </w:r>
      <w:r>
        <w:rPr>
          <w:rFonts w:ascii="Times New Roman" w:hAnsi="Times New Roman" w:eastAsia="Times New Roman" w:cs="Times New Roman"/>
        </w:rPr>
        <w:t>.</w:t>
      </w:r>
      <w:r>
        <w:rPr>
          <w:rFonts w:ascii="Microsoft YaHei" w:hAnsi="Microsoft YaHei" w:eastAsia="Microsoft YaHei" w:cs="Microsoft YaHei"/>
        </w:rPr>
        <w:t>凡所能做的一切</w:t>
      </w:r>
      <w:r>
        <w:rPr>
          <w:rFonts w:ascii="Times New Roman" w:hAnsi="Times New Roman" w:eastAsia="Times New Roman" w:cs="Times New Roman"/>
        </w:rPr>
        <w:t>,</w:t>
      </w:r>
      <w:r>
        <w:rPr>
          <w:rFonts w:ascii="Microsoft YaHei" w:hAnsi="Microsoft YaHei" w:eastAsia="Microsoft YaHei" w:cs="Microsoft YaHei"/>
        </w:rPr>
        <w:t>都应当去做</w:t>
      </w:r>
      <w:r>
        <w:rPr>
          <w:rFonts w:ascii="Times New Roman" w:hAnsi="Times New Roman" w:eastAsia="Times New Roman" w:cs="Times New Roman"/>
        </w:rPr>
        <w:t>,</w:t>
      </w:r>
      <w:r>
        <w:rPr>
          <w:rFonts w:ascii="Microsoft YaHei" w:hAnsi="Microsoft YaHei" w:eastAsia="Microsoft YaHei" w:cs="Microsoft YaHei"/>
        </w:rPr>
        <w:t>为要广传〈但以理书与启示录〉</w:t>
      </w:r>
      <w:r>
        <w:rPr>
          <w:rFonts w:ascii="Times New Roman" w:hAnsi="Times New Roman" w:eastAsia="Times New Roman" w:cs="Times New Roman"/>
        </w:rPr>
        <w:t>.</w:t>
      </w:r>
      <w:r>
        <w:rPr>
          <w:rFonts w:ascii="Microsoft YaHei" w:hAnsi="Microsoft YaHei" w:eastAsia="Microsoft YaHei" w:cs="Microsoft YaHei"/>
        </w:rPr>
        <w:t>我不知道还有哪一本书能取代这一本</w:t>
      </w:r>
      <w:r>
        <w:rPr>
          <w:rFonts w:ascii="Times New Roman" w:hAnsi="Times New Roman" w:eastAsia="Times New Roman" w:cs="Times New Roman"/>
        </w:rPr>
        <w:t>.</w:t>
      </w:r>
      <w:r>
        <w:rPr>
          <w:rFonts w:ascii="Microsoft YaHei" w:hAnsi="Microsoft YaHei" w:eastAsia="Microsoft YaHei" w:cs="Microsoft YaHei"/>
        </w:rPr>
        <w:t>它是上帝扶助人的手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Ceux qui sont depuis longtemps dans la vérité sont endormis. Ils ont besoin d’être sanctifiés par le Saint-Esprit. Le message du troisième ange doit être proclamé d’une voix forte. Des enjeux immenses sont devant nous. Nous n’avons pas de temps à perdre. À Dieu ne plaise que nous laissions des questions mineures éclipser la lumière qui devrait être donnée au monde. » Manuscript Releases, volume 21, 444.</w:t>
      </w:r>
    </w:p>
    <w:p>
      <w:pPr>
        <w:pStyle w:val="ArticleBody"/>
        <w:jc w:val="left"/>
      </w:pPr>
      <w:r>
        <w:rPr>
          <w:rFonts w:ascii="Times New Roman" w:hAnsi="Times New Roman" w:eastAsia="Times New Roman" w:cs="Times New Roman"/>
        </w:rPr>
        <w:t>Te buke, ko ēla na kinautou ne kakai tabetabe ni kakoaua te Millerite view are “te daily” i roto i te buke o Daniel, a moanaki iai bwa “te helping hand a te Atua.” Me bon n te aroia n ana mwakuri te Atua a karineia iai te bwai n ibuobuoki ni kakawaki n te buke aika taetaeaki i nano n te citation ae imwaina, e nanonaki iai bwa a kona ni kawaiaki n te koraki n te Atua te buke ae e ngaia. Te buke ae ngaia te kanako are e akiakiaki iai te koraki ake a butimwaea te “new” view are “te daily” i roto i te buke o Daniel, ibukin te bwa e buke ae a kakarawa ni kabongana n re-write ao ni kariaia te view ae raoiroi are “te daily.”</w:t>
      </w:r>
    </w:p>
    <w:p>
      <w:pPr>
        <w:pStyle w:val="ArticleBody"/>
        <w:jc w:val="left"/>
      </w:pPr>
      <w:r>
        <w:rPr>
          <w:rFonts w:ascii="Times New Roman" w:hAnsi="Times New Roman" w:eastAsia="Times New Roman" w:cs="Times New Roman"/>
        </w:rPr>
        <w:t>Nang banggitin ni Sister White ang dalawang pangunahing pinuno sa paghihimagsik laban sa “ang araw-araw” sa aklat ni Daniel, madalas niyang itinuturo na sila (Prescott at Daniells) ay walang kakayahang “mangatwiran mula sa sanhi tungo sa bunga.” Ang mga rebisyunistang pangkasaysayan ng mga Laodiceang Adventista ay waring may gayon ding suliranin.</w:t>
      </w:r>
    </w:p>
    <w:p>
      <w:pPr>
        <w:pStyle w:val="ArticleBody"/>
        <w:jc w:val="left"/>
      </w:pPr>
      <w:r>
        <w:rPr>
          <w:rFonts w:ascii="Times New Roman" w:hAnsi="Times New Roman" w:eastAsia="Times New Roman" w:cs="Times New Roman"/>
        </w:rPr>
        <w:t>Membrii de frunte, care, de-a lungul istoriei răzvrătirii începând din 1888 și mai departe, acceptaseră la un moment dat în experiența lor personală învățătura falsă despre „jertfa necurmată”, aveau răzvrătirea drept „efect”, iar înțelegerea greșită a „jertfei necurmate” drept „cauză”. Revizioniștii adventiști laodiceeni îi conduc pe cei neînvățați să creadă că tocmai acei răzvrătiți istorici din istoria adventă nu se aflau, de fapt, în răzvrătire, deși mărturia lor revizuită nu este niciodată susținută de mărturia Bibliei și a Spiritului Profeției. Pentru că nu consideră „efectul” ca fiind o răzvrătire, ei închid posibilitatea de a căuta „cauza”.</w:t>
      </w:r>
    </w:p>
    <w:p>
      <w:pPr>
        <w:pStyle w:val="ArticleScripture"/>
        <w:jc w:val="left"/>
      </w:pPr>
      <w:r>
        <w:rPr>
          <w:rFonts w:ascii="Times New Roman" w:hAnsi="Times New Roman" w:eastAsia="Times New Roman" w:cs="Times New Roman"/>
        </w:rPr>
        <w:t>Comme l’oiseau s’égare en errant, et comme l’hirondelle en volant, ainsi la malédiction sans cause n’arrivera point. Proverbes 22:6.</w:t>
      </w:r>
    </w:p>
    <w:p>
      <w:pPr>
        <w:pStyle w:val="ArticleBody"/>
        <w:jc w:val="left"/>
      </w:pPr>
      <w:r>
        <w:rPr>
          <w:rFonts w:ascii="Times New Roman" w:hAnsi="Times New Roman" w:eastAsia="Times New Roman" w:cs="Times New Roman"/>
        </w:rPr>
        <w:t>Leloko la Modimo le tshwanetse go lemoga botsuolodi, mme fa ba bo lemoga, ba tshwanetse go batla sesosa sa jone. Foo ba tshwanetse go baakanya sesosa seo. Mo temaneng e e latelang Kgaitsadi White o naya tlhaloso ka pego ya ga Akane.</w:t>
      </w:r>
    </w:p>
    <w:p>
      <w:pPr>
        <w:pStyle w:val="ArticleScripture"/>
        <w:jc w:val="left"/>
      </w:pPr>
      <w:r>
        <w:rPr>
          <w:rFonts w:ascii="Times New Roman" w:hAnsi="Times New Roman" w:eastAsia="Times New Roman" w:cs="Times New Roman"/>
        </w:rPr>
        <w:t>“Nimeonyeshwa kwamba hapa Mungu anaonyesha jinsi anavyoiangalia dhambi miongoni mwa wale wanaodai kuwa watu Wake washikao amri. Wale ambao amewaheshimu kwa namna ya pekee kwa kushuhudia maonyesho ya ajabu ya uweza Wake, kama Israeli wa kale, na ambao hata hivyo watajithubutu kupuuza maelekezo Yake yaliyo wazi, watakuwa chini ya ghadhabu Yake. Yeye angewafundisha watu Wake kwamba kutotii na dhambi ni mambo yanayomchukiza sana, wala hayapaswi kuhesabiwa kuwa mepesi. Anatuonyesha kwamba watu Wake wanapopatikana katika dhambi, wanapaswa mara moja kuchukua hatua thabiti za kuiondoa dhambi hiyo miongoni mwao, ili chuki Yake isiwe juu yao wote. Lakini ikiwa dhambi za watu zitapuuzwa na wale walio katika nyadhifa za uwajibikaji, chuki Yake itakuwa juu yao, na watu wa Mungu, kama mwili mmoja, watahesabiwa kuwa na hatia kwa dhambi hizo. Katika jinsi anavyoshughulika na watu Wake hapo zamani, Bwana anaonyesha ulazima wa kulitakasa kanisa kutokana na maovu. Mwenye dhambi mmoja anaweza kusambaza giza litakalouzuia nuru ya Mungu isiingie kwa mkutano wote. Watu wanapotambua kwamba giza linashuka juu yao, na hawajui sababu yake, wanapaswa kumtafuta Mungu kwa bidii, katika unyenyekevu mkuu na kujidhalilisha nafsi, hata makosa yale ambayo huihuzunisha Roho Wake yatakapochunguzwa na kuondolewa.”</w:t>
      </w:r>
    </w:p>
    <w:p>
      <w:pPr>
        <w:pStyle w:val="ArticleScripture"/>
        <w:jc w:val="left"/>
      </w:pPr>
      <w:r>
        <w:rPr>
          <w:rFonts w:ascii="Times New Roman" w:hAnsi="Times New Roman" w:eastAsia="Times New Roman" w:cs="Times New Roman"/>
        </w:rPr>
        <w:t>“Nacem ddu ag yichafas rhagom am ein bod wedi ceryddu’r drygau a ddangosodd Duw i mi eu bod yn bodoli, a’r floedd a godwyd am galedwch a llymder, sydd anghyfiawn. Y mae Duw yn gorchymyn inni lefaru, ac ni fyddwn yn dawel. Os yw camweddau yn amlwg ymhlith Ei bobl, ac os â gweision Duw heibio iddynt yn ddifater, y maent, i bob pwrpas, yn cynnal ac yn cyfiawnhau’r pechadur, ac y maent yr un modd yn euog ac yn derbyn digofaint Duw yn gwbl sicr; oherwydd fe’u gwneir yn gyfrifol am bechodau’r rhai euog. Mewn gweledigaeth dangoswyd i mi lawer enghraifft lle y denwyd anfodlonrwydd Duw trwy esgeulustod ar ran Ei weision i ymdrin â’r camweddau a’r pechodau oedd yn bodoli yn eu plith. Y rhai a fu’n esgusodi’r drygau hyn a ystyriwyd gan y bobl yn rhai hynaws a hyfryd iawn eu hanian, yn syml am eu bod yn cilio rhag cyflawni dyletswydd eglur Ysgrythurol. Nid oedd y dasg yn gymeradwy i’w teimladau; am hynny fe’i hosgoesant.” Testimonies, volume 3, 265.</w:t>
      </w:r>
    </w:p>
    <w:p>
      <w:pPr>
        <w:pStyle w:val="ArticleBody"/>
        <w:jc w:val="left"/>
      </w:pPr>
      <w:r>
        <w:rPr>
          <w:rFonts w:ascii="Times New Roman" w:hAnsi="Times New Roman" w:eastAsia="Times New Roman" w:cs="Times New Roman"/>
        </w:rPr>
        <w:t>Tarihi za viongozi ambao wameasi ndani ya Uadventista zinashuhudia ukweli kwamba mojawapo ya hatua ambazo karibu daima huonekana katika uasi wao ni kwamba, wakati fulani katika uzoefu wao binafsi, walikubali mtazamo wa uongo wa “the daily.” Hata hivyo, kitabu cha Smith, ingawa hakikuvuviwa na kikiwa na baadhi ya matatizo ya kiimani, bado kinatoa muhtasari bora sana wa ufahamu wa waanzilishi kuhusu Ufunuo sura ya nane na ya tisa, ambamo tunaona historia ya kinabii ya tarumbeta sita za kwanza ikiwekwa wazi. Tutarejelea fafanuzi ya Smith kutoka katika kitabu chake, Daniel and Revelation, tunapoanza kuzingatia matumizi ya namna tatu ya Ole tatu.</w:t>
      </w:r>
    </w:p>
    <w:p>
      <w:pPr>
        <w:pStyle w:val="ArticleBody"/>
        <w:jc w:val="left"/>
      </w:pPr>
      <w:r>
        <w:rPr>
          <w:rFonts w:ascii="Times New Roman" w:hAnsi="Times New Roman" w:eastAsia="Times New Roman" w:cs="Times New Roman"/>
        </w:rPr>
        <w:t>I dɔ nyɔnu White na xlɛ mía be wòxɔ kekeli gã aɖe tso Nukuɖiɖi ƒe agbalẽ la dzi na William Miller, gake eƒe gɔmesese tso ta 13 kple ta 16 yi 18 la me nye vodada, elabena e le ŋkekeawo ƒe ŋusẽme si menye teƒe si me wòate ŋu akpɔe be gbegblẽ-ŋusẽ etɔe le, eye menye eve o. Eƒe kekeli gã la nye Nukuɖiɖi ƒe ta 2 yi 9 dzi.</w:t>
      </w:r>
    </w:p>
    <w:p>
      <w:pPr>
        <w:pStyle w:val="ArticleScripture"/>
        <w:jc w:val="left"/>
      </w:pPr>
      <w:r>
        <w:rPr>
          <w:rFonts w:ascii="Times New Roman" w:hAnsi="Times New Roman" w:eastAsia="Times New Roman" w:cs="Times New Roman"/>
        </w:rPr>
        <w:t>“Waadhiri na watu kwa jumla wamekiitazama kitabu cha Ufunuo kuwa cha siri na chenye umuhimu mdogo kuliko sehemu nyingine za Maandiko Matakatifu. Lakini naliona kwamba kitabu hiki kwa kweli ni ufunuo uliotolewa kwa manufaa ya pekee ya wale watakaokuwa wakiishi katika siku za mwisho, ili kuwaongoza katika kutambua nafasi yao ya kweli na wajibu wao. Mungu aliuelekeza moyo wa William Miller kwenye unabii, naye akampa nuru kubwa juu ya kitabu cha Ufunuo.” Early Writings, 231.</w:t>
      </w:r>
    </w:p>
    <w:p>
      <w:pPr>
        <w:pStyle w:val="ArticleBody"/>
        <w:jc w:val="left"/>
      </w:pPr>
      <w:r>
        <w:rPr>
          <w:rFonts w:ascii="Times New Roman" w:hAnsi="Times New Roman" w:eastAsia="Times New Roman" w:cs="Times New Roman"/>
        </w:rPr>
        <w:t>Miller presenta la sua comprensione delle chiese, dei sigilli, delle trombe e delle coppe come segue.</w:t>
      </w:r>
    </w:p>
    <w:p>
      <w:pPr>
        <w:pStyle w:val="ArticleScripture"/>
        <w:jc w:val="left"/>
      </w:pPr>
      <w:r>
        <w:rPr>
          <w:rFonts w:ascii="Times New Roman" w:hAnsi="Times New Roman" w:eastAsia="Times New Roman" w:cs="Times New Roman"/>
        </w:rPr>
        <w:t>„Cele șapte biserici ale Asiei sunt o istorie a Bisericii lui Hristos în cele șapte forme ale ei, în toate meandrele și prefacerile ei, în toată propășirea și potrivnicia ei, din zilele apostolilor până la sfârșitul lumii. Cele șapte peceți sunt o istorie a lucrărilor puterilor și împăraților pământului asupra Bisericii și a ocrotirii de către Dumnezeu a poporului Său în același răstimp. Cele șapte trâmbițe sunt o istorie a șapte judecăți deosebite și grele trimise asupra pământului, sau asupra împărăției romane. Iar cele șapte potire sunt cele șapte plăgi de pe urmă trimise asupra Romei papale. Împletite cu acestea se află multe alte evenimente, țesute înăuntru ca niște pâraie afluente și umplând marele fluviu al profeției, până când întregul se sfârșește pentru noi în oceanul veșniciei.”</w:t>
      </w:r>
    </w:p>
    <w:p>
      <w:pPr>
        <w:pStyle w:val="ArticleScripture"/>
        <w:jc w:val="left"/>
      </w:pPr>
      <w:r>
        <w:rPr>
          <w:rFonts w:ascii="Times New Roman" w:hAnsi="Times New Roman" w:eastAsia="Times New Roman" w:cs="Times New Roman"/>
        </w:rPr>
        <w:t>«Ceci, pour moi, est le plan de la prophétie de Jean dans le livre de l’Apocalypse. Et l’homme qui désire comprendre ce livre doit avoir une connaissance approfondie des autres parties de la parole de Dieu. Les figures et les métaphores employées dans cette prophétie ne sont pas toutes expliquées dans celle-ci, mais doivent être trouvées chez d’autres prophètes et expliquées dans d’autres passages de l’Écriture. Il est donc évident que Dieu a voulu l’étude de l’ensemble, même pour acquérir une connaissance claire d’une quelconque partie.» William Miller, Miller’s Lectures, volume 2, lecture 12, 178.</w:t>
      </w:r>
    </w:p>
    <w:p>
      <w:pPr>
        <w:pStyle w:val="ArticleBody"/>
        <w:jc w:val="left"/>
      </w:pPr>
      <w:r>
        <w:rPr>
          <w:rFonts w:ascii="Microsoft YaHei" w:hAnsi="Microsoft YaHei" w:eastAsia="Microsoft YaHei" w:cs="Microsoft YaHei"/>
        </w:rPr>
        <w:t>正如那为立约之使者预备道路的第三位使者</w:t>
      </w:r>
      <w:r>
        <w:rPr>
          <w:rFonts w:ascii="Times New Roman" w:hAnsi="Times New Roman" w:eastAsia="Times New Roman" w:cs="Times New Roman"/>
        </w:rPr>
        <w:t>,</w:t>
      </w:r>
      <w:r>
        <w:rPr>
          <w:rFonts w:ascii="Microsoft YaHei" w:hAnsi="Microsoft YaHei" w:eastAsia="Microsoft YaHei" w:cs="Microsoft YaHei"/>
        </w:rPr>
        <w:t>代表教会受审判之内在历史</w:t>
      </w:r>
      <w:r>
        <w:rPr>
          <w:rFonts w:ascii="Times New Roman" w:hAnsi="Times New Roman" w:eastAsia="Times New Roman" w:cs="Times New Roman"/>
        </w:rPr>
        <w:t>;</w:t>
      </w:r>
      <w:r>
        <w:rPr>
          <w:rFonts w:ascii="Microsoft YaHei" w:hAnsi="Microsoft YaHei" w:eastAsia="Microsoft YaHei" w:cs="Microsoft YaHei"/>
        </w:rPr>
        <w:t>与之相对</w:t>
      </w:r>
      <w:r>
        <w:rPr>
          <w:rFonts w:ascii="Times New Roman" w:hAnsi="Times New Roman" w:eastAsia="Times New Roman" w:cs="Times New Roman"/>
        </w:rPr>
        <w:t>,</w:t>
      </w:r>
      <w:r>
        <w:rPr>
          <w:rFonts w:ascii="Microsoft YaHei" w:hAnsi="Microsoft YaHei" w:eastAsia="Microsoft YaHei" w:cs="Microsoft YaHei"/>
        </w:rPr>
        <w:t>第三位以利亚则代表现代巴比伦受审判之对外在历史</w:t>
      </w:r>
      <w:r>
        <w:rPr>
          <w:rFonts w:ascii="Times New Roman" w:hAnsi="Times New Roman" w:eastAsia="Times New Roman" w:cs="Times New Roman"/>
        </w:rPr>
        <w:t>;</w:t>
      </w:r>
      <w:r>
        <w:rPr>
          <w:rFonts w:ascii="Microsoft YaHei" w:hAnsi="Microsoft YaHei" w:eastAsia="Microsoft YaHei" w:cs="Microsoft YaHei"/>
        </w:rPr>
        <w:t>照样</w:t>
      </w:r>
      <w:r>
        <w:rPr>
          <w:rFonts w:ascii="Times New Roman" w:hAnsi="Times New Roman" w:eastAsia="Times New Roman" w:cs="Times New Roman"/>
        </w:rPr>
        <w:t>,</w:t>
      </w:r>
      <w:r>
        <w:rPr>
          <w:rFonts w:ascii="Microsoft YaHei" w:hAnsi="Microsoft YaHei" w:eastAsia="Microsoft YaHei" w:cs="Microsoft YaHei"/>
        </w:rPr>
        <w:t>先驱者对于众教会与七印的理解</w:t>
      </w:r>
      <w:r>
        <w:rPr>
          <w:rFonts w:ascii="Times New Roman" w:hAnsi="Times New Roman" w:eastAsia="Times New Roman" w:cs="Times New Roman"/>
        </w:rPr>
        <w:t>,</w:t>
      </w:r>
      <w:r>
        <w:rPr>
          <w:rFonts w:ascii="Microsoft YaHei" w:hAnsi="Microsoft YaHei" w:eastAsia="Microsoft YaHei" w:cs="Microsoft YaHei"/>
        </w:rPr>
        <w:t>也辨识出同样这内在</w:t>
      </w:r>
      <w:r>
        <w:rPr>
          <w:rFonts w:ascii="Times New Roman" w:hAnsi="Times New Roman" w:eastAsia="Times New Roman" w:cs="Times New Roman"/>
        </w:rPr>
        <w:t>—</w:t>
      </w:r>
      <w:r>
        <w:rPr>
          <w:rFonts w:ascii="Microsoft YaHei" w:hAnsi="Microsoft YaHei" w:eastAsia="Microsoft YaHei" w:cs="Microsoft YaHei"/>
        </w:rPr>
        <w:t>外在的见证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Lehe tse tiisitsoeng li hlahisoa tlhokomelong ea rōna likhaolong tsa 4, 5, le 6 tsa Tšenolo. Liketsahalo tse hlahisoang tlas’a litiiso tsena li bontšoa ho Tšenolo 6, le temaneng ea pele ea Tšenolo 8. Ho hlakile hore li akaretsa liketsahalo tseo kereke e amehang ho tsona ho tloha qalong ea tsamaiso ena ho fihlela ho tleng ha Kreste.</w:t>
      </w:r>
    </w:p>
    <w:p>
      <w:pPr>
        <w:pStyle w:val="ArticleScripture"/>
        <w:jc w:val="left"/>
      </w:pPr>
      <w:r>
        <w:rPr>
          <w:rFonts w:ascii="Times New Roman" w:hAnsi="Times New Roman" w:eastAsia="Times New Roman" w:cs="Times New Roman"/>
        </w:rPr>
        <w:t>« Alors que les sept Églises présentent l’histoire interne de l’Église, les sept sceaux mettent en vue les grands événements de son histoire externe. » Uriah Smith, The Biblical Institute, 253.</w:t>
      </w:r>
    </w:p>
    <w:p>
      <w:pPr>
        <w:pStyle w:val="ArticleBody"/>
        <w:jc w:val="left"/>
      </w:pPr>
      <w:r>
        <w:rPr>
          <w:rFonts w:ascii="Times New Roman" w:hAnsi="Times New Roman" w:eastAsia="Times New Roman" w:cs="Times New Roman"/>
        </w:rPr>
        <w:t>Uriah Smith alikuwa akitambua uelewa wa Wamillerite kuhusu uhusiano wa ndani na wa nje wa makanisa, na James White anawasilisha mtazamo wa namna hiyo hiyo kwa kuzingatia historia zinazolingana.</w:t>
      </w:r>
    </w:p>
    <w:p>
      <w:pPr>
        <w:pStyle w:val="ArticleScripture"/>
        <w:jc w:val="left"/>
      </w:pPr>
      <w:r>
        <w:rPr>
          <w:rFonts w:ascii="Times New Roman" w:hAnsi="Times New Roman" w:eastAsia="Times New Roman" w:cs="Times New Roman"/>
        </w:rPr>
        <w:t>« Nous avons maintenant suivi les Églises, les sceaux et les bêtes, ou êtres vivants, aussi loin qu’ils peuvent être comparés comme embrassant les mêmes périodes de temps. Les sceaux sont au nombre de sept, les bêtes seulement de quatre. Et il peut être bon de remarquer ici qu’à l’ouverture du premier, du deuxième, du troisième et du quatrième sceau, on entend les première, deuxième, troisième et quatrième bêtes dire : “Viens et vois ;” mais lorsque les cinquième, sixième et septième sceaux sont ouverts, on n’entend aucune voix semblable. Les trois dernières Églises non plus ne correspondent pas aux trois derniers sceaux comme embrassant les mêmes périodes de temps, ainsi que le font les quatre premières Églises et les quatre premiers sceaux. Mais, comme nous l’avons montré, les Églises, les sceaux et les bêtes concordent quant aux mêmes périodes de temps pendant l’espace de près de 1800 ans, jusqu’à ce que nous arrivions à un peu plus d’un demi-siècle du temps présent. » James White, Review and Herald, 12 février 1857.</w:t>
      </w:r>
    </w:p>
    <w:p>
      <w:pPr>
        <w:pStyle w:val="ArticleBody"/>
        <w:jc w:val="left"/>
      </w:pPr>
      <w:r>
        <w:rPr>
          <w:rFonts w:ascii="Microsoft YaHei" w:hAnsi="Microsoft YaHei" w:eastAsia="Microsoft YaHei" w:cs="Microsoft YaHei"/>
        </w:rPr>
        <w:t>新</w:t>
      </w:r>
      <w:r>
        <w:rPr>
          <w:rFonts w:ascii="MS Gothic" w:hAnsi="MS Gothic" w:eastAsia="MS Gothic" w:cs="MS Gothic"/>
        </w:rPr>
        <w:t>たに</w:t>
      </w:r>
      <w:r>
        <w:rPr>
          <w:rFonts w:ascii="Microsoft YaHei" w:hAnsi="Microsoft YaHei" w:eastAsia="Microsoft YaHei" w:cs="Microsoft YaHei"/>
        </w:rPr>
        <w:t>参照</w:t>
      </w:r>
      <w:r>
        <w:rPr>
          <w:rFonts w:ascii="MS Gothic" w:hAnsi="MS Gothic" w:eastAsia="MS Gothic" w:cs="MS Gothic"/>
        </w:rPr>
        <w:t>したのは</w:t>
      </w:r>
      <w:r>
        <w:rPr>
          <w:rFonts w:ascii="Microsoft YaHei" w:hAnsi="Microsoft YaHei" w:eastAsia="Microsoft YaHei" w:cs="Microsoft YaHei"/>
        </w:rPr>
        <w:t>、</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における</w:t>
      </w:r>
      <w:r>
        <w:rPr>
          <w:rFonts w:ascii="Microsoft YaHei" w:hAnsi="Microsoft YaHei" w:eastAsia="Microsoft YaHei" w:cs="Microsoft YaHei"/>
        </w:rPr>
        <w:t>主要</w:t>
      </w:r>
      <w:r>
        <w:rPr>
          <w:rFonts w:ascii="MS Gothic" w:hAnsi="MS Gothic" w:eastAsia="MS Gothic" w:cs="MS Gothic"/>
        </w:rPr>
        <w:t>な</w:t>
      </w:r>
      <w:r>
        <w:rPr>
          <w:rFonts w:ascii="Microsoft YaHei" w:hAnsi="Microsoft YaHei" w:eastAsia="Microsoft YaHei" w:cs="Microsoft YaHei"/>
        </w:rPr>
        <w:t>先駆者三名</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三名</w:t>
      </w:r>
      <w:r>
        <w:rPr>
          <w:rFonts w:ascii="MS Gothic" w:hAnsi="MS Gothic" w:eastAsia="MS Gothic" w:cs="MS Gothic"/>
        </w:rPr>
        <w:t>はいずれも</w:t>
      </w:r>
      <w:r>
        <w:rPr>
          <w:rFonts w:ascii="Microsoft YaHei" w:hAnsi="Microsoft YaHei" w:eastAsia="Microsoft YaHei" w:cs="Microsoft YaHei"/>
        </w:rPr>
        <w:t>「常供」</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正</w:t>
      </w:r>
      <w:r>
        <w:rPr>
          <w:rFonts w:ascii="MS Gothic" w:hAnsi="MS Gothic" w:eastAsia="MS Gothic" w:cs="MS Gothic"/>
        </w:rPr>
        <w:t>しい</w:t>
      </w:r>
      <w:r>
        <w:rPr>
          <w:rFonts w:ascii="Microsoft YaHei" w:hAnsi="Microsoft YaHei" w:eastAsia="Microsoft YaHei" w:cs="Microsoft YaHei"/>
        </w:rPr>
        <w:t>見解</w:t>
      </w:r>
      <w:r>
        <w:rPr>
          <w:rFonts w:ascii="MS Gothic" w:hAnsi="MS Gothic" w:eastAsia="MS Gothic" w:cs="MS Gothic"/>
        </w:rPr>
        <w:t>を</w:t>
      </w:r>
      <w:r>
        <w:rPr>
          <w:rFonts w:ascii="Microsoft YaHei" w:hAnsi="Microsoft YaHei" w:eastAsia="Microsoft YaHei" w:cs="Microsoft YaHei"/>
        </w:rPr>
        <w:t>保持</w:t>
      </w:r>
      <w:r>
        <w:rPr>
          <w:rFonts w:ascii="MS Gothic" w:hAnsi="MS Gothic" w:eastAsia="MS Gothic" w:cs="MS Gothic"/>
        </w:rPr>
        <w:t>しており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ミラーが</w:t>
      </w:r>
      <w:r>
        <w:rPr>
          <w:rFonts w:ascii="Microsoft YaHei" w:hAnsi="Microsoft YaHei" w:eastAsia="Microsoft YaHei" w:cs="Microsoft YaHei"/>
        </w:rPr>
        <w:t>理解</w:t>
      </w:r>
      <w:r>
        <w:rPr>
          <w:rFonts w:ascii="MS Gothic" w:hAnsi="MS Gothic" w:eastAsia="MS Gothic" w:cs="MS Gothic"/>
        </w:rPr>
        <w:t>し</w:t>
      </w:r>
      <w:r>
        <w:rPr>
          <w:rFonts w:ascii="Microsoft YaHei" w:hAnsi="Microsoft YaHei" w:eastAsia="Microsoft YaHei" w:cs="Microsoft YaHei"/>
        </w:rPr>
        <w:t>提示</w:t>
      </w:r>
      <w:r>
        <w:rPr>
          <w:rFonts w:ascii="MS Gothic" w:hAnsi="MS Gothic" w:eastAsia="MS Gothic" w:cs="MS Gothic"/>
        </w:rPr>
        <w:t>するよう</w:t>
      </w:r>
      <w:r>
        <w:rPr>
          <w:rFonts w:ascii="Microsoft YaHei" w:hAnsi="Microsoft YaHei" w:eastAsia="Microsoft YaHei" w:cs="Microsoft YaHei"/>
        </w:rPr>
        <w:t>導</w:t>
      </w:r>
      <w:r>
        <w:rPr>
          <w:rFonts w:ascii="MS Gothic" w:hAnsi="MS Gothic" w:eastAsia="MS Gothic" w:cs="MS Gothic"/>
        </w:rPr>
        <w:t>かれた</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枠組</w:t>
      </w:r>
      <w:r>
        <w:rPr>
          <w:rFonts w:ascii="MS Gothic" w:hAnsi="MS Gothic" w:eastAsia="MS Gothic" w:cs="MS Gothic"/>
        </w:rPr>
        <w:t>みの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、諸教会</w:t>
      </w:r>
      <w:r>
        <w:rPr>
          <w:rFonts w:ascii="MS Gothic" w:hAnsi="MS Gothic" w:eastAsia="MS Gothic" w:cs="MS Gothic"/>
        </w:rPr>
        <w:t>・</w:t>
      </w:r>
      <w:r>
        <w:rPr>
          <w:rFonts w:ascii="Microsoft YaHei" w:hAnsi="Microsoft YaHei" w:eastAsia="Microsoft YaHei" w:cs="Microsoft YaHei"/>
        </w:rPr>
        <w:t>封印</w:t>
      </w:r>
      <w:r>
        <w:rPr>
          <w:rFonts w:ascii="MS Gothic" w:hAnsi="MS Gothic" w:eastAsia="MS Gothic" w:cs="MS Gothic"/>
        </w:rPr>
        <w:t>・ラッパについての</w:t>
      </w:r>
      <w:r>
        <w:rPr>
          <w:rFonts w:ascii="Microsoft YaHei" w:hAnsi="Microsoft YaHei" w:eastAsia="Microsoft YaHei" w:cs="Microsoft YaHei"/>
        </w:rPr>
        <w:t>概観</w:t>
      </w:r>
      <w:r>
        <w:rPr>
          <w:rFonts w:ascii="MS Gothic" w:hAnsi="MS Gothic" w:eastAsia="MS Gothic" w:cs="MS Gothic"/>
        </w:rPr>
        <w:t>をも</w:t>
      </w:r>
      <w:r>
        <w:rPr>
          <w:rFonts w:ascii="Microsoft YaHei" w:hAnsi="Microsoft YaHei" w:eastAsia="Microsoft YaHei" w:cs="Microsoft YaHei"/>
        </w:rPr>
        <w:t>保持</w:t>
      </w:r>
      <w:r>
        <w:rPr>
          <w:rFonts w:ascii="MS Gothic" w:hAnsi="MS Gothic" w:eastAsia="MS Gothic" w:cs="MS Gothic"/>
        </w:rPr>
        <w:t>していた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«Երբ ի հայտ են գալիս մարդիկ, որոնք կուզենան շարժել թեկուզ մեկ քորոց կամ սյուն այն հիմքից, որ Աստված հաստատել է Իր Սուրբ Հոգով, թող մեր գործի առաջամարտիկ եղած տարեց մարդիկ հստակ խոսեն, և թող նաև հանգուցյալները խոսեն մեր պարբերականներում իրենց հոդվածների վերահրատարակմամբ։ Հավաքեցե՛ք աստվածային լույսի այն շողերը, որ Աստված տվել է՝ Իր ժողովրդին քայլ առ քայլ առաջնորդելով ճշմարտության ճանապարհով։ Այս ճշմարտությունը կդիմանա ժամանակի և փորձության քննությանը»։ Manuscript Release, 760, 10.</w:t>
      </w:r>
    </w:p>
    <w:p>
      <w:pPr>
        <w:pStyle w:val="ArticleBody"/>
        <w:jc w:val="left"/>
      </w:pPr>
      <w:r>
        <w:rPr>
          <w:rFonts w:ascii="Times New Roman" w:hAnsi="Times New Roman" w:eastAsia="Times New Roman" w:cs="Times New Roman"/>
        </w:rPr>
        <w:t>Le 11 septembre 2001, l’ange puissant d’Apocalypse, chapitre dix-huit, descendit et commença l’œuvre consistant à ramener aux « anciens sentiers » de Jérémie, chapitre six, ceux qui accepteraient et mangeraient le Pain qui venait tout juste de descendre du ciel. L’Alpha et l’Oméga avait besoin de ceux qui étaient disposés à s’efforcer d’être parmi les cent quarante-quatre mille, afin de voir que ce qui Le fit descendre du ciel le 11 août 1840 n’était pas simplement l’accomplissement d’une prophétie de temps, mais l’accomplissement de la prophétie de temps du second Malheur. Il avait besoin que Son peuple redécouvrît les anciens sentiers de l’histoire où Il avait édifié le temple des millérites au cours des quarante-six années allant de 1798 à 1844.</w:t>
      </w:r>
    </w:p>
    <w:p>
      <w:pPr>
        <w:pStyle w:val="ArticleBody"/>
        <w:jc w:val="left"/>
      </w:pPr>
      <w:r>
        <w:rPr>
          <w:rFonts w:ascii="Leelawadee UI" w:hAnsi="Leelawadee UI" w:eastAsia="Leelawadee UI" w:cs="Leelawadee UI"/>
        </w:rPr>
        <w:t>តែប្រវត្តិសាស្ត្រនោះត្រូវបានគ្របដណ្ដប់ដោយសំរាម</w:t>
      </w:r>
      <w:r>
        <w:rPr>
          <w:rFonts w:ascii="Times New Roman" w:hAnsi="Times New Roman" w:eastAsia="Times New Roman" w:cs="Times New Roman"/>
        </w:rPr>
        <w:t xml:space="preserve"> </w:t>
      </w:r>
      <w:r>
        <w:rPr>
          <w:rFonts w:ascii="Leelawadee UI" w:hAnsi="Leelawadee UI" w:eastAsia="Leelawadee UI" w:cs="Leelawadee UI"/>
        </w:rPr>
        <w:t>និងកាក់ព្រមទាំងគ្រឿងអលង្ការក្លែងក្លាយ។</w:t>
      </w:r>
      <w:r>
        <w:rPr>
          <w:rFonts w:ascii="Times New Roman" w:hAnsi="Times New Roman" w:eastAsia="Times New Roman" w:cs="Times New Roman"/>
        </w:rPr>
        <w:t xml:space="preserve"> </w:t>
      </w:r>
      <w:r>
        <w:rPr>
          <w:rFonts w:ascii="Leelawadee UI" w:hAnsi="Leelawadee UI" w:eastAsia="Leelawadee UI" w:cs="Leelawadee UI"/>
        </w:rPr>
        <w:t>ប្រវត្តិសាស្ត្រនោះត្រូវបានបំបាំងដោយសារលិខិតសារមូលដ្ឋានក្លែងក្លាយមួយ</w:t>
      </w:r>
      <w:r>
        <w:rPr>
          <w:rFonts w:ascii="Times New Roman" w:hAnsi="Times New Roman" w:eastAsia="Times New Roman" w:cs="Times New Roman"/>
        </w:rPr>
        <w:t xml:space="preserve"> </w:t>
      </w:r>
      <w:r>
        <w:rPr>
          <w:rFonts w:ascii="Leelawadee UI" w:hAnsi="Leelawadee UI" w:eastAsia="Leelawadee UI" w:cs="Leelawadee UI"/>
        </w:rPr>
        <w:t>ដែលបានសង់ឡើងលើខ្សាច់</w:t>
      </w:r>
      <w:r>
        <w:rPr>
          <w:rFonts w:ascii="Times New Roman" w:hAnsi="Times New Roman" w:eastAsia="Times New Roman" w:cs="Times New Roman"/>
        </w:rPr>
        <w:t xml:space="preserve"> </w:t>
      </w:r>
      <w:r>
        <w:rPr>
          <w:rFonts w:ascii="Leelawadee UI" w:hAnsi="Leelawadee UI" w:eastAsia="Leelawadee UI" w:cs="Leelawadee UI"/>
        </w:rPr>
        <w:t>មិនមែនលើថ្មដ៏អស់កល្បជានិច្ចនោះទេ។</w:t>
      </w:r>
      <w:r>
        <w:rPr>
          <w:rFonts w:ascii="Times New Roman" w:hAnsi="Times New Roman" w:eastAsia="Times New Roman" w:cs="Times New Roman"/>
        </w:rPr>
        <w:t xml:space="preserve"> </w:t>
      </w:r>
      <w:r>
        <w:rPr>
          <w:rFonts w:ascii="Leelawadee UI" w:hAnsi="Leelawadee UI" w:eastAsia="Leelawadee UI" w:cs="Leelawadee UI"/>
        </w:rPr>
        <w:t>វាស្ថិតនៅក្នុងប្រវត្តិសាស្ត្ររបស់ពួក</w:t>
      </w:r>
      <w:r>
        <w:rPr>
          <w:rFonts w:ascii="Times New Roman" w:hAnsi="Times New Roman" w:eastAsia="Times New Roman" w:cs="Times New Roman"/>
        </w:rPr>
        <w:t xml:space="preserve"> Millerites </w:t>
      </w:r>
      <w:r>
        <w:rPr>
          <w:rFonts w:ascii="Leelawadee UI" w:hAnsi="Leelawadee UI" w:eastAsia="Leelawadee UI" w:cs="Leelawadee UI"/>
        </w:rPr>
        <w:t>គឺជាប្រវត្តិសាស្ត្រដែល</w:t>
      </w:r>
      <w:r>
        <w:rPr>
          <w:rFonts w:ascii="Times New Roman" w:hAnsi="Times New Roman" w:eastAsia="Times New Roman" w:cs="Times New Roman"/>
        </w:rPr>
        <w:t xml:space="preserve"> </w:t>
      </w:r>
      <w:r>
        <w:rPr>
          <w:rFonts w:ascii="Leelawadee UI" w:hAnsi="Leelawadee UI" w:eastAsia="Leelawadee UI" w:cs="Leelawadee UI"/>
        </w:rPr>
        <w:t>ដូចពេត្រុសបានពិពណ៌នាថា</w:t>
      </w:r>
      <w:r>
        <w:rPr>
          <w:rFonts w:ascii="Times New Roman" w:hAnsi="Times New Roman" w:eastAsia="Times New Roman" w:cs="Times New Roman"/>
        </w:rPr>
        <w:t xml:space="preserve"> </w:t>
      </w:r>
      <w:r>
        <w:rPr>
          <w:rFonts w:ascii="Leelawadee UI" w:hAnsi="Leelawadee UI" w:eastAsia="Leelawadee UI" w:cs="Leelawadee UI"/>
        </w:rPr>
        <w:t>ពួក</w:t>
      </w:r>
      <w:r>
        <w:rPr>
          <w:rFonts w:ascii="Times New Roman" w:hAnsi="Times New Roman" w:eastAsia="Times New Roman" w:cs="Times New Roman"/>
        </w:rPr>
        <w:t xml:space="preserve"> Millerites “</w:t>
      </w:r>
      <w:r>
        <w:rPr>
          <w:rFonts w:ascii="Leelawadee UI" w:hAnsi="Leelawadee UI" w:eastAsia="Leelawadee UI" w:cs="Leelawadee UI"/>
        </w:rPr>
        <w:t>កាលពីមុនមិនមែនជាជនជាតិមួយទេ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បន្ទាប់មកបានក្លាយជា</w:t>
      </w:r>
      <w:r>
        <w:rPr>
          <w:rFonts w:ascii="Times New Roman" w:hAnsi="Times New Roman" w:eastAsia="Times New Roman" w:cs="Times New Roman"/>
        </w:rPr>
        <w:t xml:space="preserve"> “</w:t>
      </w:r>
      <w:r>
        <w:rPr>
          <w:rFonts w:ascii="Leelawadee UI" w:hAnsi="Leelawadee UI" w:eastAsia="Leelawadee UI" w:cs="Leelawadee UI"/>
        </w:rPr>
        <w:t>ប្រជាជនរបស់ព្រះ</w:t>
      </w:r>
      <w:r>
        <w:rPr>
          <w:rFonts w:ascii="Times New Roman" w:hAnsi="Times New Roman" w:eastAsia="Times New Roman" w:cs="Times New Roman"/>
        </w:rPr>
        <w:t xml:space="preserve">” </w:t>
      </w:r>
      <w:r>
        <w:rPr>
          <w:rFonts w:ascii="Leelawadee UI" w:hAnsi="Leelawadee UI" w:eastAsia="Leelawadee UI" w:cs="Leelawadee UI"/>
        </w:rPr>
        <w:t>ដែលត្រូវបានលើកឡើង</w:t>
      </w:r>
      <w:r>
        <w:rPr>
          <w:rFonts w:ascii="Times New Roman" w:hAnsi="Times New Roman" w:eastAsia="Times New Roman" w:cs="Times New Roman"/>
        </w:rPr>
        <w:t xml:space="preserve"> </w:t>
      </w:r>
      <w:r>
        <w:rPr>
          <w:rFonts w:ascii="Leelawadee UI" w:hAnsi="Leelawadee UI" w:eastAsia="Leelawadee UI" w:cs="Leelawadee UI"/>
        </w:rPr>
        <w:t>និងកសាងឡើងជា</w:t>
      </w:r>
      <w:r>
        <w:rPr>
          <w:rFonts w:ascii="Times New Roman" w:hAnsi="Times New Roman" w:eastAsia="Times New Roman" w:cs="Times New Roman"/>
        </w:rPr>
        <w:t xml:space="preserve"> “</w:t>
      </w:r>
      <w:r>
        <w:rPr>
          <w:rFonts w:ascii="Leelawadee UI" w:hAnsi="Leelawadee UI" w:eastAsia="Leelawadee UI" w:cs="Leelawadee UI"/>
        </w:rPr>
        <w:t>ផ្ទះខាងវិញ្ញាណ</w:t>
      </w:r>
      <w:r>
        <w:rPr>
          <w:rFonts w:ascii="Times New Roman" w:hAnsi="Times New Roman" w:eastAsia="Times New Roman" w:cs="Times New Roman"/>
        </w:rPr>
        <w:t xml:space="preserve"> </w:t>
      </w:r>
      <w:r>
        <w:rPr>
          <w:rFonts w:ascii="Leelawadee UI" w:hAnsi="Leelawadee UI" w:eastAsia="Leelawadee UI" w:cs="Leelawadee UI"/>
        </w:rPr>
        <w:t>ជាបព្វជិតដ៏បរិសុទ្ធមួយ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សិង្ហនៃកុលសម្ព័ន្ធយូដាបានយាងចុះមកនៅថ្ងៃទី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ហើយបានដឹកនាំប្រជាជននៃថ្ងៃចុងក្រោយរបស់ទ្រង់ចូលទៅក្នុងកិច្ចការសម្អាត</w:t>
      </w:r>
      <w:r>
        <w:rPr>
          <w:rFonts w:ascii="Times New Roman" w:hAnsi="Times New Roman" w:eastAsia="Times New Roman" w:cs="Times New Roman"/>
        </w:rPr>
        <w:t xml:space="preserve"> “</w:t>
      </w:r>
      <w:r>
        <w:rPr>
          <w:rFonts w:ascii="Leelawadee UI" w:hAnsi="Leelawadee UI" w:eastAsia="Leelawadee UI" w:cs="Leelawadee UI"/>
        </w:rPr>
        <w:t>ព្រះវិហារ</w:t>
      </w:r>
      <w:r>
        <w:rPr>
          <w:rFonts w:ascii="Times New Roman" w:hAnsi="Times New Roman" w:eastAsia="Times New Roman" w:cs="Times New Roman"/>
        </w:rPr>
        <w:t xml:space="preserve">” </w:t>
      </w:r>
      <w:r>
        <w:rPr>
          <w:rFonts w:ascii="Leelawadee UI" w:hAnsi="Leelawadee UI" w:eastAsia="Leelawadee UI" w:cs="Leelawadee UI"/>
        </w:rPr>
        <w:t>នៃប្រវត្តិសាស្ត្រនៃការលើកឡើងព្រះវិហាររបស់ពួក</w:t>
      </w:r>
      <w:r>
        <w:rPr>
          <w:rFonts w:ascii="Times New Roman" w:hAnsi="Times New Roman" w:eastAsia="Times New Roman" w:cs="Times New Roman"/>
        </w:rPr>
        <w:t xml:space="preserve"> Millerites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កិច្ចការនោះត្រូវបានបង្ហាញជាគំរូទុកជាមុនដោយព្រះបន្ទូលទំនាយមួយ</w:t>
      </w:r>
      <w:r>
        <w:rPr>
          <w:rFonts w:ascii="Times New Roman" w:hAnsi="Times New Roman" w:eastAsia="Times New Roman" w:cs="Times New Roman"/>
        </w:rPr>
        <w:t xml:space="preserve"> </w:t>
      </w:r>
      <w:r>
        <w:rPr>
          <w:rFonts w:ascii="Leelawadee UI" w:hAnsi="Leelawadee UI" w:eastAsia="Leelawadee UI" w:cs="Leelawadee UI"/>
        </w:rPr>
        <w:t>ដែលបានទាយទុកថា</w:t>
      </w:r>
      <w:r>
        <w:rPr>
          <w:rFonts w:ascii="Times New Roman" w:hAnsi="Times New Roman" w:eastAsia="Times New Roman" w:cs="Times New Roman"/>
        </w:rPr>
        <w:t xml:space="preserve"> </w:t>
      </w:r>
      <w:r>
        <w:rPr>
          <w:rFonts w:ascii="Leelawadee UI" w:hAnsi="Leelawadee UI" w:eastAsia="Leelawadee UI" w:cs="Leelawadee UI"/>
        </w:rPr>
        <w:t>ព្រះអម្ចាស់នឹងលើកបុរសម្នាក់ឈ្មោះ</w:t>
      </w:r>
      <w:r>
        <w:rPr>
          <w:rFonts w:ascii="Times New Roman" w:hAnsi="Times New Roman" w:eastAsia="Times New Roman" w:cs="Times New Roman"/>
        </w:rPr>
        <w:t xml:space="preserve"> Josiah </w:t>
      </w:r>
      <w:r>
        <w:rPr>
          <w:rFonts w:ascii="Leelawadee UI" w:hAnsi="Leelawadee UI" w:eastAsia="Leelawadee UI" w:cs="Leelawadee UI"/>
        </w:rPr>
        <w:t>ឡើង</w:t>
      </w:r>
      <w:r>
        <w:rPr>
          <w:rFonts w:ascii="Times New Roman" w:hAnsi="Times New Roman" w:eastAsia="Times New Roman" w:cs="Times New Roman"/>
        </w:rPr>
        <w:t xml:space="preserve">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មូលដ្ឋានរបស់ព្រះ</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Wakati Yosia alipoondoshwa kwa kutimizwa kwa unabii wa nabii yule asiiyetii, alianza kazi ya kuitengeneza hekalu lililokuwa katika hali ya uharibifu. Katika kazi ya kulitengeneza na kulisafisha, “laana ya Musa” iligunduliwa, nayo iliposomwa mbele ya Yosia ikaleta matengenezo ya Yosia. Tutashughulikia unabii huo, kwa uhusiano na ugunduzi upya wa “nyakati saba,” baada ya Septemba 11, 2001.</w:t>
      </w:r>
    </w:p>
    <w:p>
      <w:pPr>
        <w:pStyle w:val="ArticleBody"/>
        <w:jc w:val="left"/>
      </w:pPr>
      <w:r>
        <w:rPr>
          <w:rFonts w:ascii="Times New Roman" w:hAnsi="Times New Roman" w:eastAsia="Times New Roman" w:cs="Times New Roman"/>
        </w:rPr>
        <w:t>Tunaanza somo hilo katika makala inayofuata.</w:t>
      </w:r>
    </w:p>
    <w:p>
      <w:pPr>
        <w:pStyle w:val="ArticleScripture"/>
        <w:jc w:val="left"/>
      </w:pPr>
      <w:r>
        <w:rPr>
          <w:rFonts w:ascii="Times New Roman" w:hAnsi="Times New Roman" w:eastAsia="Times New Roman" w:cs="Times New Roman"/>
        </w:rPr>
        <w:t>“Tek dühet ndị na-ekwupụta eziokwu ahụ na-ejere Setan ozi, onyinyo ala mmụọ ya ga-egbochi ha ịhụ Chineke na eluigwe. Ha ga-adị ka ndị tufuru ịhụnanya mbụ ha. Ha enweghị ike ile eziokwu ebighị ebi anya. A na-anọchi anya ihe ahụ Chineke kwadebere anyị n’akwụkwọ Zekaraya, isi nke 3 na 4, na 4:12–14: ‘M wee zaa ọzọ, sị ya, Gịnị bụ alaka olive abụọ ndị a nke, site n’ime paịpụ ọlaedo abụọ ahụ, na-awụsa mmanụ ọlaedo ahụ si n’ime onwe ha pụta? O wee zaa m, sị, Ì maghị ihe ndị a bụ? M wee sị, Mba, Onyenwe m. O wee sị, Ndị a bụ ndị e tere mmanụ abụọ ahụ, ndị na-eguzo n’akụkụ Onyenwe nke ụwa nile.’”</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संसाधनों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सांसारिकता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अविश्वास</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बातचीत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अंधकारमय</w:t>
      </w:r>
      <w:r>
        <w:rPr>
          <w:rFonts w:ascii="Times New Roman" w:hAnsi="Times New Roman" w:eastAsia="Times New Roman" w:cs="Times New Roman"/>
        </w:rPr>
        <w:t xml:space="preserve"> </w:t>
      </w:r>
      <w:r>
        <w:rPr>
          <w:rFonts w:ascii="Nirmala UI" w:hAnsi="Nirmala UI" w:eastAsia="Nirmala UI" w:cs="Nirmala UI"/>
        </w:rPr>
        <w:t>छायाएँ</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श्रेष्ठतम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व्यर्थता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संतुष्ट</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निकटदर्शी</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क्रुद्ध</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छूटकर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«Будем ли мы спать у самого порога вечного мира? Будем ли мы вялыми, холодными и мёртвыми? О, если бы в наших церквах Дух и дыхание Божие были вдунуты в Его народ, чтобы они стали на ноги свои и ожили. Нам необходимо увидеть, что путь тесен и врата узки. Но когда мы проходим сквозь тесные врата, широта их безгранична». Manuscript Releases, том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Nambari Mia Moja na Sita</dc:title>
  <dc:subject>Dévoilement du Jugement : du 11 septembre à la loi du dimanche – une analyse prophétique</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