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huit</w:t>
      </w:r>
    </w:p>
    <w:p>
      <w:pPr>
        <w:pStyle w:val="ArticleSubtitle"/>
        <w:jc w:val="left"/>
      </w:pPr>
      <w:r>
        <w:rPr>
          <w:rFonts w:ascii="Arial" w:hAnsi="Arial" w:eastAsia="Arial" w:cs="Arial"/>
        </w:rPr>
        <w:t>Kufunua Ishara za Kinabii: Uchambuzi wa Kina wa Tarumbeta Saba katika Ufunuo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a primit o mare lumină asupra celor şapte biserici, a celor şapte peceţi şi a celor şapte trâmbiţe din cartea Apocalipsei. El a aşezat aceste simboluri profetice în cadrul celor două puteri pustiitoare: păgânismul, urmat de papalitate. Nu a văzut fiecare trăsătură profetică a acestor simboluri, dar ceea ce a văzut a statornicit înţelegerea fundamentală a istoriei interne şi a istoriei externe a bisericii lui Dumnezeu, de la timpul apostolilor până la sfârşitul lumii. Istoria internă era reprezentată de biserici, iar istoria externă a bisericilor era reprezentată de peceţi. El a văzut că trâmbiţele erau simboluri ale judecăţii lui Dumnezeu asupra Romei, care preînchipuia judecata lui Dumnezeu asupra Romei la sfârşitul lumii, deşi nu a văzut că Roma de la sfârşitul lumii era alcătuită dintr-o întreită unire.</w:t>
      </w:r>
    </w:p>
    <w:p>
      <w:pPr>
        <w:pStyle w:val="ArticleBody"/>
        <w:jc w:val="left"/>
      </w:pPr>
      <w:r>
        <w:rPr>
          <w:rFonts w:ascii="Times New Roman" w:hAnsi="Times New Roman" w:eastAsia="Times New Roman" w:cs="Times New Roman"/>
        </w:rPr>
        <w:t>Nkitahisomwa na Uriah Smith chenye kichwa Daniel and Revelation kina mawazo fulani yenye makosa, lakini kilitambuliwa na Sister White kuwa “mkono wa msaada wa Mungu.” Alibainisha kwamba kilipaswa kusambazwa pamoja na The Great Controversy, Patriarchs and Prophets, na The Desire of Ages. Uungaji mkono wake wenye nguvu haukumaanisha kwamba kitabu hicho kilikuwa katika kiwango kilekile cha uvuvio kama vitabu vyake, bali kwamba kilikuwa na “mafundisho makuu,” na kwamba kimekuwa na wajibu wa “kuwaleta roho nyingi za thamani kwenye ujuzi wa kweli.”</w:t>
      </w:r>
    </w:p>
    <w:p>
      <w:pPr>
        <w:pStyle w:val="ArticleBody"/>
        <w:jc w:val="left"/>
      </w:pPr>
      <w:r>
        <w:rPr>
          <w:rFonts w:ascii="Times New Roman" w:hAnsi="Times New Roman" w:eastAsia="Times New Roman" w:cs="Times New Roman"/>
        </w:rPr>
        <w:t>Le livre emploie la logique prophétique millérite, accompagnée de conceptions de la prophétie qui n’avaient pas été vues avant le 22 octobre 1844. Nous nous référerons à des passages du livre en exposant la triple application des trois Malheurs.</w:t>
      </w:r>
    </w:p>
    <w:p>
      <w:pPr>
        <w:pStyle w:val="ArticleBody"/>
        <w:jc w:val="left"/>
      </w:pPr>
      <w:r>
        <w:rPr>
          <w:rFonts w:ascii="Times New Roman" w:hAnsi="Times New Roman" w:eastAsia="Times New Roman" w:cs="Times New Roman"/>
        </w:rPr>
        <w:t>Miller déclara que « les sept trompettes sont l’histoire de sept jugements particuliers et sévères envoyés sur la terre, ou royaume romain ». Les quatre premières trompettes représentent les jugements qui furent exercés contre la Rome païenne, et les cinquième et sixième trompettes furent les jugements de Dieu qui s’abattirent sur la Rome papale ; mais Miller n’aurait pas reconnu que la septième trompette représentait le jugement de Dieu sur la Rome moderne. Parlant des sept sceaux et des sept trompettes de l’Apocalypse, Uriah Smith écrivit :</w:t>
      </w:r>
    </w:p>
    <w:p>
      <w:pPr>
        <w:pStyle w:val="ArticleScripture"/>
        <w:jc w:val="left"/>
      </w:pPr>
      <w:r>
        <w:rPr>
          <w:rFonts w:ascii="Times New Roman" w:hAnsi="Times New Roman" w:eastAsia="Times New Roman" w:cs="Times New Roman"/>
        </w:rPr>
        <w:t>« Ayant pris le livre, l’Agneau procède aussitôt à l’ouverture des sceaux; et l’attention de l’apôtre est attirée sur les scènes qui se déroulent sous chacun des sceaux. Le nombre sept a déjà été signalé comme désignant dans les Écritures la plénitude et la perfection. Les sept sceaux embrassent donc la totalité d’une certaine catégorie d’événements; dire qu’ils s’étendent peut-être jusqu’au temps de Constantin, et que les sept trompettes constitueraient une autre série à partir de ce temps et au-delà, ne saurait être exact. Les trompettes désignent une série d’événements qui se produisent simultanément avec les événements des sceaux, mais d’un caractère entièrement différent. Une trompette est un symbole de guerre; dès lors, les trompettes désignent de grands bouleversements politiques devant avoir lieu parmi les nations durant l’ère de l’Évangile. Les sceaux désignent des événements d’ordre religieux et renferment l’histoire de l’Église depuis l’ouverture de l’ère chrétienne jusqu’à la venue du Christ. » Uriah Smith, Daniel and Revelation, 431.</w:t>
      </w:r>
    </w:p>
    <w:p>
      <w:pPr>
        <w:pStyle w:val="ArticleBody"/>
        <w:jc w:val="left"/>
      </w:pPr>
      <w:r>
        <w:rPr>
          <w:rFonts w:ascii="Times New Roman" w:hAnsi="Times New Roman" w:eastAsia="Times New Roman" w:cs="Times New Roman"/>
        </w:rPr>
        <w:t>Бору — соғыс пен саяси толқудың нышаны. Смит Аян кітабының сегізінші тарауының екінші аяты туралы былай дейді:</w:t>
      </w:r>
    </w:p>
    <w:p>
      <w:pPr>
        <w:pStyle w:val="ArticleScripture"/>
        <w:jc w:val="left"/>
      </w:pPr>
      <w:r>
        <w:rPr>
          <w:rFonts w:ascii="Times New Roman" w:hAnsi="Times New Roman" w:eastAsia="Times New Roman" w:cs="Times New Roman"/>
        </w:rPr>
        <w:t>« VERSET 2. Et je vis les sept anges qui se tenaient devant Dieu ; et sept trompettes leur furent données. »</w:t>
      </w:r>
    </w:p>
    <w:p>
      <w:pPr>
        <w:pStyle w:val="ArticleScripture"/>
        <w:jc w:val="left"/>
      </w:pPr>
      <w:r>
        <w:rPr>
          <w:rFonts w:ascii="Times New Roman" w:hAnsi="Times New Roman" w:eastAsia="Times New Roman" w:cs="Times New Roman"/>
        </w:rPr>
        <w:t>«Այս համարը ներկայացնում է իրադարձությունների նոր և առանձին շարք։ Կնիքների մեջ մենք տեսանք եկեղեցու պատմությունը այն ժամանակահատվածում, որը կոչվում է ավետարանի տնտեսություն։ Այժմ ներկայացվող յոթ փողերի մեջ մենք տեսնում ենք գլխավոր քաղաքական և պատերազմական իրադարձությունները, որոնք պետք է տեղի ունենային նույն ժամանակաշրջանի ընթացքում»։ Ուրիա Սմիթ, Daniel and Revelation, 476.</w:t>
      </w:r>
    </w:p>
    <w:p>
      <w:pPr>
        <w:pStyle w:val="ArticleBody"/>
        <w:jc w:val="left"/>
      </w:pPr>
      <w:r>
        <w:rPr>
          <w:rFonts w:ascii="Times New Roman" w:hAnsi="Times New Roman" w:eastAsia="Times New Roman" w:cs="Times New Roman"/>
        </w:rPr>
        <w:t>Ndị mmụọ ozi asaa ahụ, ndị nwere opi asaa, kwadebere ịfụ opi n’azụ mmeghe nke akara nke asaa, ebe a na-emeghe akara nke asaa n’ime amaokwu isii mbụ nke Mkpughe, isi nke asatọ.</w:t>
      </w:r>
    </w:p>
    <w:p>
      <w:pPr>
        <w:pStyle w:val="ArticleScripture"/>
        <w:jc w:val="left"/>
      </w:pPr>
      <w:r>
        <w:rPr>
          <w:rFonts w:ascii="Times New Roman" w:hAnsi="Times New Roman" w:eastAsia="Times New Roman" w:cs="Times New Roman"/>
        </w:rPr>
        <w:t>Lut ngaa nga a nngok tamtûm boina boi, akei thangthôi ah rei hriam a awm a, dâr chanve vel. Tin, Pathian hmaah ding vântirhkoh sarihte chu ka hmu a; an hnênah sumdâwi sarihte pek an ni. Tin, vântirhkoh dang pakhat a lo kal a, maichâm bulaah a ding a, khaikhâwlnâ puanrang sen a nei a; tin, a hnênah rimtui tam tak pek a ni, chutichuan Lalṭhianthuam hmaah awm maichâm rangkachak chungah mi thianghlim zawng zawng tawngṭainate nên a hlân theih nân. Tin, rimtui meikhu chu, mi thianghlimte tawngṭainate nên, vântirhkoh kut ata Pathian hmaah a chho ta a. Tin, vântirhkoh chuan khaikhâwlnâ chu a la a, maichâm meiin a khat a, leiah a paih thla a: tin, aw thâwngte, khuaiawrte, êngṭhingte, leh ling nasa tak a awm ta a. Tin, sumdâwi sarihte nei vântirhkoh sarihte chuan an tum buatsaih ta a. Thupuan 8:1–6.</w:t>
      </w:r>
    </w:p>
    <w:p>
      <w:pPr>
        <w:pStyle w:val="ArticleBody"/>
        <w:jc w:val="left"/>
      </w:pPr>
      <w:r>
        <w:rPr>
          <w:rFonts w:ascii="Times New Roman" w:hAnsi="Times New Roman" w:eastAsia="Times New Roman" w:cs="Times New Roman"/>
        </w:rPr>
        <w:t>Er is een profetische anomalie die wij in eerdere artikelen hebben onderkend, maar waarvan wij het bijzondere profetische verschijnsel nog niet uitdrukkelijk hebben behandeld. Die anomalie bestaat hierin, dat symbolen die een opeenvolging van wegmarkeringen in de profetische geschiedenis voorstellen, alle tezamen worden samengebracht in de afsluiting van de geschiedenis die zij vertegenwoordigen. Wij hebben aangetoond dat de vier generaties van het Laodiceïsche adventisme, voorgesteld door de vier gruwelen van Ezechiël hoofdstuk acht, specifieke wegmarkeringen aanduidden, maar dat elk van deze zich, als een beproeving, herhaalt in de geschiedenis van de verzegeling van de honderd vierenveertigduizend. Deze anomalie wordt ook aangetroffen in de zeven bazuinen; want hoewel zij specifieke oordelen over het heidense, pauselijke en moderne Rome voorstellen, komen zij alle wederom tezamen wanneer het uitvoerende oordeel over het moderne Rome aanvangt bij de spoedig komende zondagswet.</w:t>
      </w:r>
    </w:p>
    <w:p>
      <w:pPr>
        <w:pStyle w:val="ArticleBody"/>
        <w:jc w:val="left"/>
      </w:pPr>
      <w:r>
        <w:rPr>
          <w:rFonts w:ascii="Times New Roman" w:hAnsi="Times New Roman" w:eastAsia="Times New Roman" w:cs="Times New Roman"/>
        </w:rPr>
        <w:t>Les sept trompettes ont des dates précises auxquelles elles se sont accomplies dans le passé, mais Sœur White situe également les sept anges aux sept trompettes d’Apocalypse, chapitre huit, dans l’histoire de la loi dominicale imminente.</w:t>
      </w:r>
    </w:p>
    <w:p>
      <w:pPr>
        <w:pStyle w:val="ArticleScripture"/>
        <w:jc w:val="left"/>
      </w:pPr>
      <w:r>
        <w:rPr>
          <w:rFonts w:ascii="Times New Roman" w:hAnsi="Times New Roman" w:eastAsia="Times New Roman" w:cs="Times New Roman"/>
        </w:rPr>
        <w:t>«Եվ երբ նա բացեց հինգերորդ կնիքը, ես սեղանի տակ տեսա նրանց հոգիները, որ սպանվել էին Աստծու խոսքի համար և այն վկայության համար, որ պահում էին. և նրանք բարձր ձայնով աղաղակում էին՝ ասելով. Մինչև ե՞րբ, ո՛վ Տեր, Սուրբ և Ճշմարիտ, չես դատում և չես վրէժխնդրում մեր արյունը երկրի վրա բնակվողներից։ Եվ նրանցից յուրաքանչյուրին տրվեցին սպիտակ հանդերձներ [Նրանք հռչակվեցին մաքուր և սուրբ], և նրանց ասվեց, որ դեռ մի փոքր ժամանակ հանգստանան, մինչև որ լրացվի նաև իրենց ծառայակիցների և իրենց եղբայրների թիվը, որոնք պետք է սպանվեին, ինչպես իրենք» [Հայտնություն 6:9–11]։ Այստեղ Հովհաննեսին ներկայացված էին տեսարաններ, որոնք իրականության մեջ այդ պահին չէին, այլ այն, ինչ լինելու էր ապագայում՝ ժամանակի մի որոշակի շրջանում։</w:t>
      </w:r>
    </w:p>
    <w:p>
      <w:pPr>
        <w:pStyle w:val="ArticleScripture"/>
        <w:jc w:val="left"/>
      </w:pPr>
      <w:r>
        <w:rPr>
          <w:rFonts w:ascii="Times New Roman" w:hAnsi="Times New Roman" w:eastAsia="Times New Roman" w:cs="Times New Roman"/>
        </w:rPr>
        <w:t>«Révélation 8:1–4 cité.» Manuscript Releases, volume 20, 197.</w:t>
      </w:r>
    </w:p>
    <w:p>
      <w:pPr>
        <w:pStyle w:val="ArticleBody"/>
        <w:jc w:val="left"/>
      </w:pPr>
      <w:r>
        <w:rPr>
          <w:rFonts w:ascii="Times New Roman" w:hAnsi="Times New Roman" w:eastAsia="Times New Roman" w:cs="Times New Roman"/>
        </w:rPr>
        <w:t>Au passage précédent, Sœur White applique le dialogue et l’accomplissement du cinquième sceau à la période où les sept anges sont sur le point de sonner, au chapitre huit; mais elle situe aussi cette même représentation dans l’histoire des deux voix d’Apocalypse, chapitre dix-huit.</w:t>
      </w:r>
    </w:p>
    <w:p>
      <w:pPr>
        <w:pStyle w:val="ArticleScripture"/>
        <w:jc w:val="left"/>
      </w:pPr>
      <w:r>
        <w:rPr>
          <w:rFonts w:ascii="Times New Roman" w:hAnsi="Times New Roman" w:eastAsia="Times New Roman" w:cs="Times New Roman"/>
        </w:rPr>
        <w:t>“Da det femte segl ble åpnet, så Johannes Åpenbareren i syn under alteret den skare som var blitt drept for Guds Ord og Jesu Kristi vitnesbyrd. Etter dette fulgte de scener som er beskrevet i det attende kapittel av Åpenbaringen, da de som er trofaste og sanne, blir kalt ut fra Babylon. [Åpenbaringen 18:1–5, sitert.]” Manuscript Releases, bind 20, 14.</w:t>
      </w:r>
    </w:p>
    <w:p>
      <w:pPr>
        <w:pStyle w:val="ArticleBody"/>
        <w:jc w:val="left"/>
      </w:pPr>
      <w:r>
        <w:rPr>
          <w:rFonts w:ascii="Times New Roman" w:hAnsi="Times New Roman" w:eastAsia="Times New Roman" w:cs="Times New Roman"/>
        </w:rPr>
        <w:t>Ettita mezmurat yewaklalu yəʾEgziʾabəher fitḥ be-tarikə nägästawi, papawi,na zämänawi Roma, nägär gän inäzih degmo yätäwäkälu be-tarikə mäsqäl 11, 2001,na hulättäñña dəms yäqärəbäw yäSänbät hig. Uriah Smith qädämawi sidist qälat yäMäṣḥafä Räʾy mälkəʾ 8 kägäbäñña bohala, qädämawi arat mezmurat täarikawi molfəññätocčäw mäqäräb yäjemmir.</w:t>
      </w:r>
    </w:p>
    <w:p>
      <w:pPr>
        <w:pStyle w:val="ArticleScripture"/>
        <w:jc w:val="left"/>
      </w:pPr>
      <w:r>
        <w:rPr>
          <w:rFonts w:ascii="Times New Roman" w:hAnsi="Times New Roman" w:eastAsia="Times New Roman" w:cs="Times New Roman"/>
        </w:rPr>
        <w:t>«El tema de las siete trompetas se retoma aquí, y ocupa el resto de este capítulo y todo el capítulo 9. Los siete ángeles se preparan para tocar. Su toque se presenta como complemento de la profecía de Daniel 2 y 7, comenzando con la desintegración del antiguo imperio romano en sus diez divisiones, de las cuales, en las primeras cuatro trompetas, tenemos una descripción». Uriah Smith, Daniel and Revelation, 477.</w:t>
      </w:r>
    </w:p>
    <w:p>
      <w:pPr>
        <w:pStyle w:val="ArticleBody"/>
        <w:jc w:val="left"/>
      </w:pPr>
      <w:r>
        <w:rPr>
          <w:rFonts w:ascii="Times New Roman" w:hAnsi="Times New Roman" w:eastAsia="Times New Roman" w:cs="Times New Roman"/>
        </w:rPr>
        <w:t>Smith ataonyesha kwamba parapanda nne za kwanza zilikuwa hukumu za Mungu juu ya Rumi ya kipagani. Ananukuu aya ya saba, inayotambulisha sifa za kinabii za parapanda ya kwanza, kisha anaonyesha utimilifu wake wa kihistoria.</w:t>
      </w:r>
    </w:p>
    <w:p>
      <w:pPr>
        <w:pStyle w:val="ArticleScripture"/>
        <w:jc w:val="left"/>
      </w:pPr>
      <w:r>
        <w:rPr>
          <w:rFonts w:ascii="Times New Roman" w:hAnsi="Times New Roman" w:eastAsia="Times New Roman" w:cs="Times New Roman"/>
        </w:rPr>
        <w:t>«Римыд фæстагдæр уæлдæрдзинады фæндаджы Уæстæр Римыл фæллад куыд æмæ тæвд хъуыддагæй æрцыд, уый уыд Готтæтимæ Алæрихы хъæбатырдзинад, кæцы фæстæдæр бæстæмæ хызтæн фæндаг байгом кодта. Феодосийы, Римы паддзахы, мæлæт 395 азы январы равдыст, æмæ тæвдæн фæстагæй нæ фæстæг уыцы зымæджы кæронмæ Готтæ Алæрихы раздзæуджытимæ империæйы ныхмæ æрлæууыдысты.»</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ការឈ្លានពានលើកទីមួយក្រោមការដឹកនាំរបស់</w:t>
      </w:r>
      <w:r>
        <w:rPr>
          <w:rFonts w:ascii="Times New Roman" w:hAnsi="Times New Roman" w:eastAsia="Times New Roman" w:cs="Times New Roman"/>
        </w:rPr>
        <w:t xml:space="preserve"> Alaric </w:t>
      </w:r>
      <w:r>
        <w:rPr>
          <w:rFonts w:ascii="Leelawadee UI" w:hAnsi="Leelawadee UI" w:eastAsia="Leelawadee UI" w:cs="Leelawadee UI"/>
        </w:rPr>
        <w:t>បានបំផ្លិចបំផ្លាញ</w:t>
      </w:r>
      <w:r>
        <w:rPr>
          <w:rFonts w:ascii="Times New Roman" w:hAnsi="Times New Roman" w:eastAsia="Times New Roman" w:cs="Times New Roman"/>
        </w:rPr>
        <w:t xml:space="preserve"> Thrace, Macedonia, Attica </w:t>
      </w:r>
      <w:r>
        <w:rPr>
          <w:rFonts w:ascii="Leelawadee UI" w:hAnsi="Leelawadee UI" w:eastAsia="Leelawadee UI" w:cs="Leelawadee UI"/>
        </w:rPr>
        <w:t>និង</w:t>
      </w:r>
      <w:r>
        <w:rPr>
          <w:rFonts w:ascii="Times New Roman" w:hAnsi="Times New Roman" w:eastAsia="Times New Roman" w:cs="Times New Roman"/>
        </w:rPr>
        <w:t xml:space="preserve"> Peloponnesus </w:t>
      </w:r>
      <w:r>
        <w:rPr>
          <w:rFonts w:ascii="Leelawadee UI" w:hAnsi="Leelawadee UI" w:eastAsia="Leelawadee UI" w:cs="Leelawadee UI"/>
        </w:rPr>
        <w:t>ប៉ុន្តែមិនបានទៅដល់ទីក្រុង</w:t>
      </w:r>
      <w:r>
        <w:rPr>
          <w:rFonts w:ascii="Times New Roman" w:hAnsi="Times New Roman" w:eastAsia="Times New Roman" w:cs="Times New Roman"/>
        </w:rPr>
        <w:t xml:space="preserve"> Rome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ក្នុងការឈ្លានពានលើកទីពីរ</w:t>
      </w:r>
      <w:r>
        <w:rPr>
          <w:rFonts w:ascii="Times New Roman" w:hAnsi="Times New Roman" w:eastAsia="Times New Roman" w:cs="Times New Roman"/>
        </w:rPr>
        <w:t xml:space="preserve"> </w:t>
      </w:r>
      <w:r>
        <w:rPr>
          <w:rFonts w:ascii="Leelawadee UI" w:hAnsi="Leelawadee UI" w:eastAsia="Leelawadee UI" w:cs="Leelawadee UI"/>
        </w:rPr>
        <w:t>មេដឹកនាំ</w:t>
      </w:r>
      <w:r>
        <w:rPr>
          <w:rFonts w:ascii="Times New Roman" w:hAnsi="Times New Roman" w:eastAsia="Times New Roman" w:cs="Times New Roman"/>
        </w:rPr>
        <w:t xml:space="preserve"> Goth </w:t>
      </w:r>
      <w:r>
        <w:rPr>
          <w:rFonts w:ascii="Leelawadee UI" w:hAnsi="Leelawadee UI" w:eastAsia="Leelawadee UI" w:cs="Leelawadee UI"/>
        </w:rPr>
        <w:t>បានឆ្លងកាត់</w:t>
      </w:r>
      <w:r>
        <w:rPr>
          <w:rFonts w:ascii="Times New Roman" w:hAnsi="Times New Roman" w:eastAsia="Times New Roman" w:cs="Times New Roman"/>
        </w:rPr>
        <w:t xml:space="preserve"> Alps </w:t>
      </w:r>
      <w:r>
        <w:rPr>
          <w:rFonts w:ascii="Leelawadee UI" w:hAnsi="Leelawadee UI" w:eastAsia="Leelawadee UI" w:cs="Leelawadee UI"/>
        </w:rPr>
        <w:t>និង</w:t>
      </w:r>
      <w:r>
        <w:rPr>
          <w:rFonts w:ascii="Times New Roman" w:hAnsi="Times New Roman" w:eastAsia="Times New Roman" w:cs="Times New Roman"/>
        </w:rPr>
        <w:t xml:space="preserve"> Apennines </w:t>
      </w:r>
      <w:r>
        <w:rPr>
          <w:rFonts w:ascii="Leelawadee UI" w:hAnsi="Leelawadee UI" w:eastAsia="Leelawadee UI" w:cs="Leelawadee UI"/>
        </w:rPr>
        <w:t>ហើយបានមកដល់មុខកំពែងនៃ</w:t>
      </w:r>
      <w:r>
        <w:rPr>
          <w:rFonts w:ascii="Times New Roman" w:hAnsi="Times New Roman" w:eastAsia="Times New Roman" w:cs="Times New Roman"/>
        </w:rPr>
        <w:t xml:space="preserve"> ‘</w:t>
      </w:r>
      <w:r>
        <w:rPr>
          <w:rFonts w:ascii="Leelawadee UI" w:hAnsi="Leelawadee UI" w:eastAsia="Leelawadee UI" w:cs="Leelawadee UI"/>
        </w:rPr>
        <w:t>ទីក្រុងអមតៈ</w:t>
      </w:r>
      <w:r>
        <w:rPr>
          <w:rFonts w:ascii="Times New Roman" w:hAnsi="Times New Roman" w:eastAsia="Times New Roman" w:cs="Times New Roman"/>
        </w:rPr>
        <w:t xml:space="preserve">’ </w:t>
      </w:r>
      <w:r>
        <w:rPr>
          <w:rFonts w:ascii="Leelawadee UI" w:hAnsi="Leelawadee UI" w:eastAsia="Leelawadee UI" w:cs="Leelawadee UI"/>
        </w:rPr>
        <w:t>ដែលមិនយូរប៉ុន្មានក៏បានធ្លាក់ជាចំណីនៃកំហឹងរបស់ពួកព្រៃផ្សៃ</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 L’explosion de la première trompette se situe vers la fin du quatrième siècle et au-delà, et se rapporte à ces invasions dévastatrices de l’Empire romain sous les Goths. » Uriah Smith, Daniel and Revelation, 478.</w:t>
      </w:r>
    </w:p>
    <w:p>
      <w:pPr>
        <w:pStyle w:val="ArticleBody"/>
        <w:jc w:val="left"/>
      </w:pPr>
      <w:r>
        <w:rPr>
          <w:rFonts w:ascii="Times New Roman" w:hAnsi="Times New Roman" w:eastAsia="Times New Roman" w:cs="Times New Roman"/>
        </w:rPr>
        <w:t>Smith anamtambua Alaric kuwa ishara ya hukumu ya Mungu juu ya Roma ya kipagani inayowakilishwa na baragumu ya kwanza. Kila moja ya baragumu hizo ina mhusika wa kihistoria anayewakilisha baragumu hiyo; Alaric anawakilisha kuwasili kwa baragumu ya kwanza tangu mwisho wa karne ya nne. Miller hangeweza kuona kwamba baragumu hii ililetwa juu ya Roma kwa sababu ya utekelezwaji wa sheria ya Jumapili, kwa maana Miller alikuwa mshika Jumapili. Smith naye pia hakulitambua jambo hili, lakini Smith alitambua kwamba sheria ya kwanza ya Jumapili iliyotekelezwa iliwekwa na Constantine katika mwaka wa 321. Kanuni ya kiunabii ya jumla inayohusiana na utekelezwaji wa sheria ya Jumapili huwa ni ileile sikuzote, kwa maana Mungu habadiliki kamwe, na kanuni hiyo ni kwamba “uasi wa kitaifa hufuatiwa na maangamizi ya kitaifa”. Alaric anawakilisha mwanzo wa maangamizi ya kitaifa yaliyoanza katika kipindi kilekile ambacho Constantine alipitisha sheria ya kwanza ya Jumapili.</w:t>
      </w:r>
    </w:p>
    <w:p>
      <w:pPr>
        <w:pStyle w:val="ArticleBody"/>
        <w:jc w:val="left"/>
      </w:pPr>
      <w:r>
        <w:rPr>
          <w:rFonts w:ascii="Times New Roman" w:hAnsi="Times New Roman" w:eastAsia="Times New Roman" w:cs="Times New Roman"/>
        </w:rPr>
        <w:t>Smith anaendelea kwa kunukuu mstari wa nane, ambao unatambulisha tarumbeta ya pili, kisha anaendelea na ufafanuzi wake:</w:t>
      </w:r>
    </w:p>
    <w:p>
      <w:pPr>
        <w:pStyle w:val="ArticleScripture"/>
        <w:jc w:val="left"/>
      </w:pPr>
      <w:r>
        <w:rPr>
          <w:rFonts w:ascii="Times New Roman" w:hAnsi="Times New Roman" w:eastAsia="Times New Roman" w:cs="Times New Roman"/>
        </w:rPr>
        <w:t>“Rim imperiyasi Konstantindan keyin uch qismga bo‘lindi; shuning uchun ham, zulm ostida qolgan imperiyaning uchinchi qismiga ishora qilib, har yerda tez-tez ‘odamlarning uchdan bir qismi’ va hokazo degan ibora uchraydi. Rim saltanatining bu bo‘linishi Konstantin vafot etganida uning uch o‘g‘li — Konstansiy, Konstantin II va Konstans o‘rtasida amalga oshirildi. Konstansiy Sharqni egallab, o‘z qarorgohini imperiyaning poytaxti bo‘lgan Konstantinopolga o‘rnatdi. Ikkinchi Konstantin Britaniya, Galliya va Ispaniyani boshqardi. Konstans esa Illirik, Afrika va Italiyani egalladi. (Qarang: Sabine’s Ecclesiastical History, 155-bet.) Albert Barnesning Vah. 12:4 ga yozgan izohlarida keltirilgan Elliott bu mashhur tarixiy haqiqat haqida shunday deydi: ‘Rim imperiyasi Sharqiy va G‘arbiy ikki qismga doimiy ravishda bo‘linishidan oldin, kamida ikki marta imperiya uch qismga bo‘lingan edi. Birinchisi milodiy 311-yilda, u Konstantin, Lisiniy va Maksimin o‘rtasida bo‘linganida yuz berdi; ikkinchisi esa milodiy 337-yilda, Konstantin vafot etganida, Konstans va Konstansiy o‘rtasida sodir bo‘ldi.’” Uriah Smith, Daniel and Revelation, 480.</w:t>
      </w:r>
    </w:p>
    <w:p>
      <w:pPr>
        <w:pStyle w:val="ArticleBody"/>
        <w:jc w:val="left"/>
      </w:pPr>
      <w:r>
        <w:rPr>
          <w:rFonts w:ascii="Times New Roman" w:hAnsi="Times New Roman" w:eastAsia="Times New Roman" w:cs="Times New Roman"/>
        </w:rPr>
        <w:t>Le phénomène historique de Rome divisée en trois parties, ainsi qu’en deux parties, auquel font référence les historiens cités par Smith, constitue les éléments de Rome qui identifient l’union tripartite de la Rome moderne, laquelle forme une structure divisée en deux, représentant la combinaison de l’Église et de l’État. Lorsque Smith poursuit, il identifie alors la figure historique associée à la deuxième trompette.</w:t>
      </w:r>
    </w:p>
    <w:p>
      <w:pPr>
        <w:pStyle w:val="ArticleScripture"/>
        <w:jc w:val="left"/>
      </w:pPr>
      <w:r>
        <w:rPr>
          <w:rFonts w:ascii="Times New Roman" w:hAnsi="Times New Roman" w:eastAsia="Times New Roman" w:cs="Times New Roman"/>
        </w:rPr>
        <w:t>«Ҷараёни таърих, ки ба садо додани карнаи дуюм намунавӣ мебошад, ошкоро ба ҳамла ва фатҳи Африқо, ва баъдан Итолиё, аз ҷониби Генсерики даҳшатовар марбут аст. Фатҳҳои ӯ, бештар аз ҳама, БАҲРӢ буданд; ва пирӯзиҳои ӯ «гӯё кӯҳи бузурге буд, ки аз оташ месӯхт ва ба баҳр андохта шуд». Кадом тасвир метавонист беҳтар, ё ҳатто ба ҳамон андоза хуб, бархӯрди флотҳо ва харобии умумии ҷангро бар соҳилҳои баҳрӣ нишон диҳад? Ҳангоми тавзеҳи ин карнай, мо бояд ба ҷустуҷӯи баъзе воқеаҳое бошем, ки ба ҷаҳони тиҷорат таъсири махсус доранд. Рамзе, ки истифода шудааст, табиатан моро водор мекунад, ки нооромӣ ва ошӯбро интизор шавем. Ҷуз як ҷанги шадиди баҳрӣ, ҳеҷ чиз пешгӯиро иҷро карда наметавонист. Агар садо додани чор карнаи аввал ба чор воқеаи барҷастае марбут бошад, ки ба суқути империяи Рум мусоидат карданд, ва карнаи аввал ба харобкориҳои готҳо таҳти роҳбарии Аларик ишора кунад, пас дар ин ҷо мо ба таври табиӣ амали навбатии ҳамларо меҷӯем, ки қудрати Румро ба ларза даровард ва ба суқути он мусоидат кард. Ҳамлаи бузурги навбатӣ ҳамлаи «Генсерики даҳшатовар» буд, ки дар сари вандалҳо қарор дошт. Давраи фаъолияти ӯ дар солҳои 428–468 милодӣ рух дод. Ин сарвари бузурги вандал қароргоҳи худро дар Африқо дошт....»</w:t>
      </w:r>
    </w:p>
    <w:p>
      <w:pPr>
        <w:pStyle w:val="ArticleScripture"/>
        <w:jc w:val="left"/>
      </w:pPr>
      <w:r>
        <w:rPr>
          <w:rFonts w:ascii="Times New Roman" w:hAnsi="Times New Roman" w:eastAsia="Times New Roman" w:cs="Times New Roman"/>
        </w:rPr>
        <w:t>“Be langa di girîng a ku ev korsarê bêdil di hilweşandina Romayê de lîst, Mîr Gibbon ev gotinên watedar bi kar tîne: ‘Genseric, navek ku di hilweşandina împaratoriya Romayê de, stahîqê wê ye ku bi navên Alaric û Attila re di heman asta de were danîn.’” Uriah Smith, Daniel and Revelation, 481, 484.</w:t>
      </w:r>
    </w:p>
    <w:p>
      <w:pPr>
        <w:pStyle w:val="ArticleBody"/>
        <w:jc w:val="left"/>
      </w:pPr>
      <w:r>
        <w:rPr>
          <w:rFonts w:ascii="Times New Roman" w:hAnsi="Times New Roman" w:eastAsia="Times New Roman" w:cs="Times New Roman"/>
        </w:rPr>
        <w:t>سمِث، در حالی که از مورخ گیبون نقل می‌کرد، کسی که نمادهای تاریخیِ سه شیپور نخست را نشان داده بود، مشخص ساخت که گنسریک همان شیپور دوم بود و سپس گفت که گنسریک «شایستهٔ هم‌رتبگی با آلاریک و آتیلا بود.» آلاریک شیپور نخست است، گنسریک شیپور دوم، و آتیلای هون شیپور سوم بود که در آیهٔ دهم به آن پرداخته می‌شود. سمِث خاطرنشان کرد که شیپور دوم، که به‌وسیلهٔ گنسریک نمایانده می‌شود، تاریخ «428-468» را نمایندگی می‌کند. سپس سمِث آیهٔ دهم را نقل می‌کند که شیپور سوم را مشخص می‌سازد، و روایت خود را ادامه می‌دهد:</w:t>
      </w:r>
    </w:p>
    <w:p>
      <w:pPr>
        <w:pStyle w:val="ArticleScripture"/>
        <w:jc w:val="left"/>
      </w:pPr>
      <w:r>
        <w:rPr>
          <w:rFonts w:ascii="Times New Roman" w:hAnsi="Times New Roman" w:eastAsia="Times New Roman" w:cs="Times New Roman"/>
        </w:rPr>
        <w:t>“N semnadi i ku n’na aplikadi es pasaji, nu ta ser levadu pa kel di terseru eventu importanti ki rezultou na subversãu di impériu Romanu. I, na buska di un cumprimentu históricu di es terseru trombeta, nu ta debi a Notas di Dr. Albert Barnes alguns estratus. Na esplicason di es Skriptura, é nisisáriu, sima es komentador ta fla, ‘Ma ten ki i ten algũ txefi ó guerreiru ki pudia ser konparadu ku un meteoru ardi; kaminhu di kel algu ten ki ser singularmenti brilhanti; el ten ki aparese di repentI SIMA un strelha ardi, i dipôs desaparesi sima un strelha kũ luz foi apagadu na águasi.’— Notas sobri Revelason 8.”</w:t>
      </w:r>
    </w:p>
    <w:p>
      <w:pPr>
        <w:pStyle w:val="ArticleScripture"/>
        <w:jc w:val="left"/>
      </w:pPr>
      <w:r>
        <w:rPr>
          <w:rFonts w:ascii="Times New Roman" w:hAnsi="Times New Roman" w:eastAsia="Times New Roman" w:cs="Times New Roman"/>
        </w:rPr>
        <w:t>«Поэтому здесь предполагается, что эта труба относится к опустошительным войнам и яростным нашествиям Аттилы против римской власти, которые он вел во главе своих орд гуннов....»</w:t>
      </w:r>
    </w:p>
    <w:p>
      <w:pPr>
        <w:pStyle w:val="ArticleScripture"/>
        <w:jc w:val="left"/>
      </w:pPr>
      <w:r>
        <w:rPr>
          <w:rFonts w:ascii="Times New Roman" w:hAnsi="Times New Roman" w:eastAsia="Times New Roman" w:cs="Times New Roman"/>
        </w:rPr>
        <w:t>“‘Me em din na xwe ya sterê Wermwood tê gotin [ku encamên talşîn nîşan dide].’ Ev gotin—ku, wekî xala nivîsîna di guhertoya me de jî nîşan dide, bi ayeta berê re bi awayekî zêdetir têkildar in—em bo kêlîyekê vedigerînin karakterê Attila, bo êşa ku ew sedem an amûra wê bû, û bo tirsê ku bi navê wî hate afirandin.”</w:t>
      </w:r>
    </w:p>
    <w:p>
      <w:pPr>
        <w:pStyle w:val="ArticleScripture"/>
        <w:jc w:val="left"/>
      </w:pPr>
      <w:r>
        <w:rPr>
          <w:rFonts w:ascii="Times New Roman" w:hAnsi="Times New Roman" w:eastAsia="Times New Roman" w:cs="Times New Roman"/>
        </w:rPr>
        <w:t>«L’extermination totale et l’effacement» sont les termes qui désignent le mieux les calamités qu’il infligea.» Il se donnait à lui-même le titre de «Fléau de Dieu».» Uriah Smith, Daniel and Revelation, 484, 487.</w:t>
      </w:r>
    </w:p>
    <w:p>
      <w:pPr>
        <w:pStyle w:val="ArticleBody"/>
        <w:jc w:val="left"/>
      </w:pPr>
      <w:r>
        <w:rPr>
          <w:rFonts w:ascii="Times New Roman" w:hAnsi="Times New Roman" w:eastAsia="Times New Roman" w:cs="Times New Roman"/>
        </w:rPr>
        <w:t>Die Geschichte der dritten Posaune, dargestellt durch Attila den Hunnen, umfasste die Zeit vom Jahr 441 bis zu seinem Tod im Jahr 453. Smith zitiert sodann Vers zwölf, der die vierte Posaune vor Augen führt und den barbarischen Monarchen Odoaker beschreibt, wobei die dreifache Symbolik Westroms durch die Sonne, den Mond und die Sterne dargestellt wird. Er deutet die drei Sinnbilder als Sinnbilder der „Sonne, des Mondes und der Sterne—denn sie werden hier ohne Zweifel als Sinnbilder gebraucht—und bezeichnen offenbar die großen Himmelslichter der römischen Regierung,—ihre Kaiser, Senatoren und Konsuln. Bischof Newton bemerkt, dass der letzte Kaiser des Weströmischen Reiches Romulus war, der zum Spott Augustulus oder der ‚verkleinerte Augustus‘ genannt wurde. Westrom fiel im Jahre 476 n. Chr. Dennoch leuchteten, obwohl die römische Sonne erloschen war, ihre untergeordneten Himmelslichter noch schwach fort, solange der Senat und die Konsuln bestanden. Aber nach vielen bürgerlichen Rückschlägen und Veränderungen des politischen Geschicks wurde schließlich im Jahre 566 die ganze Gestalt der alten Regierung umgestürzt, und Rom selbst wurde, statt die Kaiserin der Welt zu sein, zu einem armen Herzogtum herabgebracht, das dem Exarchen von Ravenna tributpflichtig war.“ Uriah Smith, Daniel and Revelation, 487.</w:t>
      </w:r>
    </w:p>
    <w:p>
      <w:pPr>
        <w:pStyle w:val="ArticleBody"/>
        <w:jc w:val="left"/>
      </w:pPr>
      <w:r>
        <w:rPr>
          <w:rFonts w:ascii="Times New Roman" w:hAnsi="Times New Roman" w:eastAsia="Times New Roman" w:cs="Times New Roman"/>
        </w:rPr>
        <w:t>Hier finden wir ein weiteres Zeugnis für die dreifache Teilung Roms, die die dreifache Vereinigung des neuzeitlichen Rom vorbildlich darstellt. Beim östlichen Rom und Kaiser Konstantin wurde die dreifache Teilung durch seine drei Söhne repräsentiert; beim westlichen Rom hingegen durch ihre dreifache Regierungsform. Smith weist sodann darauf hin, dass Sonne, Mond und Sterne eine bestimmte Reihenfolge darstellen, in der das westliche Rom zu Fall gebracht wurde. Er beschließt seine Darstellung mit der folgenden Einführung der letzten drei Posaunen.</w:t>
      </w:r>
    </w:p>
    <w:p>
      <w:pPr>
        <w:pStyle w:val="ArticleScripture"/>
        <w:jc w:val="left"/>
      </w:pPr>
      <w:r>
        <w:rPr>
          <w:rFonts w:ascii="Times New Roman" w:hAnsi="Times New Roman" w:eastAsia="Times New Roman" w:cs="Times New Roman"/>
        </w:rPr>
        <w:t>« Aussi redoutables que fussent les calamités infligées à l’empire par les premières incursions de ces barbares, elles étaient relativement légères en comparaison de celles qui devaient suivre. Elles n’étaient que comme les premières gouttes d’une averse avant le torrent qui allait bientôt s’abattre sur le monde romain. Les trois trompettes restantes sont assombries par un nuage de malheur, ainsi qu’il est exposé dans les versets suivants. »</w:t>
      </w:r>
    </w:p>
    <w:p>
      <w:pPr>
        <w:pStyle w:val="ArticleScripture"/>
        <w:jc w:val="left"/>
      </w:pPr>
      <w:r>
        <w:rPr>
          <w:rFonts w:ascii="Times New Roman" w:hAnsi="Times New Roman" w:eastAsia="Times New Roman" w:cs="Times New Roman"/>
        </w:rPr>
        <w:t>«ВЕРСЕТ 13. И погледнах, и чух ангел да лети насред небето, който казваше със силен глас: Горко, горко, горко на земните жители поради останалите гласове на тръбата на тримата ангели, които още предстои да затръбят.»</w:t>
      </w:r>
    </w:p>
    <w:p>
      <w:pPr>
        <w:pStyle w:val="ArticleScripture"/>
        <w:jc w:val="left"/>
      </w:pPr>
      <w:r>
        <w:rPr>
          <w:rFonts w:ascii="Times New Roman" w:hAnsi="Times New Roman" w:eastAsia="Times New Roman" w:cs="Times New Roman"/>
        </w:rPr>
        <w:t>«</w:t>
      </w:r>
      <w:r>
        <w:rPr>
          <w:rFonts w:ascii="Nirmala UI" w:hAnsi="Nirmala UI" w:eastAsia="Nirmala UI" w:cs="Nirmala UI"/>
        </w:rPr>
        <w:t>ફફ</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તૂર્યવાજક</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શ્રેણીમાંનો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બાકી</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તૂર્યો</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તૂર્યો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નાદ</w:t>
      </w:r>
      <w:r>
        <w:rPr>
          <w:rFonts w:ascii="Times New Roman" w:hAnsi="Times New Roman" w:eastAsia="Times New Roman" w:cs="Times New Roman"/>
        </w:rPr>
        <w:t xml:space="preserve"> </w:t>
      </w:r>
      <w:r>
        <w:rPr>
          <w:rFonts w:ascii="Nirmala UI" w:hAnsi="Nirmala UI" w:eastAsia="Nirmala UI" w:cs="Nirmala UI"/>
        </w:rPr>
        <w:t>હેઠળ</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ભયાનક</w:t>
      </w:r>
      <w:r>
        <w:rPr>
          <w:rFonts w:ascii="Times New Roman" w:hAnsi="Times New Roman" w:eastAsia="Times New Roman" w:cs="Times New Roman"/>
        </w:rPr>
        <w:t xml:space="preserve"> </w:t>
      </w:r>
      <w:r>
        <w:rPr>
          <w:rFonts w:ascii="Nirmala UI" w:hAnsi="Nirmala UI" w:eastAsia="Nirmala UI" w:cs="Nirmala UI"/>
        </w:rPr>
        <w:t>ઘટનાઓ</w:t>
      </w:r>
      <w:r>
        <w:rPr>
          <w:rFonts w:ascii="Times New Roman" w:hAnsi="Times New Roman" w:eastAsia="Times New Roman" w:cs="Times New Roman"/>
        </w:rPr>
        <w:t xml:space="preserve"> </w:t>
      </w:r>
      <w:r>
        <w:rPr>
          <w:rFonts w:ascii="Nirmala UI" w:hAnsi="Nirmala UI" w:eastAsia="Nirmala UI" w:cs="Nirmala UI"/>
        </w:rPr>
        <w:t>બનવાની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આગળનો</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પાંચમો</w:t>
      </w:r>
      <w:r>
        <w:rPr>
          <w:rFonts w:ascii="Times New Roman" w:hAnsi="Times New Roman" w:eastAsia="Times New Roman" w:cs="Times New Roman"/>
        </w:rPr>
        <w:t xml:space="preserve"> </w:t>
      </w:r>
      <w:r>
        <w:rPr>
          <w:rFonts w:ascii="Nirmala UI" w:hAnsi="Nirmala UI" w:eastAsia="Nirmala UI" w:cs="Nirmala UI"/>
        </w:rPr>
        <w:t>તૂર્ય</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છઠ્ઠો</w:t>
      </w:r>
      <w:r>
        <w:rPr>
          <w:rFonts w:ascii="Times New Roman" w:hAnsi="Times New Roman" w:eastAsia="Times New Roman" w:cs="Times New Roman"/>
        </w:rPr>
        <w:t xml:space="preserve"> </w:t>
      </w:r>
      <w:r>
        <w:rPr>
          <w:rFonts w:ascii="Nirmala UI" w:hAnsi="Nirmala UI" w:eastAsia="Nirmala UI" w:cs="Nirmala UI"/>
        </w:rPr>
        <w:t>તૂર્ય</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સાતમો</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તૂર્યોની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શ્રેણીમાંનો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ઉરિયા</w:t>
      </w:r>
      <w:r>
        <w:rPr>
          <w:rFonts w:ascii="Times New Roman" w:hAnsi="Times New Roman" w:eastAsia="Times New Roman" w:cs="Times New Roman"/>
        </w:rPr>
        <w:t xml:space="preserve"> </w:t>
      </w:r>
      <w:r>
        <w:rPr>
          <w:rFonts w:ascii="Nirmala UI" w:hAnsi="Nirmala UI" w:eastAsia="Nirmala UI" w:cs="Nirmala UI"/>
        </w:rPr>
        <w:t>સ્મિથ</w:t>
      </w:r>
      <w:r>
        <w:rPr>
          <w:rFonts w:ascii="Times New Roman" w:hAnsi="Times New Roman" w:eastAsia="Times New Roman" w:cs="Times New Roman"/>
        </w:rPr>
        <w:t>, Daniel and Revelation, 493.</w:t>
      </w:r>
    </w:p>
    <w:p>
      <w:pPr>
        <w:pStyle w:val="ArticleBody"/>
        <w:jc w:val="left"/>
      </w:pPr>
      <w:r>
        <w:rPr>
          <w:rFonts w:ascii="Times New Roman" w:hAnsi="Times New Roman" w:eastAsia="Times New Roman" w:cs="Times New Roman"/>
        </w:rPr>
        <w:t>Nous poursuivrons avec les trois malheurs des trompettes dans l’article suivant.</w:t>
      </w:r>
    </w:p>
    <w:p>
      <w:pPr>
        <w:pStyle w:val="ArticleScripture"/>
        <w:jc w:val="left"/>
      </w:pPr>
      <w:r>
        <w:rPr>
          <w:rFonts w:ascii="Times New Roman" w:hAnsi="Times New Roman" w:eastAsia="Times New Roman" w:cs="Times New Roman"/>
        </w:rPr>
        <w:t>“</w:t>
      </w:r>
      <w:r>
        <w:rPr>
          <w:rFonts w:ascii="Nirmala UI" w:hAnsi="Nirmala UI" w:eastAsia="Nirmala UI" w:cs="Nirmala UI"/>
        </w:rPr>
        <w:t>দৈৱ</w:t>
      </w:r>
      <w:r>
        <w:rPr>
          <w:rFonts w:ascii="Times New Roman" w:hAnsi="Times New Roman" w:eastAsia="Times New Roman" w:cs="Times New Roman"/>
        </w:rPr>
        <w:t>-</w:t>
      </w:r>
      <w:r>
        <w:rPr>
          <w:rFonts w:ascii="Nirmala UI" w:hAnsi="Nirmala UI" w:eastAsia="Nirmala UI" w:cs="Nirmala UI"/>
        </w:rPr>
        <w:t>সম্ৰাজ্যিক</w:t>
      </w:r>
      <w:r>
        <w:rPr>
          <w:rFonts w:ascii="Times New Roman" w:hAnsi="Times New Roman" w:eastAsia="Times New Roman" w:cs="Times New Roman"/>
        </w:rPr>
        <w:t xml:space="preserve"> </w:t>
      </w:r>
      <w:r>
        <w:rPr>
          <w:rFonts w:ascii="Nirmala UI" w:hAnsi="Nirmala UI" w:eastAsia="Nirmala UI" w:cs="Nirmala UI"/>
        </w:rPr>
        <w:t>ৰোমৰ</w:t>
      </w:r>
      <w:r>
        <w:rPr>
          <w:rFonts w:ascii="Times New Roman" w:hAnsi="Times New Roman" w:eastAsia="Times New Roman" w:cs="Times New Roman"/>
        </w:rPr>
        <w:t xml:space="preserve"> </w:t>
      </w:r>
      <w:r>
        <w:rPr>
          <w:rFonts w:ascii="Nirmala UI" w:hAnsi="Nirmala UI" w:eastAsia="Nirmala UI" w:cs="Nirmala UI"/>
        </w:rPr>
        <w:t>পতনৰ</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অহা</w:t>
      </w:r>
      <w:r>
        <w:rPr>
          <w:rFonts w:ascii="Times New Roman" w:hAnsi="Times New Roman" w:eastAsia="Times New Roman" w:cs="Times New Roman"/>
        </w:rPr>
        <w:t xml:space="preserve"> </w:t>
      </w:r>
      <w:r>
        <w:rPr>
          <w:rFonts w:ascii="Nirmala UI" w:hAnsi="Nirmala UI" w:eastAsia="Nirmala UI" w:cs="Nirmala UI"/>
        </w:rPr>
        <w:t>বিপৰ্যয়সমূহৰ</w:t>
      </w:r>
      <w:r>
        <w:rPr>
          <w:rFonts w:ascii="Times New Roman" w:hAnsi="Times New Roman" w:eastAsia="Times New Roman" w:cs="Times New Roman"/>
        </w:rPr>
        <w:t xml:space="preserve"> </w:t>
      </w:r>
      <w:r>
        <w:rPr>
          <w:rFonts w:ascii="Nirmala UI" w:hAnsi="Nirmala UI" w:eastAsia="Nirmala UI" w:cs="Nirmala UI"/>
        </w:rPr>
        <w:t>বৰ্ণনা</w:t>
      </w:r>
      <w:r>
        <w:rPr>
          <w:rFonts w:ascii="Times New Roman" w:hAnsi="Times New Roman" w:eastAsia="Times New Roman" w:cs="Times New Roman"/>
        </w:rPr>
        <w:t xml:space="preserve"> </w:t>
      </w:r>
      <w:r>
        <w:rPr>
          <w:rFonts w:ascii="Nirmala UI" w:hAnsi="Nirmala UI" w:eastAsia="Nirmala UI" w:cs="Nirmala UI"/>
        </w:rPr>
        <w:t>একেবাৰে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পৰ্যন্ত</w:t>
      </w:r>
      <w:r>
        <w:rPr>
          <w:rFonts w:ascii="Times New Roman" w:hAnsi="Times New Roman" w:eastAsia="Times New Roman" w:cs="Times New Roman"/>
        </w:rPr>
        <w:t xml:space="preserve"> </w:t>
      </w:r>
      <w:r>
        <w:rPr>
          <w:rFonts w:ascii="Nirmala UI" w:hAnsi="Nirmala UI" w:eastAsia="Nirmala UI" w:cs="Nirmala UI"/>
        </w:rPr>
        <w:t>কোৱা</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যেতিয়ালৈকে</w:t>
      </w:r>
      <w:r>
        <w:rPr>
          <w:rFonts w:ascii="Times New Roman" w:hAnsi="Times New Roman" w:eastAsia="Times New Roman" w:cs="Times New Roman"/>
        </w:rPr>
        <w:t xml:space="preserve"> </w:t>
      </w:r>
      <w:r>
        <w:rPr>
          <w:rFonts w:ascii="Nirmala UI" w:hAnsi="Nirmala UI" w:eastAsia="Nirmala UI" w:cs="Nirmala UI"/>
        </w:rPr>
        <w:t>ৰোম</w:t>
      </w:r>
      <w:r>
        <w:rPr>
          <w:rFonts w:ascii="Times New Roman" w:hAnsi="Times New Roman" w:eastAsia="Times New Roman" w:cs="Times New Roman"/>
        </w:rPr>
        <w:t xml:space="preserve"> </w:t>
      </w:r>
      <w:r>
        <w:rPr>
          <w:rFonts w:ascii="Nirmala UI" w:hAnsi="Nirmala UI" w:eastAsia="Nirmala UI" w:cs="Nirmala UI"/>
        </w:rPr>
        <w:t>সম্ৰাট</w:t>
      </w:r>
      <w:r>
        <w:rPr>
          <w:rFonts w:ascii="Times New Roman" w:hAnsi="Times New Roman" w:eastAsia="Times New Roman" w:cs="Times New Roman"/>
        </w:rPr>
        <w:t xml:space="preserve">, </w:t>
      </w:r>
      <w:r>
        <w:rPr>
          <w:rFonts w:ascii="Nirmala UI" w:hAnsi="Nirmala UI" w:eastAsia="Nirmala UI" w:cs="Nirmala UI"/>
        </w:rPr>
        <w:t>কনছুল</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চেনেট</w:t>
      </w: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নথকা</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নপৰে।</w:t>
      </w:r>
      <w:r>
        <w:rPr>
          <w:rFonts w:ascii="Times New Roman" w:hAnsi="Times New Roman" w:eastAsia="Times New Roman" w:cs="Times New Roman"/>
        </w:rPr>
        <w:t xml:space="preserve"> ‘</w:t>
      </w:r>
      <w:r>
        <w:rPr>
          <w:rFonts w:ascii="Nirmala UI" w:hAnsi="Nirmala UI" w:eastAsia="Nirmala UI" w:cs="Nirmala UI"/>
        </w:rPr>
        <w:t>ৰাভেন্নাৰ</w:t>
      </w:r>
      <w:r>
        <w:rPr>
          <w:rFonts w:ascii="Times New Roman" w:hAnsi="Times New Roman" w:eastAsia="Times New Roman" w:cs="Times New Roman"/>
        </w:rPr>
        <w:t xml:space="preserve"> </w:t>
      </w:r>
      <w:r>
        <w:rPr>
          <w:rFonts w:ascii="Nirmala UI" w:hAnsi="Nirmala UI" w:eastAsia="Nirmala UI" w:cs="Nirmala UI"/>
        </w:rPr>
        <w:t>এক্সাৰ্কসকলৰ</w:t>
      </w:r>
      <w:r>
        <w:rPr>
          <w:rFonts w:ascii="Times New Roman" w:hAnsi="Times New Roman" w:eastAsia="Times New Roman" w:cs="Times New Roman"/>
        </w:rPr>
        <w:t xml:space="preserve"> </w:t>
      </w:r>
      <w:r>
        <w:rPr>
          <w:rFonts w:ascii="Nirmala UI" w:hAnsi="Nirmala UI" w:eastAsia="Nirmala UI" w:cs="Nirmala UI"/>
        </w:rPr>
        <w:t>অধীনত</w:t>
      </w:r>
      <w:r>
        <w:rPr>
          <w:rFonts w:ascii="Times New Roman" w:hAnsi="Times New Roman" w:eastAsia="Times New Roman" w:cs="Times New Roman"/>
        </w:rPr>
        <w:t xml:space="preserve">, </w:t>
      </w:r>
      <w:r>
        <w:rPr>
          <w:rFonts w:ascii="Nirmala UI" w:hAnsi="Nirmala UI" w:eastAsia="Nirmala UI" w:cs="Nirmala UI"/>
        </w:rPr>
        <w:t>ৰোমক</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শ্ৰেণীত</w:t>
      </w:r>
      <w:r>
        <w:rPr>
          <w:rFonts w:ascii="Times New Roman" w:hAnsi="Times New Roman" w:eastAsia="Times New Roman" w:cs="Times New Roman"/>
        </w:rPr>
        <w:t xml:space="preserve"> </w:t>
      </w:r>
      <w:r>
        <w:rPr>
          <w:rFonts w:ascii="Nirmala UI" w:hAnsi="Nirmala UI" w:eastAsia="Nirmala UI" w:cs="Nirmala UI"/>
        </w:rPr>
        <w:t>অৱনমিত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সূৰ্যৰ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আঘাতপ্ৰাপ্ত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চন্দ্ৰৰ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তৰাসকলৰ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কাইছাৰসকলৰ</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পশ্চিমৰ</w:t>
      </w:r>
      <w:r>
        <w:rPr>
          <w:rFonts w:ascii="Times New Roman" w:hAnsi="Times New Roman" w:eastAsia="Times New Roman" w:cs="Times New Roman"/>
        </w:rPr>
        <w:t xml:space="preserve"> </w:t>
      </w:r>
      <w:r>
        <w:rPr>
          <w:rFonts w:ascii="Nirmala UI" w:hAnsi="Nirmala UI" w:eastAsia="Nirmala UI" w:cs="Nirmala UI"/>
        </w:rPr>
        <w:t>সম্ৰাটসকলৰ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লুপ্ত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যোৱা</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পতনৰ</w:t>
      </w:r>
      <w:r>
        <w:rPr>
          <w:rFonts w:ascii="Times New Roman" w:hAnsi="Times New Roman" w:eastAsia="Times New Roman" w:cs="Times New Roman"/>
        </w:rPr>
        <w:t xml:space="preserve"> </w:t>
      </w:r>
      <w:r>
        <w:rPr>
          <w:rFonts w:ascii="Nirmala UI" w:hAnsi="Nirmala UI" w:eastAsia="Nirmala UI" w:cs="Nirmala UI"/>
        </w:rPr>
        <w:t>পূৰ্বে</w:t>
      </w:r>
      <w:r>
        <w:rPr>
          <w:rFonts w:ascii="Times New Roman" w:hAnsi="Times New Roman" w:eastAsia="Times New Roman" w:cs="Times New Roman"/>
        </w:rPr>
        <w:t xml:space="preserve"> </w:t>
      </w:r>
      <w:r>
        <w:rPr>
          <w:rFonts w:ascii="Nirmala UI" w:hAnsi="Nirmala UI" w:eastAsia="Nirmala UI" w:cs="Nirmala UI"/>
        </w:rPr>
        <w:t>ৰোমে</w:t>
      </w:r>
      <w:r>
        <w:rPr>
          <w:rFonts w:ascii="Times New Roman" w:hAnsi="Times New Roman" w:eastAsia="Times New Roman" w:cs="Times New Roman"/>
        </w:rPr>
        <w:t xml:space="preserve"> </w:t>
      </w:r>
      <w:r>
        <w:rPr>
          <w:rFonts w:ascii="Nirmala UI" w:hAnsi="Nirmala UI" w:eastAsia="Nirmala UI" w:cs="Nirmala UI"/>
        </w:rPr>
        <w:t>সম্ৰাজ্যিক</w:t>
      </w:r>
      <w:r>
        <w:rPr>
          <w:rFonts w:ascii="Times New Roman" w:hAnsi="Times New Roman" w:eastAsia="Times New Roman" w:cs="Times New Roman"/>
        </w:rPr>
        <w:t xml:space="preserve"> </w:t>
      </w:r>
      <w:r>
        <w:rPr>
          <w:rFonts w:ascii="Nirmala UI" w:hAnsi="Nirmala UI" w:eastAsia="Nirmala UI" w:cs="Nirmala UI"/>
        </w:rPr>
        <w:t>ক্ষমতাৰ</w:t>
      </w:r>
      <w:r>
        <w:rPr>
          <w:rFonts w:ascii="Times New Roman" w:hAnsi="Times New Roman" w:eastAsia="Times New Roman" w:cs="Times New Roman"/>
        </w:rPr>
        <w:t xml:space="preserve"> </w:t>
      </w:r>
      <w:r>
        <w:rPr>
          <w:rFonts w:ascii="Nirmala UI" w:hAnsi="Nirmala UI" w:eastAsia="Nirmala UI" w:cs="Nirmala UI"/>
        </w:rPr>
        <w:t>কেৱল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অংশহে</w:t>
      </w:r>
      <w:r>
        <w:rPr>
          <w:rFonts w:ascii="Times New Roman" w:hAnsi="Times New Roman" w:eastAsia="Times New Roman" w:cs="Times New Roman"/>
        </w:rPr>
        <w:t xml:space="preserve"> </w:t>
      </w:r>
      <w:r>
        <w:rPr>
          <w:rFonts w:ascii="Nirmala UI" w:hAnsi="Nirmala UI" w:eastAsia="Nirmala UI" w:cs="Nirmala UI"/>
        </w:rPr>
        <w:t>অধিকাৰ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কনষ্টান্টিনোপলে</w:t>
      </w:r>
      <w:r>
        <w:rPr>
          <w:rFonts w:ascii="Times New Roman" w:hAnsi="Times New Roman" w:eastAsia="Times New Roman" w:cs="Times New Roman"/>
        </w:rPr>
        <w:t xml:space="preserve"> </w:t>
      </w:r>
      <w:r>
        <w:rPr>
          <w:rFonts w:ascii="Nirmala UI" w:hAnsi="Nirmala UI" w:eastAsia="Nirmala UI" w:cs="Nirmala UI"/>
        </w:rPr>
        <w:t>তাৰ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w:t>
      </w:r>
      <w:r>
        <w:rPr>
          <w:rFonts w:ascii="Nirmala UI" w:hAnsi="Nirmala UI" w:eastAsia="Nirmala UI" w:cs="Nirmala UI"/>
        </w:rPr>
        <w:t>সম্ৰাজ্য</w:t>
      </w:r>
      <w:r>
        <w:rPr>
          <w:rFonts w:ascii="Times New Roman" w:hAnsi="Times New Roman" w:eastAsia="Times New Roman" w:cs="Times New Roman"/>
        </w:rPr>
        <w:t xml:space="preserve"> </w:t>
      </w:r>
      <w:r>
        <w:rPr>
          <w:rFonts w:ascii="Nirmala UI" w:hAnsi="Nirmala UI" w:eastAsia="Nirmala UI" w:cs="Nirmala UI"/>
        </w:rPr>
        <w:t>ভাগ</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লৈছিল।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গথসকলেও</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ভেণ্ডালসকলেও</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সম্ৰাজ্যিক</w:t>
      </w:r>
      <w:r>
        <w:rPr>
          <w:rFonts w:ascii="Times New Roman" w:hAnsi="Times New Roman" w:eastAsia="Times New Roman" w:cs="Times New Roman"/>
        </w:rPr>
        <w:t xml:space="preserve"> </w:t>
      </w:r>
      <w:r>
        <w:rPr>
          <w:rFonts w:ascii="Nirmala UI" w:hAnsi="Nirmala UI" w:eastAsia="Nirmala UI" w:cs="Nirmala UI"/>
        </w:rPr>
        <w:t>নগৰীৰ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প্ৰভুত্ব</w:t>
      </w:r>
      <w:r>
        <w:rPr>
          <w:rFonts w:ascii="Times New Roman" w:hAnsi="Times New Roman" w:eastAsia="Times New Roman" w:cs="Times New Roman"/>
        </w:rPr>
        <w:t xml:space="preserve"> </w:t>
      </w:r>
      <w:r>
        <w:rPr>
          <w:rFonts w:ascii="Nirmala UI" w:hAnsi="Nirmala UI" w:eastAsia="Nirmala UI" w:cs="Nirmala UI"/>
        </w:rPr>
        <w:t>চলাইছিল</w:t>
      </w:r>
      <w:r>
        <w:rPr>
          <w:rFonts w:ascii="Times New Roman" w:hAnsi="Times New Roman" w:eastAsia="Times New Roman" w:cs="Times New Roman"/>
        </w:rPr>
        <w:t xml:space="preserve">; </w:t>
      </w:r>
      <w:r>
        <w:rPr>
          <w:rFonts w:ascii="Nirmala UI" w:hAnsi="Nirmala UI" w:eastAsia="Nirmala UI" w:cs="Nirmala UI"/>
        </w:rPr>
        <w:t>যাৰ</w:t>
      </w:r>
      <w:r>
        <w:rPr>
          <w:rFonts w:ascii="Times New Roman" w:hAnsi="Times New Roman" w:eastAsia="Times New Roman" w:cs="Times New Roman"/>
        </w:rPr>
        <w:t xml:space="preserve"> </w:t>
      </w:r>
      <w:r>
        <w:rPr>
          <w:rFonts w:ascii="Nirmala UI" w:hAnsi="Nirmala UI" w:eastAsia="Nirmala UI" w:cs="Nirmala UI"/>
        </w:rPr>
        <w:t>সম্ৰাটে</w:t>
      </w:r>
      <w:r>
        <w:rPr>
          <w:rFonts w:ascii="Times New Roman" w:hAnsi="Times New Roman" w:eastAsia="Times New Roman" w:cs="Times New Roman"/>
        </w:rPr>
        <w:t xml:space="preserve">, </w:t>
      </w:r>
      <w:r>
        <w:rPr>
          <w:rFonts w:ascii="Nirmala UI" w:hAnsi="Nirmala UI" w:eastAsia="Nirmala UI" w:cs="Nirmala UI"/>
        </w:rPr>
        <w:t>কনষ্টান্টাইনৰ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সম্ৰাজ্যৰ</w:t>
      </w:r>
      <w:r>
        <w:rPr>
          <w:rFonts w:ascii="Times New Roman" w:hAnsi="Times New Roman" w:eastAsia="Times New Roman" w:cs="Times New Roman"/>
        </w:rPr>
        <w:t xml:space="preserve"> </w:t>
      </w:r>
      <w:r>
        <w:rPr>
          <w:rFonts w:ascii="Nirmala UI" w:hAnsi="Nirmala UI" w:eastAsia="Nirmala UI" w:cs="Nirmala UI"/>
        </w:rPr>
        <w:t>আসন</w:t>
      </w:r>
      <w:r>
        <w:rPr>
          <w:rFonts w:ascii="Times New Roman" w:hAnsi="Times New Roman" w:eastAsia="Times New Roman" w:cs="Times New Roman"/>
        </w:rPr>
        <w:t xml:space="preserve"> </w:t>
      </w:r>
      <w:r>
        <w:rPr>
          <w:rFonts w:ascii="Nirmala UI" w:hAnsi="Nirmala UI" w:eastAsia="Nirmala UI" w:cs="Nirmala UI"/>
        </w:rPr>
        <w:t>প্ৰথমবাৰৰ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স্থানান্তৰিত</w:t>
      </w:r>
      <w:r>
        <w:rPr>
          <w:rFonts w:ascii="Times New Roman" w:hAnsi="Times New Roman" w:eastAsia="Times New Roman" w:cs="Times New Roman"/>
        </w:rPr>
        <w:t xml:space="preserve"> </w:t>
      </w:r>
      <w:r>
        <w:rPr>
          <w:rFonts w:ascii="Nirmala UI" w:hAnsi="Nirmala UI" w:eastAsia="Nirmala UI" w:cs="Nirmala UI"/>
        </w:rPr>
        <w:t>হোৱাৰ</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ৰোমৰ</w:t>
      </w:r>
      <w:r>
        <w:rPr>
          <w:rFonts w:ascii="Times New Roman" w:hAnsi="Times New Roman" w:eastAsia="Times New Roman" w:cs="Times New Roman"/>
        </w:rPr>
        <w:t xml:space="preserve"> </w:t>
      </w:r>
      <w:r>
        <w:rPr>
          <w:rFonts w:ascii="Nirmala UI" w:hAnsi="Nirmala UI" w:eastAsia="Nirmala UI" w:cs="Nirmala UI"/>
        </w:rPr>
        <w:t>সম্ৰাটক</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প্ৰতিনিধি</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উপ</w:t>
      </w:r>
      <w:r>
        <w:rPr>
          <w:rFonts w:ascii="Times New Roman" w:hAnsi="Times New Roman" w:eastAsia="Times New Roman" w:cs="Times New Roman"/>
        </w:rPr>
        <w:t>-</w:t>
      </w:r>
      <w:r>
        <w:rPr>
          <w:rFonts w:ascii="Nirmala UI" w:hAnsi="Nirmala UI" w:eastAsia="Nirmala UI" w:cs="Nirmala UI"/>
        </w:rPr>
        <w:t>শাসক</w:t>
      </w:r>
      <w:r>
        <w:rPr>
          <w:rFonts w:ascii="Times New Roman" w:hAnsi="Times New Roman" w:eastAsia="Times New Roman" w:cs="Times New Roman"/>
        </w:rPr>
        <w:t xml:space="preserve"> </w:t>
      </w:r>
      <w:r>
        <w:rPr>
          <w:rFonts w:ascii="Nirmala UI" w:hAnsi="Nirmala UI" w:eastAsia="Nirmala UI" w:cs="Nirmala UI"/>
        </w:rPr>
        <w:t>হিচাপে</w:t>
      </w:r>
      <w:r>
        <w:rPr>
          <w:rFonts w:ascii="Times New Roman" w:hAnsi="Times New Roman" w:eastAsia="Times New Roman" w:cs="Times New Roman"/>
        </w:rPr>
        <w:t xml:space="preserve"> </w:t>
      </w:r>
      <w:r>
        <w:rPr>
          <w:rFonts w:ascii="Nirmala UI" w:hAnsi="Nirmala UI" w:eastAsia="Nirmala UI" w:cs="Nirmala UI"/>
        </w:rPr>
        <w:t>অধিষ্ঠিত</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কনষ্টান্টিনোপলৰ</w:t>
      </w:r>
      <w:r>
        <w:rPr>
          <w:rFonts w:ascii="Times New Roman" w:hAnsi="Times New Roman" w:eastAsia="Times New Roman" w:cs="Times New Roman"/>
        </w:rPr>
        <w:t xml:space="preserve"> </w:t>
      </w:r>
      <w:r>
        <w:rPr>
          <w:rFonts w:ascii="Nirmala UI" w:hAnsi="Nirmala UI" w:eastAsia="Nirmala UI" w:cs="Nirmala UI"/>
        </w:rPr>
        <w:t>ভাগ্য</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যুগলৈ</w:t>
      </w:r>
      <w:r>
        <w:rPr>
          <w:rFonts w:ascii="Times New Roman" w:hAnsi="Times New Roman" w:eastAsia="Times New Roman" w:cs="Times New Roman"/>
        </w:rPr>
        <w:t xml:space="preserve"> </w:t>
      </w:r>
      <w:r>
        <w:rPr>
          <w:rFonts w:ascii="Nirmala UI" w:hAnsi="Nirmala UI" w:eastAsia="Nirmala UI" w:cs="Nirmala UI"/>
        </w:rPr>
        <w:t>সংৰক্ষিত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শিঙাৰ</w:t>
      </w:r>
      <w:r>
        <w:rPr>
          <w:rFonts w:ascii="Times New Roman" w:hAnsi="Times New Roman" w:eastAsia="Times New Roman" w:cs="Times New Roman"/>
        </w:rPr>
        <w:t xml:space="preserve"> </w:t>
      </w:r>
      <w:r>
        <w:rPr>
          <w:rFonts w:ascii="Nirmala UI" w:hAnsi="Nirmala UI" w:eastAsia="Nirmala UI" w:cs="Nirmala UI"/>
        </w:rPr>
        <w:t>দ্বাৰা</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সূৰ্য</w:t>
      </w:r>
      <w:r>
        <w:rPr>
          <w:rFonts w:ascii="Times New Roman" w:hAnsi="Times New Roman" w:eastAsia="Times New Roman" w:cs="Times New Roman"/>
        </w:rPr>
        <w:t xml:space="preserve">, </w:t>
      </w:r>
      <w:r>
        <w:rPr>
          <w:rFonts w:ascii="Nirmala UI" w:hAnsi="Nirmala UI" w:eastAsia="Nirmala UI" w:cs="Nirmala UI"/>
        </w:rPr>
        <w:t>চন্দ্ৰ</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তৰাসকলৰ</w:t>
      </w:r>
      <w:r>
        <w:rPr>
          <w:rFonts w:ascii="Times New Roman" w:hAnsi="Times New Roman" w:eastAsia="Times New Roman" w:cs="Times New Roman"/>
        </w:rPr>
        <w:t xml:space="preserve"> </w:t>
      </w:r>
      <w:r>
        <w:rPr>
          <w:rFonts w:ascii="Nirmala UI" w:hAnsi="Nirmala UI" w:eastAsia="Nirmala UI" w:cs="Nirmala UI"/>
        </w:rPr>
        <w:t>মাজৰ</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কেৱল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অংশহে</w:t>
      </w:r>
      <w:r>
        <w:rPr>
          <w:rFonts w:ascii="Times New Roman" w:hAnsi="Times New Roman" w:eastAsia="Times New Roman" w:cs="Times New Roman"/>
        </w:rPr>
        <w:t xml:space="preserve"> </w:t>
      </w:r>
      <w:r>
        <w:rPr>
          <w:rFonts w:ascii="Nirmala UI" w:hAnsi="Nirmala UI" w:eastAsia="Nirmala UI" w:cs="Nirmala UI"/>
        </w:rPr>
        <w:t>আঘাতপ্ৰাপ্ত</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«Муқаддимавий калималар Тўртинчи Карнайнинг Ғарб империясининг келажакда қайта тикланишини англатади: “Кун унинг учдан бир қисми учун ёришмади, шунингдек тун ҳам.” Фуқаровий ҳокимият нуқтаи назаридан, Рим Равеннага қарам бўлиб қолди, Италия эса Шарқий империянинг забт этилган вилояти эди. Аммо бошқа башоратларга янада муносиб тарзда тааллуқли бўлган жиҳат шу эдики, тасвирларга сажда қилишни ҳимоя этиш биринчи бор папа ва императорнинг руҳий ҳамда дунёвий ҳокимиятларини шиддатли тўқнашувга олиб келди; ва черковлар устидан барча ҳокимиятни папага бериш орқали Юстиниан кейинчалик подшоҳлар яратиш қудратини ўзлаштирган папа устунлигини юксалтиришга ёрдам қўлини чўзди. Раббимиз 800-йилида папа Карл Буюкка Римликлар Императори унвонини берди». — Keith. Бу унвон кейинчалик яна Франция подшоҳидан Германия подшоҳига кўчирилди. Ва Император Иккинчи Францис томонидан ҳатто мана шу сохта даъво ҳам 1806 йил 6 августда ниҳоят ва абадий равишда рад этилди».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huit</dc:title>
  <dc:subject>Kufunua Ishara za Kinabii: Uchambuzi wa Kina wa Tarumbeta Saba katika Ufunuo</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