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 دانیال - شمارهٔ یکصد و دوازده</w:t>
      </w:r>
    </w:p>
    <w:p>
      <w:pPr>
        <w:pStyle w:val="ArticleSubtitle"/>
        <w:jc w:val="left"/>
      </w:pPr>
      <w:r>
        <w:rPr>
          <w:rFonts w:ascii="Arial" w:hAnsi="Arial" w:eastAsia="Arial" w:cs="Arial"/>
        </w:rPr>
        <w:t>Dévoilement du symbolisme prophétique d’Ismaël : de l’archer au scellage des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2024-03-02</w:t>
      </w:r>
    </w:p>
    <w:p>
      <w:pPr>
        <w:pStyle w:val="ArticleScripture"/>
        <w:jc w:val="left"/>
      </w:pPr>
      <w:r>
        <w:rPr>
          <w:rFonts w:ascii="Times New Roman" w:hAnsi="Times New Roman" w:eastAsia="Times New Roman" w:cs="Times New Roman"/>
        </w:rPr>
        <w:t>Et Dieu fut avec l’enfant ; il grandit, habita dans le désert, et devint tireur d’arc. Genèse 21:20.</w:t>
      </w:r>
    </w:p>
    <w:p>
      <w:pPr>
        <w:pStyle w:val="ArticleBody"/>
        <w:jc w:val="left"/>
      </w:pPr>
      <w:r>
        <w:rPr>
          <w:rFonts w:ascii="Times New Roman" w:hAnsi="Times New Roman" w:eastAsia="Times New Roman" w:cs="Times New Roman"/>
        </w:rPr>
        <w:t>Ишмаил стал стрелком из лука, что является символом войны и символом исполнительного суда, совершаемого над Римом.</w:t>
      </w:r>
    </w:p>
    <w:p>
      <w:pPr>
        <w:pStyle w:val="ArticleScripture"/>
        <w:jc w:val="left"/>
      </w:pPr>
      <w:r>
        <w:rPr>
          <w:rFonts w:ascii="Times New Roman" w:hAnsi="Times New Roman" w:eastAsia="Times New Roman" w:cs="Times New Roman"/>
        </w:rPr>
        <w:t>Le bruit de ceux qui fuient et qui échappent du pays de Babylone, pour annoncer dans Sion la vengeance de l’Éternel, notre Dieu, la vengeance de son temple. Assemblez contre Babylone les archers, vous tous qui bandez l’arc; campez contre elle tout alentour; que nul n’en échappe; rendez-lui selon son œuvre; faites-lui selon tout ce qu’elle a fait; car elle s’est élevée avec orgueil contre l’Éternel, contre le Saint d’Israël. Jérémie 50:28, 29.</w:t>
      </w:r>
    </w:p>
    <w:p>
      <w:pPr>
        <w:pStyle w:val="ArticleBody"/>
        <w:jc w:val="left"/>
      </w:pPr>
      <w:r>
        <w:rPr>
          <w:rFonts w:ascii="Times New Roman" w:hAnsi="Times New Roman" w:eastAsia="Times New Roman" w:cs="Times New Roman"/>
        </w:rPr>
        <w:t>Wapiga-mishale waulipa Babeli sawasawa na kazi yake, na malipo hayo huanza katika sheria ya Jumapili iliyo karibu kuja, pamoja na sauti ya pili ya Ufunuo sura ya kumi na nane, wakati hukumu ya kiutendaji inayoendelea juu ya Babeli inapoanza.</w:t>
      </w:r>
    </w:p>
    <w:p>
      <w:pPr>
        <w:pStyle w:val="ArticleScripture"/>
        <w:jc w:val="left"/>
      </w:pPr>
      <w:r>
        <w:rPr>
          <w:rFonts w:ascii="Times New Roman" w:hAnsi="Times New Roman" w:eastAsia="Times New Roman" w:cs="Times New Roman"/>
        </w:rPr>
        <w:t>Pea naʻá ku fanongo ki ha leʻo ʻe taha mei he langi, ʻoku pehē mai, Mou hū kituʻa meiate ia, ʻa hoku kakai, koeʻuhí ke ʻoua naʻa mou kau ʻi heʻene ngaahi angahala, pea ke ʻoua naʻa mou maʻu ha konga ʻi heʻene ngaahi mala. He kuo aʻu hake ʻene ngaahi angahala ki he langi, pea kuo manatuʻi ʻe he ʻOtua ʻene ngaahi hia. Totongi kiate ia ʻo hangē ko ʻene totongi kiate kimoutolu, pea fakalahi ʻo liunga ua kiate ia ʻo fakatatau ki heʻene ngaahi ngāue: ʻi he ipu naʻá ne fakafonu aí, fakafonu kiate ia ʻo liunga ua. Ko hono lahi ʻo ʻene fakalāngilangiʻi ia pē, mo ʻene nofo ʻi he fiefia lahi, ko e lahi tatau pē ia ʻo e mamahi mo e tengihia ke ʻoange kiate ia: he ʻoku ne pehē ʻi hono loto, ʻOku ou nofo ko ha kuini, pea ʻoku ʻikai te u uitou, pea ʻe ʻikai te u mamata ki he mamahi. Fakahā 18:4–7.</w:t>
      </w:r>
    </w:p>
    <w:p>
      <w:pPr>
        <w:pStyle w:val="ArticleBody"/>
        <w:jc w:val="left"/>
      </w:pPr>
      <w:r>
        <w:rPr>
          <w:rFonts w:ascii="Times New Roman" w:hAnsi="Times New Roman" w:eastAsia="Times New Roman" w:cs="Times New Roman"/>
        </w:rPr>
        <w:t>Ismaël en zijn moeder Hagar werden ervan weerhouden het eerstgeboorterecht te erven en werden uitgedreven. Zo werd jaloezie de profetische drijfveer van de islam, en oorlogvoering haar profetische bezigheid. De eerste vermelding omvat de beperking die door Sara aan Ismaël en zijn moeder werd opgelegd, en hun „beperking” werd een voornaam profetisch kenmerk van de islam, door heel Gods Woord en de geschiedenis heen. De nakomelingen van Ismaël zouden wilde mannen zijn, wier hand tegen ieder mens was, en hun wilde aard wordt voorgesteld door de wilde Arabische ezel, uit de paardenfamilie. Zo wordt de islamitische oorlogvoering van de eerste en tweede wee voorgesteld als krijgers die rijden op toornige paarden.</w:t>
      </w:r>
    </w:p>
    <w:p>
      <w:pPr>
        <w:pStyle w:val="ArticleBody"/>
        <w:jc w:val="left"/>
      </w:pPr>
      <w:r>
        <w:rPr>
          <w:rFonts w:ascii="Times New Roman" w:hAnsi="Times New Roman" w:eastAsia="Times New Roman" w:cs="Times New Roman"/>
        </w:rPr>
        <w:t>ئسلام ئاخىرقى يامغۇرنىڭ ئۇچۇرىدۇر، ۋە ئۈچ «ۋاي»نىڭ ئۈچ ئالاھىدە پەيغەمبەرلىك سىزىقىغا ۋەكىللىك قىلىشى تامامەن لايىق، چۈنكى ئاخىرقى يامغۇرنىڭ مېتودولوگىيەسى «سىزىق ئۈستىگە سىزىق»تۇر. بىرىنچى ئىككى سىزىقنىڭ پەيغەمبەرلىك خاراكتېرى بىر يەرگە جەم قىلىنغاندا، ئۇلار ئۈچىنچى «ۋاي»نىڭ سىزىقىنى بەرپا قىلىدۇ. بۇ ئۈچ پەيغەمبەرلىك سىزىقىنىڭ ھەممىسى يۈز قىرىق تۆت مىڭنىڭ مۇھرىلىنىش دەۋرىنى تەسۋىرلەيدۇ. بۇ ئۈچ سىزىق ئاخىرقى يامغۇرنىڭ تۆكۈلۈش دەۋرىگە ۋەكىللىك قىلىدۇ، چۈنكى ئاخىرقى يامغۇر 2001-يىلى 11-سېنتەبىردە ئۈچىنچى «ۋاي» يېتىپ كەلگەندە چاچراشقا باشلىغان ئىدى.</w:t>
      </w:r>
    </w:p>
    <w:p>
      <w:pPr>
        <w:pStyle w:val="ArticleScripture"/>
        <w:jc w:val="left"/>
      </w:pPr>
      <w:r>
        <w:rPr>
          <w:rFonts w:ascii="Times New Roman" w:hAnsi="Times New Roman" w:eastAsia="Times New Roman" w:cs="Times New Roman"/>
        </w:rPr>
        <w:t>“La lluvia tardía ha de caer sobre el pueblo de Dios. Un ángel poderoso ha de descender del cielo, y toda la tierra ha de ser alumbrada con su gloria.” Review and Herald, 21 de abril de 1891.</w:t>
      </w:r>
    </w:p>
    <w:p>
      <w:pPr>
        <w:pStyle w:val="ArticleBody"/>
        <w:jc w:val="left"/>
      </w:pPr>
      <w:r>
        <w:rPr>
          <w:rFonts w:ascii="Times New Roman" w:hAnsi="Times New Roman" w:eastAsia="Times New Roman" w:cs="Times New Roman"/>
        </w:rPr>
        <w:t>A téhn chheh hun thu khâwm hun chu August 11, 1840-a a ṭan a, vântirhkoh pathumna a lo thlen ni October 22, 1844-a a tâwp chu a entîr bawk a ni. Chu hun chhûnga thil thleng chu Habakkuk bung 2-ah pawh a entîr bawk. Millerite hun chanchin chuan Habakkuk bung 2 chu a hlen a, chutiangin vântirhkoh chu August 11, 1840-ah a lo chhuk ṭan a, vântirhkoh pathumna chu October 22, 1844-ah a lo thlenin a tâwp ta a ni.</w:t>
      </w:r>
    </w:p>
    <w:p>
      <w:pPr>
        <w:pStyle w:val="ArticleBody"/>
        <w:jc w:val="left"/>
      </w:pPr>
      <w:r>
        <w:rPr>
          <w:rFonts w:ascii="Ebrima" w:hAnsi="Ebrima" w:eastAsia="Ebrima" w:cs="Ebrima"/>
        </w:rPr>
        <w:t>እንባቆም</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2 </w:t>
      </w:r>
      <w:r>
        <w:rPr>
          <w:rFonts w:ascii="Ebrima" w:hAnsi="Ebrima" w:eastAsia="Ebrima" w:cs="Ebrima"/>
        </w:rPr>
        <w:t>ራእዩ</w:t>
      </w:r>
      <w:r>
        <w:rPr>
          <w:rFonts w:ascii="Times New Roman" w:hAnsi="Times New Roman" w:eastAsia="Times New Roman" w:cs="Times New Roman"/>
        </w:rPr>
        <w:t xml:space="preserve"> </w:t>
      </w:r>
      <w:r>
        <w:rPr>
          <w:rFonts w:ascii="Ebrima" w:hAnsi="Ebrima" w:eastAsia="Ebrima" w:cs="Ebrima"/>
        </w:rPr>
        <w:t>በመጨረሻው</w:t>
      </w:r>
      <w:r>
        <w:rPr>
          <w:rFonts w:ascii="Times New Roman" w:hAnsi="Times New Roman" w:eastAsia="Times New Roman" w:cs="Times New Roman"/>
        </w:rPr>
        <w:t xml:space="preserve"> “</w:t>
      </w:r>
      <w:r>
        <w:rPr>
          <w:rFonts w:ascii="Ebrima" w:hAnsi="Ebrima" w:eastAsia="Ebrima" w:cs="Ebrima"/>
        </w:rPr>
        <w:t>እንዲናገር</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ያመለክታል።</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10 </w:t>
      </w:r>
      <w:r>
        <w:rPr>
          <w:rFonts w:ascii="Ebrima" w:hAnsi="Ebrima" w:eastAsia="Ebrima" w:cs="Ebrima"/>
        </w:rPr>
        <w:t>ቁጥር</w:t>
      </w:r>
      <w:r>
        <w:rPr>
          <w:rFonts w:ascii="Times New Roman" w:hAnsi="Times New Roman" w:eastAsia="Times New Roman" w:cs="Times New Roman"/>
        </w:rPr>
        <w:t xml:space="preserve"> 3 </w:t>
      </w:r>
      <w:r>
        <w:rPr>
          <w:rFonts w:ascii="Ebrima" w:hAnsi="Ebrima" w:eastAsia="Ebrima" w:cs="Ebrima"/>
        </w:rPr>
        <w:t>መልአኩ</w:t>
      </w:r>
      <w:r>
        <w:rPr>
          <w:rFonts w:ascii="Times New Roman" w:hAnsi="Times New Roman" w:eastAsia="Times New Roman" w:cs="Times New Roman"/>
        </w:rPr>
        <w:t xml:space="preserve"> </w:t>
      </w:r>
      <w:r>
        <w:rPr>
          <w:rFonts w:ascii="Ebrima" w:hAnsi="Ebrima" w:eastAsia="Ebrima" w:cs="Ebrima"/>
        </w:rPr>
        <w:t>በታላቅ</w:t>
      </w:r>
      <w:r>
        <w:rPr>
          <w:rFonts w:ascii="Times New Roman" w:hAnsi="Times New Roman" w:eastAsia="Times New Roman" w:cs="Times New Roman"/>
        </w:rPr>
        <w:t xml:space="preserve">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ጮኸ</w:t>
      </w:r>
      <w:r>
        <w:rPr>
          <w:rFonts w:ascii="Times New Roman" w:hAnsi="Times New Roman" w:eastAsia="Times New Roman" w:cs="Times New Roman"/>
        </w:rPr>
        <w:t xml:space="preserve"> (</w:t>
      </w:r>
      <w:r>
        <w:rPr>
          <w:rFonts w:ascii="Ebrima" w:hAnsi="Ebrima" w:eastAsia="Ebrima" w:cs="Ebrima"/>
        </w:rPr>
        <w:t>ተናገረ</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በጥቅምት</w:t>
      </w:r>
      <w:r>
        <w:rPr>
          <w:rFonts w:ascii="Times New Roman" w:hAnsi="Times New Roman" w:eastAsia="Times New Roman" w:cs="Times New Roman"/>
        </w:rPr>
        <w:t xml:space="preserve"> 22 </w:t>
      </w:r>
      <w:r>
        <w:rPr>
          <w:rFonts w:ascii="Ebrima" w:hAnsi="Ebrima" w:eastAsia="Ebrima" w:cs="Ebrima"/>
        </w:rPr>
        <w:t>ቀን</w:t>
      </w:r>
      <w:r>
        <w:rPr>
          <w:rFonts w:ascii="Times New Roman" w:hAnsi="Times New Roman" w:eastAsia="Times New Roman" w:cs="Times New Roman"/>
        </w:rPr>
        <w:t xml:space="preserve"> 1844 </w:t>
      </w:r>
      <w:r>
        <w:rPr>
          <w:rFonts w:ascii="Ebrima" w:hAnsi="Ebrima" w:eastAsia="Ebrima" w:cs="Ebrima"/>
        </w:rPr>
        <w:t>ያው</w:t>
      </w:r>
      <w:r>
        <w:rPr>
          <w:rFonts w:ascii="Times New Roman" w:hAnsi="Times New Roman" w:eastAsia="Times New Roman" w:cs="Times New Roman"/>
        </w:rPr>
        <w:t xml:space="preserve"> </w:t>
      </w:r>
      <w:r>
        <w:rPr>
          <w:rFonts w:ascii="Ebrima" w:hAnsi="Ebrima" w:eastAsia="Ebrima" w:cs="Ebrima"/>
        </w:rPr>
        <w:t>መልአክ</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እንዳይኖር</w:t>
      </w:r>
      <w:r>
        <w:rPr>
          <w:rFonts w:ascii="Times New Roman" w:hAnsi="Times New Roman" w:eastAsia="Times New Roman" w:cs="Times New Roman"/>
        </w:rPr>
        <w:t xml:space="preserve">” </w:t>
      </w:r>
      <w:r>
        <w:rPr>
          <w:rFonts w:ascii="Ebrima" w:hAnsi="Ebrima" w:eastAsia="Ebrima" w:cs="Ebrima"/>
        </w:rPr>
        <w:t>ብሎ</w:t>
      </w:r>
      <w:r>
        <w:rPr>
          <w:rFonts w:ascii="Times New Roman" w:hAnsi="Times New Roman" w:eastAsia="Times New Roman" w:cs="Times New Roman"/>
        </w:rPr>
        <w:t xml:space="preserve"> </w:t>
      </w:r>
      <w:r>
        <w:rPr>
          <w:rFonts w:ascii="Ebrima" w:hAnsi="Ebrima" w:eastAsia="Ebrima" w:cs="Ebrima"/>
        </w:rPr>
        <w:t>ማለ</w:t>
      </w:r>
      <w:r>
        <w:rPr>
          <w:rFonts w:ascii="Times New Roman" w:hAnsi="Times New Roman" w:eastAsia="Times New Roman" w:cs="Times New Roman"/>
        </w:rPr>
        <w:t xml:space="preserve"> (</w:t>
      </w:r>
      <w:r>
        <w:rPr>
          <w:rFonts w:ascii="Ebrima" w:hAnsi="Ebrima" w:eastAsia="Ebrima" w:cs="Ebrima"/>
        </w:rPr>
        <w:t>ተናገረ</w:t>
      </w:r>
      <w:r>
        <w:rPr>
          <w:rFonts w:ascii="Times New Roman" w:hAnsi="Times New Roman" w:eastAsia="Times New Roman" w:cs="Times New Roman"/>
        </w:rPr>
        <w: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በእንባቆም</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2 </w:t>
      </w:r>
      <w:r>
        <w:rPr>
          <w:rFonts w:ascii="Ebrima" w:hAnsi="Ebrima" w:eastAsia="Ebrima" w:cs="Ebrima"/>
        </w:rPr>
        <w:t>ቁጥር</w:t>
      </w:r>
      <w:r>
        <w:rPr>
          <w:rFonts w:ascii="Times New Roman" w:hAnsi="Times New Roman" w:eastAsia="Times New Roman" w:cs="Times New Roman"/>
        </w:rPr>
        <w:t xml:space="preserve"> 1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ጠባቂ</w:t>
      </w:r>
      <w:r>
        <w:rPr>
          <w:rFonts w:ascii="Times New Roman" w:hAnsi="Times New Roman" w:eastAsia="Times New Roman" w:cs="Times New Roman"/>
        </w:rPr>
        <w:t xml:space="preserve"> </w:t>
      </w:r>
      <w:r>
        <w:rPr>
          <w:rFonts w:ascii="Ebrima" w:hAnsi="Ebrima" w:eastAsia="Ebrima" w:cs="Ebrima"/>
        </w:rPr>
        <w:t>በነሐሴ</w:t>
      </w:r>
      <w:r>
        <w:rPr>
          <w:rFonts w:ascii="Times New Roman" w:hAnsi="Times New Roman" w:eastAsia="Times New Roman" w:cs="Times New Roman"/>
        </w:rPr>
        <w:t xml:space="preserve"> 11 </w:t>
      </w:r>
      <w:r>
        <w:rPr>
          <w:rFonts w:ascii="Ebrima" w:hAnsi="Ebrima" w:eastAsia="Ebrima" w:cs="Ebrima"/>
        </w:rPr>
        <w:t>ቀን</w:t>
      </w:r>
      <w:r>
        <w:rPr>
          <w:rFonts w:ascii="Times New Roman" w:hAnsi="Times New Roman" w:eastAsia="Times New Roman" w:cs="Times New Roman"/>
        </w:rPr>
        <w:t xml:space="preserve"> 1840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ጠባቂዎቹ</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ድምፃቸውን</w:t>
      </w:r>
      <w:r>
        <w:rPr>
          <w:rFonts w:ascii="Times New Roman" w:hAnsi="Times New Roman" w:eastAsia="Times New Roman" w:cs="Times New Roman"/>
        </w:rPr>
        <w:t xml:space="preserve"> </w:t>
      </w:r>
      <w:r>
        <w:rPr>
          <w:rFonts w:ascii="Ebrima" w:hAnsi="Ebrima" w:eastAsia="Ebrima" w:cs="Ebrima"/>
        </w:rPr>
        <w:t>ያነሣሉና።</w:t>
      </w:r>
    </w:p>
    <w:p>
      <w:pPr>
        <w:pStyle w:val="ArticleBody"/>
        <w:jc w:val="left"/>
      </w:pP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विद्रोहमा</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अठारको</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चिनाउनुहुन्छ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पृथ्वीलाई</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उज्यालो</w:t>
      </w:r>
      <w:r>
        <w:rPr>
          <w:rFonts w:ascii="Times New Roman" w:hAnsi="Times New Roman" w:eastAsia="Times New Roman" w:cs="Times New Roman"/>
        </w:rPr>
        <w:t xml:space="preserve"> </w:t>
      </w:r>
      <w:r>
        <w:rPr>
          <w:rFonts w:ascii="Nirmala UI" w:hAnsi="Nirmala UI" w:eastAsia="Nirmala UI" w:cs="Nirmala UI"/>
        </w:rPr>
        <w:t>पार्नुपर्ने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पहरेदारहरूले</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आवाजहरू</w:t>
      </w:r>
      <w:r>
        <w:rPr>
          <w:rFonts w:ascii="Times New Roman" w:hAnsi="Times New Roman" w:eastAsia="Times New Roman" w:cs="Times New Roman"/>
        </w:rPr>
        <w:t xml:space="preserve">” </w:t>
      </w:r>
      <w:r>
        <w:rPr>
          <w:rFonts w:ascii="Nirmala UI" w:hAnsi="Nirmala UI" w:eastAsia="Nirmala UI" w:cs="Nirmala UI"/>
        </w:rPr>
        <w:t>तुरहीझैँ</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अपराधहरू</w:t>
      </w:r>
      <w:r>
        <w:rPr>
          <w:rFonts w:ascii="Times New Roman" w:hAnsi="Times New Roman" w:eastAsia="Times New Roman" w:cs="Times New Roman"/>
        </w:rPr>
        <w:t xml:space="preserve"> </w:t>
      </w:r>
      <w:r>
        <w:rPr>
          <w:rFonts w:ascii="Nirmala UI" w:hAnsi="Nirmala UI" w:eastAsia="Nirmala UI" w:cs="Nirmala UI"/>
        </w:rPr>
        <w:t>देखाइदिऊन्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लाओडिसियालाई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प्रतीकरूप</w:t>
      </w:r>
      <w:r>
        <w:rPr>
          <w:rFonts w:ascii="Times New Roman" w:hAnsi="Times New Roman" w:eastAsia="Times New Roman" w:cs="Times New Roman"/>
        </w:rPr>
        <w:t xml:space="preserve"> </w:t>
      </w:r>
      <w:r>
        <w:rPr>
          <w:rFonts w:ascii="Nirmala UI" w:hAnsi="Nirmala UI" w:eastAsia="Nirmala UI" w:cs="Nirmala UI"/>
        </w:rPr>
        <w:t>१८८८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इतिहासद्वारा</w:t>
      </w:r>
      <w:r>
        <w:rPr>
          <w:rFonts w:ascii="Times New Roman" w:hAnsi="Times New Roman" w:eastAsia="Times New Roman" w:cs="Times New Roman"/>
        </w:rPr>
        <w:t xml:space="preserve"> </w:t>
      </w:r>
      <w:r>
        <w:rPr>
          <w:rFonts w:ascii="Nirmala UI" w:hAnsi="Nirmala UI" w:eastAsia="Nirmala UI" w:cs="Nirmala UI"/>
        </w:rPr>
        <w:t>पूर्वचित्रित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w:t>
      </w:r>
      <w:r>
        <w:rPr>
          <w:rFonts w:ascii="Nirmala UI" w:hAnsi="Nirmala UI" w:eastAsia="Nirmala UI" w:cs="Nirmala UI"/>
        </w:rPr>
        <w:t>दिनका</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यर्मियाका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मार्गहरूतर्फ</w:t>
      </w:r>
      <w:r>
        <w:rPr>
          <w:rFonts w:ascii="Times New Roman" w:hAnsi="Times New Roman" w:eastAsia="Times New Roman" w:cs="Times New Roman"/>
        </w:rPr>
        <w:t xml:space="preserve"> </w:t>
      </w:r>
      <w:r>
        <w:rPr>
          <w:rFonts w:ascii="Nirmala UI" w:hAnsi="Nirmala UI" w:eastAsia="Nirmala UI" w:cs="Nirmala UI"/>
        </w:rPr>
        <w:t>फर्काइलिनुभयो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पहरेदारहरूको</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सुनिएन।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अवतरणले</w:t>
      </w:r>
      <w:r>
        <w:rPr>
          <w:rFonts w:ascii="Times New Roman" w:hAnsi="Times New Roman" w:eastAsia="Times New Roman" w:cs="Times New Roman"/>
        </w:rPr>
        <w:t xml:space="preserve"> </w:t>
      </w:r>
      <w:r>
        <w:rPr>
          <w:rFonts w:ascii="Nirmala UI" w:hAnsi="Nirmala UI" w:eastAsia="Nirmala UI" w:cs="Nirmala UI"/>
        </w:rPr>
        <w:t>पहरेदारहरूको</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आगमनलाई</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“Vocis” quae die 11 Augusti 1840 advenit, per vigiles allata est; et Ieremiae dictum est, si post delusionem suam ad fidem suam ac fiduciam in Deo rediret, eum os Dei futurum esse. Cum visio, quae moram fecerat, tandem die 22 Octobris 1844 advenit, illa “locuta est.” Tempus capitis secundi Habacuc, quod in historia Milleritarum adimpletum est, tempus obsignationis centum quadraginta quattuor milium illustrat.</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11 </w:t>
      </w:r>
      <w:r>
        <w:rPr>
          <w:rFonts w:ascii="Nirmala UI" w:hAnsi="Nirmala UI" w:eastAsia="Nirmala UI" w:cs="Nirmala UI"/>
        </w:rPr>
        <w:t>अगस्त</w:t>
      </w:r>
      <w:r>
        <w:rPr>
          <w:rFonts w:ascii="Times New Roman" w:hAnsi="Times New Roman" w:eastAsia="Times New Roman" w:cs="Times New Roman"/>
        </w:rPr>
        <w:t xml:space="preserve">, 1840 </w:t>
      </w:r>
      <w:r>
        <w:rPr>
          <w:rFonts w:ascii="Nirmala UI" w:hAnsi="Nirmala UI" w:eastAsia="Nirmala UI" w:cs="Nirmala UI"/>
        </w:rPr>
        <w:t>से</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उंडेली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पिछली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“Mižtásan proroctva, ktoré považovali za vzťahujúce sa na čas druhého príchodu, bolo obsiahnuté poučenie osobitne prispôsobené ich stavu neistoty a napätého očakávania a povzbudzujúce ich, aby trpezlivo očakávali vo viere, že to, čo je teraz ich chápaniu temné, bude vo svojom čase objasnené.</w:t>
      </w:r>
    </w:p>
    <w:p>
      <w:pPr>
        <w:pStyle w:val="ArticleScripture"/>
        <w:jc w:val="left"/>
      </w:pPr>
      <w:r>
        <w:rPr>
          <w:rFonts w:ascii="Times New Roman" w:hAnsi="Times New Roman" w:eastAsia="Times New Roman" w:cs="Times New Roman"/>
        </w:rPr>
        <w:t>«Այս մարգարեությունների մեջ էր նաև Ամբակում 2:1–4-ի մարգարեությունը. «Ես կկանգնեմ իմ պահակակետում և կհաստատվեմ աշտարակի վրա, և կհսկեմ՝ տեսնելու, թե Նա ինչ պիտի ասի ինձ, և ես ինչ պիտի պատասխանեմ, երբ հանդիմանվեմ։ Եվ Տերը պատասխանեց ինձ ու ասաց. Գրի՛ր տեսիլքը և այն պարզ դի՛ր տախտակների վրա, որպեսզի ընթերցողը կարողանա վազել։ Որովհետև տեսիլքը դեռ նշանակված ժամանակի համար է, բայց վախճանին այն պիտի խոսի և սուտ չի լինի. թեև այն ուշանա, սպասի՛ր նրան, որովհետև անպատճառ պիտի գա, չի ուշանա։ Ահա նրա հոգին, որ հպարտացած է, ուղիղ չէ նրա մեջ. բայց արդարը պիտի ապրի իր հավատքով»։</w:t>
      </w:r>
    </w:p>
    <w:p>
      <w:pPr>
        <w:pStyle w:val="ArticleScripture"/>
        <w:jc w:val="left"/>
      </w:pPr>
      <w:r>
        <w:rPr>
          <w:rFonts w:ascii="Times New Roman" w:hAnsi="Times New Roman" w:eastAsia="Times New Roman" w:cs="Times New Roman"/>
        </w:rPr>
        <w:t>Sot qysh në vitin 1842, udhëzimi i dhënë në këtë profeci për “ta shkruar vegimin dhe për ta bërë të qartë mbi tabela, që të mund të vrapojë ai që e lexon”, i pati sugjeruar Charles Fitch-it përgatitjen e një harte profetike për të ilustruar vegimet e Danielit dhe të Zbulesës. Botimi i kësaj harte u konsiderua si një përmbushje e urdhrit të dhënë nga Habakuku. Megjithatë, askush atëherë nuk vuri re se në të njëjtën profeci paraqitet një vonesë e dukshme në përmbushjen e vegimit — një kohë pritjeje. Pas zhgënjimit, ky Shkrim u shfaq shumë domethënës: “Sepse vegimi është ende për një kohë të caktuar, por në fund ai do të flasë dhe nuk do të gënjejë; edhe sikur të vonojë, prite; sepse me siguri do të vijë, nuk do të vonojë.... I drejti do të jetojë me anë të besimit të tij.”</w:t>
      </w:r>
    </w:p>
    <w:p>
      <w:pPr>
        <w:pStyle w:val="ArticleScripture"/>
        <w:jc w:val="left"/>
      </w:pPr>
      <w:r>
        <w:rPr>
          <w:rFonts w:ascii="Times New Roman" w:hAnsi="Times New Roman" w:eastAsia="Times New Roman" w:cs="Times New Roman"/>
        </w:rPr>
        <w:t>Unha porción da profecía de Ezequiel foi tamén fonte de forza e consolo para os crentes: «A palabra do Señor veu a min, dicindo: Fillo do home, que refrán é este que tedes na terra de Israel, dicindo: Prolónganse os días, e toda visión falla? Dilles, pois: Así di o Señor Deus.... Os días están próximos, e o cumprimento de toda visión.... Eu falarei, e a palabra que Eu falar cumprirase; non será xa máis prolongada». «Os da casa de Israel din: A visión que el ve é para moitos días por vir, e profetiza de tempos afastados. Polo tanto, dilles: Así di o Señor Deus; ningunha das Miñas palabras será xa máis prolongada, senón que a palabra que Eu falei será feita». Ezequiel 12:21–25, 27, 28.» O Gran Conflito, 391–393.</w:t>
      </w:r>
    </w:p>
    <w:p>
      <w:pPr>
        <w:pStyle w:val="ArticleBody"/>
        <w:jc w:val="left"/>
      </w:pPr>
      <w:r>
        <w:rPr>
          <w:rFonts w:ascii="Times New Roman" w:hAnsi="Times New Roman" w:eastAsia="Times New Roman" w:cs="Times New Roman"/>
        </w:rPr>
        <w:t>Les millérites se voyaient non seulement comme accomplissant la parabole des dix vierges et le chapitre deux d’Habacuc, mais ils furent aussi conduits à reconnaître que l’histoire dans laquelle ils accomplissaient ces prophéties était également l’identification, par Ézéchiel, de cette même histoire, où « l’effet de toute vision » devait s’accomplir. La ligne d’histoire qui représente le scellement des cent quarante-quatre mille est celle où s’accomplit l’effet de toute vision !</w:t>
      </w:r>
    </w:p>
    <w:p>
      <w:pPr>
        <w:pStyle w:val="ArticleBody"/>
        <w:jc w:val="left"/>
      </w:pPr>
      <w:r>
        <w:rPr>
          <w:rFonts w:ascii="Times New Roman" w:hAnsi="Times New Roman" w:eastAsia="Times New Roman" w:cs="Times New Roman"/>
        </w:rPr>
        <w:t>ئه‌و هێڵانەی ماوەی بارانی دواتر و مۆرکردنی سەد و چل و چوار هەزار نیشان دەدەن، پێکەوە هێنراون بۆ ئەوەی بسەلمێنن کە ئەو مێژووی پێشبینییانە بەردەوام واژۆی ئەلفا و ئۆمێگایان هەیە.</w:t>
      </w:r>
    </w:p>
    <w:p>
      <w:pPr>
        <w:pStyle w:val="ArticleBody"/>
        <w:jc w:val="left"/>
      </w:pPr>
      <w:r>
        <w:rPr>
          <w:rFonts w:ascii="Times New Roman" w:hAnsi="Times New Roman" w:eastAsia="Times New Roman" w:cs="Times New Roman"/>
        </w:rPr>
        <w:t>L’histoire millérite commence par la voix de l’ange d’Apocalypse dix, et se termine par cette même voix. Le 11 septembre 2001 commence par la première voix d’Apocalypse chapitre dix-huit, et se termine par la seconde voix d’Apocalypse chapitre dix-huit. Habacuc chapitre deux commence par la voix des sentinelles, et se termine par la voix de la sentinelle de Jérémie. Le premier malheur commence avec Mahomet, et se termine avec Mahomet II. Le second malheur commence par la libération des quatre anges de l’islam et se termine par la mise en retenue de l’islam.</w:t>
      </w:r>
    </w:p>
    <w:p>
      <w:pPr>
        <w:pStyle w:val="ArticleBody"/>
        <w:jc w:val="left"/>
      </w:pPr>
      <w:r>
        <w:rPr>
          <w:rFonts w:ascii="Nirmala UI" w:hAnsi="Nirmala UI" w:eastAsia="Nirmala UI" w:cs="Nirmala UI"/>
        </w:rPr>
        <w:t>इसाैयाह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कार्यविधि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उत्तरवर्षा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अनिवार्यतः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मुहम्मद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मुहम्मद</w:t>
      </w:r>
      <w:r>
        <w:rPr>
          <w:rFonts w:ascii="Times New Roman" w:hAnsi="Times New Roman" w:eastAsia="Times New Roman" w:cs="Times New Roman"/>
        </w:rPr>
        <w:t xml:space="preserve"> </w:t>
      </w:r>
      <w:r>
        <w:rPr>
          <w:rFonts w:ascii="Nirmala UI" w:hAnsi="Nirmala UI" w:eastAsia="Nirmala UI" w:cs="Nirmala UI"/>
        </w:rPr>
        <w:t>द्वितीय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विभाजित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अव्यवस्थित</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अबूबकर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संगठित</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हुआ।</w:t>
      </w:r>
    </w:p>
    <w:p>
      <w:pPr>
        <w:pStyle w:val="ArticleBody"/>
        <w:jc w:val="left"/>
      </w:pPr>
      <w:r>
        <w:rPr>
          <w:rFonts w:ascii="Microsoft Himalaya" w:hAnsi="Microsoft Himalaya" w:eastAsia="Microsoft Himalaya" w:cs="Microsoft Himalaya"/>
        </w:rPr>
        <w:t>ལོ་བརྒྱ་དང་ལྔ་བཅུ་ནི</w:t>
      </w:r>
      <w:r>
        <w:rPr>
          <w:rFonts w:ascii="Times New Roman" w:hAnsi="Times New Roman" w:eastAsia="Times New Roman" w:cs="Times New Roman"/>
        </w:rPr>
        <w:t xml:space="preserve"> “</w:t>
      </w:r>
      <w:r>
        <w:rPr>
          <w:rFonts w:ascii="Microsoft Himalaya" w:hAnsi="Microsoft Himalaya" w:eastAsia="Microsoft Himalaya" w:cs="Microsoft Himalaya"/>
        </w:rPr>
        <w:t>ཟླ་བ་ལྔ་</w:t>
      </w:r>
      <w:r>
        <w:rPr>
          <w:rFonts w:ascii="Times New Roman" w:hAnsi="Times New Roman" w:eastAsia="Times New Roman" w:cs="Times New Roman"/>
        </w:rPr>
        <w:t xml:space="preserve">” </w:t>
      </w:r>
      <w:r>
        <w:rPr>
          <w:rFonts w:ascii="Microsoft Himalaya" w:hAnsi="Microsoft Himalaya" w:eastAsia="Microsoft Himalaya" w:cs="Microsoft Himalaya"/>
        </w:rPr>
        <w:t>ཞེས་པའི་དུས་ཚོད་ཀྱི་སྔོན་བསྟན་གྱིས་མཚོན་པ་ཡིན།</w:t>
      </w:r>
      <w:r>
        <w:rPr>
          <w:rFonts w:ascii="Times New Roman" w:hAnsi="Times New Roman" w:eastAsia="Times New Roman" w:cs="Times New Roman"/>
        </w:rPr>
        <w:t xml:space="preserve"> </w:t>
      </w:r>
      <w:r>
        <w:rPr>
          <w:rFonts w:ascii="Microsoft Himalaya" w:hAnsi="Microsoft Himalaya" w:eastAsia="Microsoft Himalaya" w:cs="Microsoft Himalaya"/>
        </w:rPr>
        <w:t>དེ་བཞིན་དུ།</w:t>
      </w:r>
      <w:r>
        <w:rPr>
          <w:rFonts w:ascii="Times New Roman" w:hAnsi="Times New Roman" w:eastAsia="Times New Roman" w:cs="Times New Roman"/>
        </w:rPr>
        <w:t xml:space="preserve"> </w:t>
      </w:r>
      <w:r>
        <w:rPr>
          <w:rFonts w:ascii="Microsoft Himalaya" w:hAnsi="Microsoft Himalaya" w:eastAsia="Microsoft Himalaya" w:cs="Microsoft Himalaya"/>
        </w:rPr>
        <w:t>ཆགས་སྡུག་གཉིས་པ་ལའང་ལོ་བརྒྱ་གསུམ་དང་གོ་གཅིག</w:t>
      </w:r>
      <w:r>
        <w:rPr>
          <w:rFonts w:ascii="Times New Roman" w:hAnsi="Times New Roman" w:eastAsia="Times New Roman" w:cs="Times New Roman"/>
        </w:rPr>
        <w:t xml:space="preserve"> </w:t>
      </w:r>
      <w:r>
        <w:rPr>
          <w:rFonts w:ascii="Microsoft Himalaya" w:hAnsi="Microsoft Himalaya" w:eastAsia="Microsoft Himalaya" w:cs="Microsoft Himalaya"/>
        </w:rPr>
        <w:t>ཉིན་བཅོ་ལྔ་ཡིན་པའི་དུས་ཚོད་ཀྱི་སྔོན་བསྟན་ཞིག་ཡོད།</w:t>
      </w:r>
      <w:r>
        <w:rPr>
          <w:rFonts w:ascii="Times New Roman" w:hAnsi="Times New Roman" w:eastAsia="Times New Roman" w:cs="Times New Roman"/>
        </w:rPr>
        <w:t xml:space="preserve"> </w:t>
      </w:r>
      <w:r>
        <w:rPr>
          <w:rFonts w:ascii="Microsoft Himalaya" w:hAnsi="Microsoft Himalaya" w:eastAsia="Microsoft Himalaya" w:cs="Microsoft Himalaya"/>
        </w:rPr>
        <w:t>དེའི་ཕྱིར།</w:t>
      </w:r>
      <w:r>
        <w:rPr>
          <w:rFonts w:ascii="Times New Roman" w:hAnsi="Times New Roman" w:eastAsia="Times New Roman" w:cs="Times New Roman"/>
        </w:rPr>
        <w:t xml:space="preserve"> </w:t>
      </w:r>
      <w:r>
        <w:rPr>
          <w:rFonts w:ascii="Microsoft Himalaya" w:hAnsi="Microsoft Himalaya" w:eastAsia="Microsoft Himalaya" w:cs="Microsoft Himalaya"/>
        </w:rPr>
        <w:t>ཆགས་སྡུག་དང་པོ་དང་གཉིས་པའི་སྔོན་བསྟན་གྱི་གཞི་རྟེན་གྱིས་མཇུག་མཐའ་དེ་ཐོག་མ་དང་འབྲེལ་བར་ངོས་འཛིན་པས།</w:t>
      </w:r>
      <w:r>
        <w:rPr>
          <w:rFonts w:ascii="Times New Roman" w:hAnsi="Times New Roman" w:eastAsia="Times New Roman" w:cs="Times New Roman"/>
        </w:rPr>
        <w:t xml:space="preserve"> </w:t>
      </w:r>
      <w:r>
        <w:rPr>
          <w:rFonts w:ascii="Microsoft Himalaya" w:hAnsi="Microsoft Himalaya" w:eastAsia="Microsoft Himalaya" w:cs="Microsoft Himalaya"/>
        </w:rPr>
        <w:t>དེའི་ནང་དུ་ཐེལ་རྒྱག་པའི་ལས་རིམ་དང་།</w:t>
      </w:r>
      <w:r>
        <w:rPr>
          <w:rFonts w:ascii="Times New Roman" w:hAnsi="Times New Roman" w:eastAsia="Times New Roman" w:cs="Times New Roman"/>
        </w:rPr>
        <w:t xml:space="preserve"> </w:t>
      </w:r>
      <w:r>
        <w:rPr>
          <w:rFonts w:ascii="Microsoft Himalaya" w:hAnsi="Microsoft Himalaya" w:eastAsia="Microsoft Himalaya" w:cs="Microsoft Himalaya"/>
        </w:rPr>
        <w:t>དུས་ཚོད་ཀྱི་ཡུན་ངེས་ཅན་ཞིག་གི་བར་ཆད་ཅིག་ཡོད།</w:t>
      </w:r>
      <w:r>
        <w:rPr>
          <w:rFonts w:ascii="Times New Roman" w:hAnsi="Times New Roman" w:eastAsia="Times New Roman" w:cs="Times New Roman"/>
        </w:rPr>
        <w:t xml:space="preserve"> </w:t>
      </w:r>
      <w:r>
        <w:rPr>
          <w:rFonts w:ascii="Microsoft Himalaya" w:hAnsi="Microsoft Himalaya" w:eastAsia="Microsoft Himalaya" w:cs="Microsoft Himalaya"/>
        </w:rPr>
        <w:t>ཐེལ་རྒྱག་པའི་ལས་རིམ་ནི་ཆགས་སྡུག་དང་པོའི་ལོ་རྒྱུས་ཀྱི་ཐོག་མར་མཚོན་པ་ཡིན་ལ།</w:t>
      </w:r>
      <w:r>
        <w:rPr>
          <w:rFonts w:ascii="Times New Roman" w:hAnsi="Times New Roman" w:eastAsia="Times New Roman" w:cs="Times New Roman"/>
        </w:rPr>
        <w:t xml:space="preserve"> </w:t>
      </w:r>
      <w:r>
        <w:rPr>
          <w:rFonts w:ascii="Microsoft Himalaya" w:hAnsi="Microsoft Himalaya" w:eastAsia="Microsoft Himalaya" w:cs="Microsoft Himalaya"/>
        </w:rPr>
        <w:t>དེ་ཆགས་སྡུག་གཉིས་པའི་མཇུག་མཐར་ཡང་མཚོན་པ་ཡིན།</w:t>
      </w:r>
    </w:p>
    <w:p>
      <w:pPr>
        <w:pStyle w:val="ArticleBody"/>
        <w:jc w:val="left"/>
      </w:pPr>
      <w:r>
        <w:rPr>
          <w:rFonts w:ascii="Times New Roman" w:hAnsi="Times New Roman" w:eastAsia="Times New Roman" w:cs="Times New Roman"/>
        </w:rPr>
        <w:t>Waxa ka dambeeya shaabadaynta ku xusan aayadda afraad, belaayada kowaad, waa “shan bilood” (boqol iyo konton sannadood). Shantaas bilood laba jeer baa la tilmaamay, mar aayadda shanaad iyo mar kale aayadda tobnaad. Waxa ka horreeya habka shaabadaynta ee Agoosto 11, 1840 ilaa Oktoobar 22, 1844 ee belaayada labaadna waa waxsii sheegidda “saacadda, maalinta, bisha, iyo sannadka” (saddex boqol iyo sagaashan iyo kow sannadood iyo shan iyo toban maalmood), ee aayadda shan iyo tobnaad. Si wadajir ah, hal sadar oo isku xigta gudaheed, buunanka shanaad iyo lixaad waxay ku billowdaan kuna dhammaadaan tusaalayn ka bixinaysa habka shaabadaynta.</w:t>
      </w:r>
    </w:p>
    <w:p>
      <w:pPr>
        <w:pStyle w:val="ArticleBody"/>
        <w:jc w:val="left"/>
      </w:pPr>
      <w:r>
        <w:rPr>
          <w:rFonts w:ascii="Times New Roman" w:hAnsi="Times New Roman" w:eastAsia="Times New Roman" w:cs="Times New Roman"/>
        </w:rPr>
        <w:t>Onder twee lijnen toegepast, “regel op regel,” wijzen zij een begin en een einde aan, gemarkeerd door Mohammed de eerste en Mohammed de tweede. “Regel op regel” duiden zij in elke lijn twee onderscheiden perioden aan, hetgeen voortkomt uit het feit dat elke lijn een tijdsprofetie bezit. In de geschiedenis van het eerste wee moest de islam Rome “schaden,” en in het tweede wee moest zij Rome “doden.” Het eerste wee was een oorlogvoering met speren, zwaarden en pijlen, en het tweede wee voerde buskruit in als krijgstuig.</w:t>
      </w:r>
    </w:p>
    <w:p>
      <w:pPr>
        <w:pStyle w:val="ArticleScripture"/>
        <w:jc w:val="left"/>
      </w:pPr>
      <w:r>
        <w:rPr>
          <w:rFonts w:ascii="Times New Roman" w:hAnsi="Times New Roman" w:eastAsia="Times New Roman" w:cs="Times New Roman"/>
        </w:rPr>
        <w:t>«БОБИ 10. Ва онҳо думҳое монанди думҳои ақраб доштанд, ва дар думҳошон нешҳо буд; ва қудрати онҳо дар он буд, ки мардумро панҷ моҳ озор расонанд. 11. Ва бар онҳо подшоҳе буд, ки фариштаи чоҳи беҳад аст; номи ӯ ба забони ибронӣ Абаддун аст, вале ба забони юнонӣ номи ӯ Аполлиюн мебошад.»</w:t>
      </w:r>
    </w:p>
    <w:p>
      <w:pPr>
        <w:pStyle w:val="ArticleScripture"/>
        <w:jc w:val="left"/>
      </w:pPr>
      <w:r>
        <w:rPr>
          <w:rFonts w:ascii="Times New Roman" w:hAnsi="Times New Roman" w:eastAsia="Times New Roman" w:cs="Times New Roman"/>
        </w:rPr>
        <w:t>«مۇشۇ ۋاقىتقىچە، كىيث بىزگە بىرىنچى بەش كاناينىڭ چېلىنىشىغا ئائىت مىساللارنى تەقدىم قىلدى. ئەمما ئەمدى بىز ئۇنىڭ بىلەن خوشلىشىپ، بۇ يەردە نۇبۇۋۋەتتە يېڭىدىن كىرگۈزۈلگەن ئالاھىدىلىكنىڭ، يەنى نۇبۇۋۋەتلىك ۋاقىت مۇددىتىلىرىنىڭ، تەدبىقىغا ئۆتۈشىمىز كېرەك. »</w:t>
      </w:r>
    </w:p>
    <w:p>
      <w:pPr>
        <w:pStyle w:val="ArticleScripture"/>
        <w:jc w:val="left"/>
      </w:pPr>
      <w:r>
        <w:rPr>
          <w:rFonts w:ascii="Times New Roman" w:hAnsi="Times New Roman" w:eastAsia="Times New Roman" w:cs="Times New Roman"/>
        </w:rPr>
        <w:t>„Poderul lor era să-i vatăme pe oameni timp de cinci luni.—1. Se ridică întrebarea: pe ce oameni aveau ei să-i vatăme timp de cinci luni?—Fără îndoială, pe aceiași pe care după aceea aveau să-i ucidă (vezi versetul 15): „a treia parte a oamenilor”, sau a treia parte a Imperiului Roman,—diviziunea lui greacă.</w:t>
      </w:r>
    </w:p>
    <w:p>
      <w:pPr>
        <w:pStyle w:val="ArticleScripture"/>
        <w:jc w:val="left"/>
      </w:pPr>
      <w:r>
        <w:rPr>
          <w:rFonts w:ascii="Times New Roman" w:hAnsi="Times New Roman" w:eastAsia="Times New Roman" w:cs="Times New Roman"/>
        </w:rPr>
        <w:t>«2. На какой момент им надлежало приступить к своему делу мучения? На этот вопрос отвечает 11-й стих.</w:t>
      </w:r>
    </w:p>
    <w:p>
      <w:pPr>
        <w:pStyle w:val="ArticleScripture"/>
        <w:jc w:val="left"/>
      </w:pPr>
      <w:r>
        <w:rPr>
          <w:rFonts w:ascii="Times New Roman" w:hAnsi="Times New Roman" w:eastAsia="Times New Roman" w:cs="Times New Roman"/>
        </w:rPr>
        <w:t>“(1) ‘Ils avaient sur eux un roi.’ Depuis la mort de Mohammed jusqu’aux approches de la fin du treizième siècle, les mahométans furent divisés en diverses factions sous plusieurs chefs, sans qu’aucun gouvernement civil général s’étendît sur l’ensemble d’entre eux. Vers la fin du treizième siècle, Othman fonda un gouvernement qui, depuis lors, a été connu sous le nom de gouvernement ou d’empire ottoman, et qui se développa jusqu’à s’étendre sur toutes les principales tribus mahométanes, les réunissant en une seule grande monarchie.</w:t>
      </w:r>
    </w:p>
    <w:p>
      <w:pPr>
        <w:pStyle w:val="ArticleScripture"/>
        <w:jc w:val="left"/>
      </w:pPr>
      <w:r>
        <w:rPr>
          <w:rFonts w:ascii="Times New Roman" w:hAnsi="Times New Roman" w:eastAsia="Times New Roman" w:cs="Times New Roman"/>
        </w:rPr>
        <w:t>“(2) Hunhu hwamambo. ‘Anova mutumwa wegomba risina mugumo.’ Mutumwa unoreva nhume, mushumiri, angava akanaka kana akaipa, uye haasi nguva dzose chisikwa chomweya. ‘Mutumwa wegomba risina mugumo,’ kana kuti gurukota guru rechitendero chakabva imomo parakazarurwa. Chitendero ichocho iMohammedanism, uye sultan ndiye gurukota raro guru. ‘Sultan, kana kuti grand Seignior, sezvaanodanwa pasina kusiyaniswa, ndiye zvakare Supreme Caliph, kana muprista mukuru, achibatanidza mumunhu wake chiremerera chepamusoro chomweya pamwe chete nesimba guru rose rezvematongerwo enyika.’—World As It Is, p.361.”</w:t>
      </w:r>
    </w:p>
    <w:p>
      <w:pPr>
        <w:pStyle w:val="ArticleScripture"/>
        <w:jc w:val="left"/>
      </w:pPr>
      <w:r>
        <w:rPr>
          <w:rFonts w:ascii="Times New Roman" w:hAnsi="Times New Roman" w:eastAsia="Times New Roman" w:cs="Times New Roman"/>
        </w:rPr>
        <w:t>«(3) Son nom. En hébreu, “Abaddon”, le destructeur; en grec, “Apollyon”, celui qui extermine, ou qui détruit. Le fait qu’il porte deux noms différents dans deux langues montre clairement que c’est le caractère, plutôt que le nom de la puissance, qui est destiné à être représenté. S’il en est ainsi, tel qu’exprimé dans les deux langues, il est un destructeur. Tel a toujours été le caractère du gouvernement ottoman. »</w:t>
      </w:r>
    </w:p>
    <w:p>
      <w:pPr>
        <w:pStyle w:val="ArticleScripture"/>
        <w:jc w:val="left"/>
      </w:pPr>
      <w:r>
        <w:rPr>
          <w:rFonts w:ascii="Times New Roman" w:hAnsi="Times New Roman" w:eastAsia="Times New Roman" w:cs="Times New Roman"/>
        </w:rPr>
        <w:t>«Mais à quel moment Othman lança-t-il sa première attaque contre l’empire grec ? — Selon Gibbon, Decline and Fall, etc., “Othman entra pour la première fois sur le territoire de Nicomédie le 27e jour de juillet 1299.”»</w:t>
      </w:r>
    </w:p>
    <w:p>
      <w:pPr>
        <w:pStyle w:val="ArticleScripture"/>
        <w:jc w:val="left"/>
      </w:pPr>
      <w:r>
        <w:rPr>
          <w:rFonts w:ascii="Times New Roman" w:hAnsi="Times New Roman" w:eastAsia="Times New Roman" w:cs="Times New Roman"/>
        </w:rPr>
        <w:t>“Ɔkyerɛwfoɔ binom akontabuo no agyina adwene a wɔde susuu sɛ ɛsɛ sɛ berɛ no fi aseɛ wɔ Otoman ahennie no fapemtoɔ so; nanso yei da adi pefee sɛ ɛyɛ mfomsoɔ; ɛfiri sɛ, na ɛnyɛ sɛ wɔbɛnya ɔhene bi nko ara adi wɔn so, na mmom na ɛsɛ sɛ wɔha nnipa amane asram anum. Na amanehunu no berɛ rentumi mfiri aseɛ ansa na wɔn a wɔde amanehunu no ba no to hyɛɛ wɔn so deɛ ɛdi kan no, a na ɛyɛ, sɛdeɛ wɔaka no atifi hɔ no, July 27, 1299.”</w:t>
      </w:r>
    </w:p>
    <w:p>
      <w:pPr>
        <w:pStyle w:val="ArticleScripture"/>
        <w:jc w:val="left"/>
      </w:pPr>
      <w:r>
        <w:rPr>
          <w:rFonts w:ascii="Times New Roman" w:hAnsi="Times New Roman" w:eastAsia="Times New Roman" w:cs="Times New Roman"/>
        </w:rPr>
        <w:t>« Le calcul qui suit, fondé sur ce point de départ, fut effectué et publié dans un ouvrage intitulé Le second avènement du Christ, etc., par J. Litch, en 1838. »</w:t>
      </w:r>
    </w:p>
    <w:p>
      <w:pPr>
        <w:pStyle w:val="ArticleScripture"/>
        <w:jc w:val="left"/>
      </w:pPr>
      <w:r>
        <w:rPr>
          <w:rFonts w:ascii="Times New Roman" w:hAnsi="Times New Roman" w:eastAsia="Times New Roman" w:cs="Times New Roman"/>
        </w:rPr>
        <w:t>“‘</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विस्तृत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लूट</w:t>
      </w:r>
      <w:r>
        <w:rPr>
          <w:rFonts w:ascii="Times New Roman" w:hAnsi="Times New Roman" w:eastAsia="Times New Roman" w:cs="Times New Roman"/>
        </w:rPr>
        <w:t>-</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यातना</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राजनैतिक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प्रतीकात्मक</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27 </w:t>
      </w:r>
      <w:r>
        <w:rPr>
          <w:rFonts w:ascii="Nirmala UI" w:hAnsi="Nirmala UI" w:eastAsia="Nirmala UI" w:cs="Nirmala UI"/>
        </w:rPr>
        <w:t>जुलाई</w:t>
      </w:r>
      <w:r>
        <w:rPr>
          <w:rFonts w:ascii="Times New Roman" w:hAnsi="Times New Roman" w:eastAsia="Times New Roman" w:cs="Times New Roman"/>
        </w:rPr>
        <w:t xml:space="preserve">, 1299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1449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साम्राज्य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युद्धरत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बनाए</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कॉन्स्टैन्टिनोपल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यूनानी</w:t>
      </w:r>
      <w:r>
        <w:rPr>
          <w:rFonts w:ascii="Times New Roman" w:hAnsi="Times New Roman" w:eastAsia="Times New Roman" w:cs="Times New Roman"/>
        </w:rPr>
        <w:t xml:space="preserve"> </w:t>
      </w:r>
      <w:r>
        <w:rPr>
          <w:rFonts w:ascii="Nirmala UI" w:hAnsi="Nirmala UI" w:eastAsia="Nirmala UI" w:cs="Nirmala UI"/>
        </w:rPr>
        <w:t>स्वतंत्रता</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किन्तु</w:t>
      </w:r>
      <w:r>
        <w:rPr>
          <w:rFonts w:ascii="Times New Roman" w:hAnsi="Times New Roman" w:eastAsia="Times New Roman" w:cs="Times New Roman"/>
        </w:rPr>
        <w:t xml:space="preserve"> 1449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पचास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आगामी</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अन्तर्गत</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Uriah Smith, Daniel and Revelation, 505–507.</w:t>
      </w:r>
    </w:p>
    <w:p>
      <w:pPr>
        <w:pStyle w:val="ArticleBody"/>
        <w:jc w:val="left"/>
      </w:pPr>
      <w:r>
        <w:rPr>
          <w:rFonts w:ascii="Malgun Gothic" w:hAnsi="Malgun Gothic" w:eastAsia="Malgun Gothic" w:cs="Malgun Gothic"/>
        </w:rPr>
        <w:t>어리야</w:t>
      </w:r>
      <w:r>
        <w:rPr>
          <w:rFonts w:ascii="Times New Roman" w:hAnsi="Times New Roman" w:eastAsia="Times New Roman" w:cs="Times New Roman"/>
        </w:rPr>
        <w:t xml:space="preserve"> </w:t>
      </w:r>
      <w:r>
        <w:rPr>
          <w:rFonts w:ascii="Malgun Gothic" w:hAnsi="Malgun Gothic" w:eastAsia="Malgun Gothic" w:cs="Malgun Gothic"/>
        </w:rPr>
        <w:t>스미스는</w:t>
      </w:r>
      <w:r>
        <w:rPr>
          <w:rFonts w:ascii="Times New Roman" w:hAnsi="Times New Roman" w:eastAsia="Times New Roman" w:cs="Times New Roman"/>
        </w:rPr>
        <w:t xml:space="preserve"> </w:t>
      </w:r>
      <w:r>
        <w:rPr>
          <w:rFonts w:ascii="Malgun Gothic" w:hAnsi="Malgun Gothic" w:eastAsia="Malgun Gothic" w:cs="Malgun Gothic"/>
        </w:rPr>
        <w:t>조시야</w:t>
      </w:r>
      <w:r>
        <w:rPr>
          <w:rFonts w:ascii="Times New Roman" w:hAnsi="Times New Roman" w:eastAsia="Times New Roman" w:cs="Times New Roman"/>
        </w:rPr>
        <w:t xml:space="preserve"> </w:t>
      </w:r>
      <w:r>
        <w:rPr>
          <w:rFonts w:ascii="Malgun Gothic" w:hAnsi="Malgun Gothic" w:eastAsia="Malgun Gothic" w:cs="Malgun Gothic"/>
        </w:rPr>
        <w:t>리치가</w:t>
      </w:r>
      <w:r>
        <w:rPr>
          <w:rFonts w:ascii="Times New Roman" w:hAnsi="Times New Roman" w:eastAsia="Times New Roman" w:cs="Times New Roman"/>
        </w:rPr>
        <w:t xml:space="preserve"> </w:t>
      </w:r>
      <w:r>
        <w:rPr>
          <w:rFonts w:ascii="Malgun Gothic" w:hAnsi="Malgun Gothic" w:eastAsia="Malgun Gothic" w:cs="Malgun Gothic"/>
        </w:rPr>
        <w:t>계산한</w:t>
      </w:r>
      <w:r>
        <w:rPr>
          <w:rFonts w:ascii="Times New Roman" w:hAnsi="Times New Roman" w:eastAsia="Times New Roman" w:cs="Times New Roman"/>
        </w:rPr>
        <w:t xml:space="preserve"> </w:t>
      </w:r>
      <w:r>
        <w:rPr>
          <w:rFonts w:ascii="Malgun Gothic" w:hAnsi="Malgun Gothic" w:eastAsia="Malgun Gothic" w:cs="Malgun Gothic"/>
        </w:rPr>
        <w:t>백오십</w:t>
      </w:r>
      <w:r>
        <w:rPr>
          <w:rFonts w:ascii="Times New Roman" w:hAnsi="Times New Roman" w:eastAsia="Times New Roman" w:cs="Times New Roman"/>
        </w:rPr>
        <w:t xml:space="preserve"> </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인용하고</w:t>
      </w:r>
      <w:r>
        <w:rPr>
          <w:rFonts w:ascii="Times New Roman" w:hAnsi="Times New Roman" w:eastAsia="Times New Roman" w:cs="Times New Roman"/>
        </w:rPr>
        <w:t xml:space="preserve"> </w:t>
      </w:r>
      <w:r>
        <w:rPr>
          <w:rFonts w:ascii="Malgun Gothic" w:hAnsi="Malgun Gothic" w:eastAsia="Malgun Gothic" w:cs="Malgun Gothic"/>
        </w:rPr>
        <w:t>있는데</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끝마쳐질</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나팔에</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삼백구십일</w:t>
      </w:r>
      <w:r>
        <w:rPr>
          <w:rFonts w:ascii="Times New Roman" w:hAnsi="Times New Roman" w:eastAsia="Times New Roman" w:cs="Times New Roman"/>
        </w:rPr>
        <w:t xml:space="preserve"> </w:t>
      </w:r>
      <w:r>
        <w:rPr>
          <w:rFonts w:ascii="Malgun Gothic" w:hAnsi="Malgun Gothic" w:eastAsia="Malgun Gothic" w:cs="Malgun Gothic"/>
        </w:rPr>
        <w:t>년과</w:t>
      </w:r>
      <w:r>
        <w:rPr>
          <w:rFonts w:ascii="Times New Roman" w:hAnsi="Times New Roman" w:eastAsia="Times New Roman" w:cs="Times New Roman"/>
        </w:rPr>
        <w:t xml:space="preserve"> </w:t>
      </w:r>
      <w:r>
        <w:rPr>
          <w:rFonts w:ascii="Malgun Gothic" w:hAnsi="Malgun Gothic" w:eastAsia="Malgun Gothic" w:cs="Malgun Gothic"/>
        </w:rPr>
        <w:t>십오</w:t>
      </w:r>
      <w:r>
        <w:rPr>
          <w:rFonts w:ascii="Times New Roman" w:hAnsi="Times New Roman" w:eastAsia="Times New Roman" w:cs="Times New Roman"/>
        </w:rPr>
        <w:t xml:space="preserve"> </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출발점을</w:t>
      </w:r>
      <w:r>
        <w:rPr>
          <w:rFonts w:ascii="Times New Roman" w:hAnsi="Times New Roman" w:eastAsia="Times New Roman" w:cs="Times New Roman"/>
        </w:rPr>
        <w:t xml:space="preserve"> </w:t>
      </w:r>
      <w:r>
        <w:rPr>
          <w:rFonts w:ascii="Malgun Gothic" w:hAnsi="Malgun Gothic" w:eastAsia="Malgun Gothic" w:cs="Malgun Gothic"/>
        </w:rPr>
        <w:t>이루는</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제시된다</w:t>
      </w:r>
      <w:r>
        <w:rPr>
          <w:rFonts w:ascii="Times New Roman" w:hAnsi="Times New Roman" w:eastAsia="Times New Roman" w:cs="Times New Roman"/>
        </w:rPr>
        <w:t xml:space="preserve">. </w:t>
      </w:r>
      <w:r>
        <w:rPr>
          <w:rFonts w:ascii="Malgun Gothic" w:hAnsi="Malgun Gothic" w:eastAsia="Malgun Gothic" w:cs="Malgun Gothic"/>
        </w:rPr>
        <w:t>이처럼</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연결된</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 xml:space="preserve"> </w:t>
      </w:r>
      <w:r>
        <w:rPr>
          <w:rFonts w:ascii="Malgun Gothic" w:hAnsi="Malgun Gothic" w:eastAsia="Malgun Gothic" w:cs="Malgun Gothic"/>
        </w:rPr>
        <w:t>예언에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리치의</w:t>
      </w:r>
      <w:r>
        <w:rPr>
          <w:rFonts w:ascii="Times New Roman" w:hAnsi="Times New Roman" w:eastAsia="Times New Roman" w:cs="Times New Roman"/>
        </w:rPr>
        <w:t xml:space="preserve"> </w:t>
      </w:r>
      <w:r>
        <w:rPr>
          <w:rFonts w:ascii="Malgun Gothic" w:hAnsi="Malgun Gothic" w:eastAsia="Malgun Gothic" w:cs="Malgun Gothic"/>
        </w:rPr>
        <w:t>예측을</w:t>
      </w:r>
      <w:r>
        <w:rPr>
          <w:rFonts w:ascii="Times New Roman" w:hAnsi="Times New Roman" w:eastAsia="Times New Roman" w:cs="Times New Roman"/>
        </w:rPr>
        <w:t xml:space="preserve"> </w:t>
      </w:r>
      <w:r>
        <w:rPr>
          <w:rFonts w:ascii="Malgun Gothic" w:hAnsi="Malgun Gothic" w:eastAsia="Malgun Gothic" w:cs="Malgun Gothic"/>
        </w:rPr>
        <w:t>논평하면서</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자매는</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기록하였다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“Sa bhliain 1840 spreag comhlíonadh suntasach eile den fháistine spéis fhorleathan. Dhá bhliain roimhe sin, d’fhoilsigh Josiah Litch, duine de na príomh-airí a bhí ag seanmóireacht an dara teacht, léiriú ar Revelation 9, agus ann thuar sé titim Impireacht na nOtamánach. De réir a ríomhanna, bhí an chumhacht seo le cur de dhroim seoil... an 11 Lúnasa, 1840, tráth a bhféadfaí a bheith ag súil go mbrisfí cumhacht na nOtamánach i gConstantinople. Agus creidimse go bhfaighfear gurb amhlaidh atá.”</w:t>
      </w:r>
    </w:p>
    <w:p>
      <w:pPr>
        <w:pStyle w:val="ArticleScripture"/>
        <w:jc w:val="left"/>
      </w:pPr>
      <w:r>
        <w:rPr>
          <w:rFonts w:ascii="Times New Roman" w:hAnsi="Times New Roman" w:eastAsia="Times New Roman" w:cs="Times New Roman"/>
        </w:rPr>
        <w:t>«Dans le temps même indiqué, la Turquie, par l’entremise de ses ambassadeurs, accepta la protection des puissances alliées de l’Europe, et se plaça ainsi sous le contrôle des nations chrétiennes. L’événement accomplit exactement la prédiction. Lorsqu’on le sut, des multitudes furent convaincues de la justesse des principes d’interprétation prophétique adoptés par Miller et ses associés, et un merveilleux élan fut donné au mouvement adventiste. Des hommes instruits et de haut rang s’unirent à Miller, tant pour prêcher que pour publier ses vues, et de 1840 à 1844 l’œuvre s’étendit rapidement.» The Great Controversy, 334, 335.</w:t>
      </w:r>
    </w:p>
    <w:p>
      <w:pPr>
        <w:pStyle w:val="ArticleBody"/>
        <w:jc w:val="left"/>
      </w:pPr>
      <w:r>
        <w:rPr>
          <w:rFonts w:ascii="Times New Roman" w:hAnsi="Times New Roman" w:eastAsia="Times New Roman" w:cs="Times New Roman"/>
        </w:rPr>
        <w:t>La première et la seconde malédiction sont reliées par deux prophéties de temps interconnectées. La première malédiction commence par une illustration du scellement, et la seconde malédiction s’achève avec l’histoire allant du 11 août 1840 jusqu’à la sonnerie de la septième trompette, le 22 octobre 1844, laquelle est aussi une illustration du scellement. Le commencement et la fin portent la signature de l’Alpha et de l’Oméga, parce que, comme dans l’histoire où Christ confirma l’alliance pour une semaine, la période est divisée en deux parties. La première période commence avec le premier Mohammed et s’achève avec le second Mohammed. La seconde période commence avec « une voix venant des quatre cornes de l’autel d’or qui est devant Dieu », et elle s’achève avec la « voix » de Christ, jurant « par celui qui vit aux siècles des siècles, qui a créé le ciel, et les choses qui y sont, et la terre, et les choses qui y sont, et la mer, et les choses qui y sont, qu’il n’y aurait plus de temps. »</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«هر پرسشی که شیطان بتواند در ذهن برانگیزد تا نسبت به تاریخ عظیمِ سیر و سفرهای گذشتهٔ قوم خدا تردید ایجاد کند، موجب خشنودیِ آن اعلیحضرتِ شیطانی خواهد شد و اهانتی به خداست. خبرِ آمدنِ قریب‌الوقوعِ خداوندِ ما به جهانِ ما با قدرت و جلال عظیم، حقیقت است، و در سال 1840 صداهای بسیاری در اعلامِ آن برخاست.» Manuscript Releases, جلد 9، 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دوازده</dc:title>
  <dc:subject>Dévoilement du symbolisme prophétique d’Ismaël : de l’archer au scellage des 144 000</dc:subject>
  <dc:creator>Jeff Pippenger</dc:creator>
  <cp:keywords/>
  <dc:description>Generated by ArticleDigger from daniel\112_daniel.json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