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 ایل — ایک سو چودہ نمبر</w:t>
      </w:r>
    </w:p>
    <w:p>
      <w:pPr>
        <w:pStyle w:val="ArticleSubtitle"/>
        <w:jc w:val="left"/>
      </w:pPr>
      <w:r>
        <w:rPr>
          <w:rFonts w:ascii="Arial" w:hAnsi="Arial" w:eastAsia="Arial" w:cs="Arial"/>
        </w:rPr>
        <w:t>Awujọ Tó Kẹ́yìn: Ṣíṣi Ìmúṣẹ Àsọtẹ́lẹ̀ Ẹ́síkíẹ́lì àti Ìdìdì àwọn 144,000 náà</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La génération qui a été témoin de l’arrivée du troisième malheur, le 11 septembre 2001, est la dernière génération de l’histoire de la terre. Le passage d’Ézéchiel qui confirme cette vérité était compris par les millérites comme étant directement lié à la parabole des dix vierges, et par conséquent à Habakuk, chapitre deux. Dans cette histoire, la vision d’Habakuk, chapitre deux, qui « ne tarderait plus », et qui s’accomplit le 22 octobre 1844, préfigurait la loi dominicale imminente aux États-Unis. Mais la prédiction d’Ézéchiel concernant la vision qui ne serait plus prolongée s’accomplit parfaitement dans l’histoire du scellement des cent quarante-quatre mille, qui commença avec l’arrivée du troisième malheur, le 11 septembre 2001.</w:t>
      </w:r>
    </w:p>
    <w:p>
      <w:pPr>
        <w:pStyle w:val="ArticleScripture"/>
        <w:jc w:val="left"/>
      </w:pPr>
      <w:r>
        <w:rPr>
          <w:rFonts w:ascii="Times New Roman" w:hAnsi="Times New Roman" w:eastAsia="Times New Roman" w:cs="Times New Roman"/>
        </w:rPr>
        <w:t>Und das Wort des HERRN erging an mich also: Menschensohn, was ist das für ein Sprichwort, das ihr im Land Israel habt, indem ihr sprecht: Die Tage ziehen sich hin, und jede Vision wird zunichte? Darum sprich zu ihnen: So spricht Gott, der HERR: Ich will diesem Sprichwort ein Ende machen, und man wird es in Israel nicht mehr als Sprichwort gebrauchen; sondern sage zu ihnen: Die Tage sind nahe, und die Erfüllung jeder Vision. Denn es wird im Hause Israel keine nichtige Vision und keine schmeichlerische Wahrsagung mehr geben. Denn ich bin der HERR: Ich werde reden, und das Wort, das ich rede, wird eintreffen; es wird nicht länger hinausgeschoben werden. Denn in euren Tagen, du widerspenstiges Haus, werde ich das Wort reden und es vollbringen, spricht Gott, der HERR. Und wiederum erging das Wort des HERRN an mich also: Menschensohn, siehe, das Haus Israel spricht: Die Vision, die er schaut, gilt für viele Tage hin, und er weissagt von Zeiten, die fern sind. Darum sprich zu ihnen: So spricht Gott, der HERR: Keines meiner Worte wird länger hinausgeschoben werden; vielmehr wird das Wort, das ich geredet habe, geschehen, spricht Gott, der HERR. Hesekiel 12,21–28.</w:t>
      </w:r>
    </w:p>
    <w:p>
      <w:pPr>
        <w:pStyle w:val="ArticleBody"/>
        <w:jc w:val="left"/>
      </w:pPr>
      <w:r>
        <w:rPr>
          <w:rFonts w:ascii="Times New Roman" w:hAnsi="Times New Roman" w:eastAsia="Times New Roman" w:cs="Times New Roman"/>
        </w:rPr>
        <w:t>Peygamberlerin hepsi son günlerden söz eder; ve “İsrail evi içinde” bulunan “boş görü” ile “yaltakçı fal”, sahte son yağmurdur; “güvenlik ve esenlik” mesajıdır; “gördüğü görü daha birçok günler içindir ve o, çok uzak zamanlar hakkında peygamberlik etmektedir” diye ileri sürer. Habakkuk’un “münakaşası” budur; çünkü “boş görü”yü ortaya koyanlar, “onun gördüğü görü”ye karşı çıkarlar. Onlar, “Gördüğü görü daha birçok günler içindir ve o, çok uzak zamanlar hakkında peygamberlik etmektedir” iddiasında bulunurlar. Esenlik ve güvenlik mesajının habercileri, “günler uzatılıyor ve her görü boşa çıkıyor” derler; sonuçta o, 18 Temmuz 2020’yi öngörmedi mi? “Boş görü”nün habercileri, bölümün ilk iki ayetinde Hezekiel tarafından ayrıca teşhis edilmektedir.</w:t>
      </w:r>
    </w:p>
    <w:p>
      <w:pPr>
        <w:pStyle w:val="ArticleScripture"/>
        <w:jc w:val="left"/>
      </w:pPr>
      <w:r>
        <w:rPr>
          <w:rFonts w:ascii="Times New Roman" w:hAnsi="Times New Roman" w:eastAsia="Times New Roman" w:cs="Times New Roman"/>
        </w:rPr>
        <w:t>Et la parole de l’Éternel me fut adressée, en ces termes : Fils de l’homme, tu habites au milieu d’une maison rebelle, qui a des yeux pour voir et ne voit point, qui a des oreilles pour entendre et n’entend point ; car c’est une maison rebelle. Ézéchiel 12:1, 2.</w:t>
      </w:r>
    </w:p>
    <w:p>
      <w:pPr>
        <w:pStyle w:val="ArticleBody"/>
        <w:jc w:val="left"/>
      </w:pPr>
      <w:r>
        <w:rPr>
          <w:rFonts w:ascii="Times New Roman" w:hAnsi="Times New Roman" w:eastAsia="Times New Roman" w:cs="Times New Roman"/>
        </w:rPr>
        <w:t>بیغەمبەرلەرنىڭ ھەممىسى بىر-بىرى بىلەن تولۇق ماس كېلىدۇ، ۋە ھەممىسى ئاخىرقى كۈنلەر توغرىسىدا سۆزلەيدۇ؛ مەسىھ ئۆز خىزمىتىنىڭ تارىخىدا تالاش-تارتىشچى يەھۇدىيلارغا خىتاب قىلغاندا، ئۇلارنىڭ — شۇ چاغدا خۇدادىن ئاجرىتىلىۋاتقان تالاش-تارتىشچى يەھۇدىيلارنىڭ — كۆرگۈدەك كۆزلىرى بار تۇرۇپ كۆرмәйدىغان، ئاڭلىغۇدەك قۇلاقلىرى بار تۇرۇپ ئاڭلىمايدىغان كىشىلەر ئىكەنلىكىنى بىلدۈرۈش ئۈچۈن، ئىساياھنى نەقىل كەلتۈردى. بۈگۈنمۇ، شۇ چاغدىكىگە ئوخشاش، ئەزەقىيەل لاودىكىيە ئادۋېنتىزمىنىڭ مەسخىرەچى ئادەملىرىگە، يەنى بىزنىڭ زامانىمىزدىكى تالاش-تارتىشچى يەھۇدىيلارغا خىتاب قىلماقتا؛ ئۇلار ئاخىرقى يامغۇر ئۇچۇرىغا قارشى تۇرۇپ، «تىنچلىق ۋە بىخەتەرلىك» دېگەن ئۇچۇرنى ئىلگىرى سۈرىدۇ. ئەيسا ئۆز سۆزىگە كىرگۈزگەن قائىدىلەر بويىچە ئىش كۆرگەن؛ شۇنىڭ ئۈچۈن ئۇنىڭ ئالدىن-ئېيتىشلىرىمۇ، ئۇ تالاش-تارتىشچى يەھۇدىيلارغا خىتاب قىلغان دەۋردىنمۇ كۆپرەك دەرىجىدە، ئاخىرقى كۈنلەرگە قارىتىلغان.</w:t>
      </w:r>
    </w:p>
    <w:p>
      <w:pPr>
        <w:pStyle w:val="ArticleScripture"/>
        <w:jc w:val="left"/>
      </w:pPr>
      <w:r>
        <w:rPr>
          <w:rFonts w:ascii="Times New Roman" w:hAnsi="Times New Roman" w:eastAsia="Times New Roman" w:cs="Times New Roman"/>
        </w:rPr>
        <w:t>Kyegamba nabo mu ngero; kubanga nga balaba tebabone, era nga bawulira tebawulire, so tebategeera. Era mu bo bwe kituukirira obunnabbi bwa Isaaya, obugamba nti, Nga muwulira munaawulira, naye temulitegeera; era nga mulaba munaalaba, naye temuliraba. Kubanga omutima gw’abantu bano gufuuse mukakanyavu, n’amatu gaabwe gazito okuwulira, n’amaaso gaabwe bagazibye; baleme okulaba n’amaaso gaabwe, n’okuwulira n’amatu gaabwe, n’okutegeera n’omutima gwabwe, n’okukyuka, nange ne mbawonya. Naye amaaso gammwe ga mukisa, kubanga galaba; n’amatu gammwe, kubanga gawulira. Kubanga mazima mbagamba nti, bannabbi bangi n’abatuukirivu baayagala okulaba ebyo bye mulaba, naye ne batabilaba; n’okuwulira ebyo bye muwulira, naye ne batabiwulira. Matayo 13:13–17.</w:t>
      </w:r>
    </w:p>
    <w:p>
      <w:pPr>
        <w:pStyle w:val="ArticleBody"/>
        <w:jc w:val="left"/>
      </w:pPr>
      <w:r>
        <w:rPr>
          <w:rFonts w:ascii="Times New Roman" w:hAnsi="Times New Roman" w:eastAsia="Times New Roman" w:cs="Times New Roman"/>
        </w:rPr>
        <w:t>L’événement d’un peuple qui entend, et pourtant n’entend pas, et qui voit, mais ne voit pas, est la caractéristique d’un ancien peuple de Dieu en voie d’être dépassé. Ce phénomène prophétique constitue l’accomplissement de la prophétie d’Ésaïe concernant une telle situation. Comme tous les prophètes, Ésaïe, avec le Christ, parle des derniers jours.</w:t>
      </w:r>
    </w:p>
    <w:p>
      <w:pPr>
        <w:pStyle w:val="ArticleScripture"/>
        <w:jc w:val="left"/>
      </w:pPr>
      <w:r>
        <w:rPr>
          <w:rFonts w:ascii="Times New Roman" w:hAnsi="Times New Roman" w:eastAsia="Times New Roman" w:cs="Times New Roman"/>
        </w:rPr>
        <w:t>در آن سالی که عُزّیا پادشاه وفات یافت، خداوند را دیدم که بر تختی بلند و برفراشته نشسته بود، و دامنِ او هیکل را پر کرده بود. بالای آن، سرافیم ایستاده بودند؛ هر یک شش بال داشت: با دو بال روی خویش را می‌پوشانید، و با دو بال پاهای خویش را می‌پوشانید، و با دو بال پرواز می‌کرد. و یکی دیگری را ندا داده، می‌گفت: قدوس، قدوس، قدوس، یهوهٔ صبایوت است؛ تمامی زمین از جلال او مملو است. و آستانه‌های در از آوازِ او که ندا می‌داد به لرزه درآمد، و خانه از دود پر شد. آنگاه گفتم: وای بر من! زیرا هلاک شده‌ام؛ چون من مردی ناپاک‌لب هستم، و در میان قومی ناپاک‌لب ساکنم؛ زیرا چشمانم پادشاه، یهوهٔ صبایوت، را دیده است. سپس یکی از سرافیم نزد من پرواز کرد، و اخگری گداخته در دست داشت که آن را با انبر از روی مذبح گرفته بود. و آن را بر دهانم نهاد و گفت: اینک، این لب‌هایت را لمس کرده است؛ و گناهت برداشته شد و خطایت کفاره گردید. و نیز آواز خداوند را شنیدم که می‌گفت: که را بفرستم، و کیست که برای ما برود؟ آنگاه گفتم: اینک من، مرا بفرست. و او گفت: برو و به این قوم بگو: هرچند خواهید شنید، نخواهید فهمید؛ و هرچند خواهید دید، ادراک نخواهید کرد. دل این قوم را فربه ساز، و گوش‌هایشان را سنگین کن، و چشمانشان را ببند؛ مبادا با چشمان خود ببینند، و با گوش‌های خود بشنوند، و با دل‌های خود بفهمند، و بازگشت کنند، و شفا یابند. اشعیا ۶:۱–۱۰.</w:t>
      </w:r>
    </w:p>
    <w:p>
      <w:pPr>
        <w:pStyle w:val="ArticleBody"/>
        <w:jc w:val="left"/>
      </w:pPr>
      <w:r>
        <w:rPr>
          <w:rFonts w:ascii="Nirmala UI" w:hAnsi="Nirmala UI" w:eastAsia="Nirmala UI" w:cs="Nirmala UI"/>
        </w:rPr>
        <w:t>ईशायाह</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उत्तरवर्षा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उत्तरवर्षा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उत्तरवर्षा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शान्ति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भविष्य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स्वीकृति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आशीष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देखेंगे।</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mikolo ya Klisto, ezalaki nsango oyo eyaki na libatisi na Ye, tango Molimo Mosantu akitaki. Bokiti ya Molimo Mosantu na libatisi na Ye ezalaki elilingi liboso ya bokiti ya anzelu ya Emoniseli zomi na mokolo ya 11 Août 1840. Bokiti ya bonzambe na lisolo nyonso mibale etyamaki elembo ya koya ya nsango ya solo ya tango wana; mpo na Yesu, ezalaki nsango ya liwa na Ye mpe lisekwa na Ye, lokola emonisamaki na libatisi na Ye. Mpo na ba-Millerites, ezalaki nsango ya Islam ya mawa ya liboso mpe ya mibale oyo endimisisaki nsango ya komekama ya esakweli ya ntango. Masolo nyonso wana mibale ekokani na boyei ya nsango ya komekama ya mbula ya nsuka na mokolo ya 11 Sɛtɛmbɛ 2001. Yango wana nde Sister White akomi makambo oyo elandi:</w:t>
      </w:r>
    </w:p>
    <w:p>
      <w:pPr>
        <w:pStyle w:val="ArticleScripture"/>
        <w:jc w:val="left"/>
      </w:pPr>
      <w:r>
        <w:rPr>
          <w:rFonts w:ascii="Times New Roman" w:hAnsi="Times New Roman" w:eastAsia="Times New Roman" w:cs="Times New Roman"/>
        </w:rPr>
        <w:t>«Les messages donnés de 1840 à 1844 doivent maintenant être présentés avec force, car beaucoup ont perdu leurs repères. Les messages doivent parvenir à toutes les Églises. »</w:t>
      </w:r>
    </w:p>
    <w:p>
      <w:pPr>
        <w:pStyle w:val="ArticleScripture"/>
        <w:jc w:val="left"/>
      </w:pPr>
      <w:r>
        <w:rPr>
          <w:rFonts w:ascii="Times New Roman" w:hAnsi="Times New Roman" w:eastAsia="Times New Roman" w:cs="Times New Roman"/>
        </w:rPr>
        <w:t>Keriso o rile: “Go sego matlho a lona, gonne a a bona; le ditsebe tsa lona, gonne di a utlwa. Gonne ammaaruri ke a lo raya, gore baporofeti ba le bantsi le banna ba ba siameng ba ne ba eletsa go bona dilo tse lo di bonang, mme ba se ka ba di bona; le go utlwa dilo tse lo di utlwang, mme ba se ka ba di utlwa” [Mathaio 13:16, 17]. Go sego matlho a a boneng dilo tse di bonweng ka 1843 le 1844.</w:t>
      </w:r>
    </w:p>
    <w:p>
      <w:pPr>
        <w:pStyle w:val="ArticleScripture"/>
        <w:jc w:val="left"/>
      </w:pPr>
      <w:r>
        <w:rPr>
          <w:rFonts w:ascii="Times New Roman" w:hAnsi="Times New Roman" w:eastAsia="Times New Roman" w:cs="Times New Roman"/>
        </w:rPr>
        <w:t>“Le message a été donné. Et il ne devrait y avoir aucun retard à répéter le message, car les signes des temps s’accomplissent; l’œuvre finale doit être accomplie. Une grande œuvre sera accomplie en peu de temps. Un message sera bientôt donné, par l’ordre de Dieu, qui enflera jusqu’à devenir un grand cri. Alors Daniel se tiendra dans sa part, pour rendre son témoignage.</w:t>
      </w:r>
    </w:p>
    <w:p>
      <w:pPr>
        <w:pStyle w:val="ArticleScripture"/>
        <w:jc w:val="left"/>
      </w:pPr>
      <w:r>
        <w:rPr>
          <w:rFonts w:ascii="Times New Roman" w:hAnsi="Times New Roman" w:eastAsia="Times New Roman" w:cs="Times New Roman"/>
        </w:rPr>
        <w:t>«زموږ د کلیساوو پاملرنه باید راویښه کړل شي. موږ د نړۍ د تاریخ د سترې پېښې پر پولو ولاړ یو، او شیطان باید د خدای پر خلکو داسې واک و نه لري چې هغوی په خوب ویده وساتي. پاپوالي به په خپل ځواک کې څرګنده شي. ټول باید اوس راویښ شي او مقدس صحیفې وپلټي، ځکه خدای به خپلو وفادارو ته هغه څه څرګند کړي چې په وروستیو وختونو کې به وي. د څښتن کلام باید په ځواک سره خپل قوم ته راشي....»</w:t>
      </w:r>
    </w:p>
    <w:p>
      <w:pPr>
        <w:pStyle w:val="ArticleScripture"/>
        <w:jc w:val="left"/>
      </w:pPr>
      <w:r>
        <w:rPr>
          <w:rFonts w:ascii="Times New Roman" w:hAnsi="Times New Roman" w:eastAsia="Times New Roman" w:cs="Times New Roman"/>
        </w:rPr>
        <w:t>« Voici ce qui m’a été présenté : nous sommes endormis, et nous ne connaissons pas le temps de notre visitation. Mais si nous nous humilions devant Dieu et le cherchons de tout notre cœur, il se laissera trouver par nous. » Manuscript Releases, volume 21, 436–438.</w:t>
      </w:r>
    </w:p>
    <w:p>
      <w:pPr>
        <w:pStyle w:val="ArticleBody"/>
        <w:jc w:val="left"/>
      </w:pPr>
      <w:r>
        <w:rPr>
          <w:rFonts w:ascii="Times New Roman" w:hAnsi="Times New Roman" w:eastAsia="Times New Roman" w:cs="Times New Roman"/>
        </w:rPr>
        <w:t>Nkhani imene yaimiridwa mwa uthenga wa choonadi cha pa nthawi uno wa Mesiya m’mbiri ya Khristu, ndi uthenga wa choonadi cha pa nthawi uno wa 1840 kufika 1844, ikusonyeza patsogolo ku masiku otsiriza pamene uthenga wa a Millerite ubwerezedwa. Iwo amene m’mbiri zija ayimiridwa monga osakhoza “kuona ndi kumva” “sadziwa nthawi ya kuchezedwa kwawo.” Pamene Yesaya apereka chiyambi choyamba cha amithenga a uthenga wabodza wa mvula ya masika omaliza, amene amaona, koma osaona, amaika chizindikiro cha nthawi imene nyengoyi iyambira, nyengo imene Mlongo White anati, “uthenga wokhazikitsidwa ndi Mulungu umene udzakula kufika kukhala kulira kwakukulu.” “Kukhazikitsidwa ndi Mulungu” kukuimira nthawi yeniyeni imene uthengawo ukanadzafika, ndipo m’vesi lachitatu la chaputala 6 la Yesaya, Yesaya amafotokoza molondola nthawi imeneyo.</w:t>
      </w:r>
    </w:p>
    <w:p>
      <w:pPr>
        <w:pStyle w:val="ArticleScripture"/>
        <w:jc w:val="left"/>
      </w:pPr>
      <w:r>
        <w:rPr>
          <w:rFonts w:ascii="Times New Roman" w:hAnsi="Times New Roman" w:eastAsia="Times New Roman" w:cs="Times New Roman"/>
        </w:rPr>
        <w:t>Unus alteri clamabat et dicebat: Sanctus, sanctus, sanctus, Dominus exercituum; plena est omnis terra gloria eius. Isaias 6:3.</w:t>
      </w:r>
    </w:p>
    <w:p>
      <w:pPr>
        <w:pStyle w:val="ArticleBody"/>
        <w:jc w:val="left"/>
      </w:pPr>
      <w:r>
        <w:rPr>
          <w:rFonts w:ascii="Times New Roman" w:hAnsi="Times New Roman" w:eastAsia="Times New Roman" w:cs="Times New Roman"/>
        </w:rPr>
        <w:t>سفید بہن نشاندہی کرتی ہیں کہ جب فرشتے ایک دوسرے سے پکار کر کہتے ہیں، "قدوس، قدوس، قدوس"، اُس عبارت میں جہاں یسعیاہ اُن لوگوں کی نمائندگی کرتا ہے جن کی آنکھیں تو ہیں اور جو دیکھتے ہیں، مگر دیکھتے نہیں، تو اُس کی تکمیل 11 ستمبر 2001 کو ہوتی ہے۔</w:t>
      </w:r>
    </w:p>
    <w:p>
      <w:pPr>
        <w:pStyle w:val="ArticleScripture"/>
        <w:jc w:val="left"/>
      </w:pPr>
      <w:r>
        <w:rPr>
          <w:rFonts w:ascii="Times New Roman" w:hAnsi="Times New Roman" w:eastAsia="Times New Roman" w:cs="Times New Roman"/>
        </w:rPr>
        <w:t>«Ҳангоме ки онҳо [фариштагон] ояндаро мебинанд, вақте ки тамоми замин аз ҷалоли Ӯ пур хоҳад шуд, суруди зафармандонаи ҳамду сано бо нағмаи дилангез аз яке ба дигаре танин меандозад: “Қуддус, қуддус, қуддус аст Худованди лашкарҳо.” Онҳо комилан қонеъанд, ки Худоро ҷалол диҳанд; ва дар ҳузури Ӯ, зери табассуми ризомандии Ӯ, дигар ҳеҷ чиз бештар орзу намекунанд. Дар бар дӯш доштанӣ сурати Ӯ, дар анҷом додани хизмати Ӯ ва дар парастиши Ӯ, олитарин ормони онҳо ба таври комил ба даст меояд.» Review and Herald, December 22, 1896.</w:t>
      </w:r>
    </w:p>
    <w:p>
      <w:pPr>
        <w:pStyle w:val="ArticleBody"/>
        <w:jc w:val="left"/>
      </w:pPr>
      <w:r>
        <w:rPr>
          <w:rFonts w:ascii="Nirmala UI" w:hAnsi="Nirmala UI" w:eastAsia="Nirmala UI" w:cs="Nirmala UI"/>
        </w:rPr>
        <w:t>૧૧</w:t>
      </w:r>
      <w:r>
        <w:rPr>
          <w:rFonts w:ascii="Times New Roman" w:hAnsi="Times New Roman" w:eastAsia="Times New Roman" w:cs="Times New Roman"/>
        </w:rPr>
        <w:t xml:space="preserve"> </w:t>
      </w:r>
      <w:r>
        <w:rPr>
          <w:rFonts w:ascii="Nirmala UI" w:hAnsi="Nirmala UI" w:eastAsia="Nirmala UI" w:cs="Nirmala UI"/>
        </w:rPr>
        <w:t>સપ્ટેમ્બર</w:t>
      </w:r>
      <w:r>
        <w:rPr>
          <w:rFonts w:ascii="Times New Roman" w:hAnsi="Times New Roman" w:eastAsia="Times New Roman" w:cs="Times New Roman"/>
        </w:rPr>
        <w:t xml:space="preserve">, </w:t>
      </w:r>
      <w:r>
        <w:rPr>
          <w:rFonts w:ascii="Nirmala UI" w:hAnsi="Nirmala UI" w:eastAsia="Nirmala UI" w:cs="Nirmala UI"/>
        </w:rPr>
        <w:t>૨૦૦૧ના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ચુંમાલીસ</w:t>
      </w:r>
      <w:r>
        <w:rPr>
          <w:rFonts w:ascii="Times New Roman" w:hAnsi="Times New Roman" w:eastAsia="Times New Roman" w:cs="Times New Roman"/>
        </w:rPr>
        <w:t xml:space="preserve"> </w:t>
      </w:r>
      <w:r>
        <w:rPr>
          <w:rFonts w:ascii="Nirmala UI" w:hAnsi="Nirmala UI" w:eastAsia="Nirmala UI" w:cs="Nirmala UI"/>
        </w:rPr>
        <w:t>હજારના</w:t>
      </w:r>
      <w:r>
        <w:rPr>
          <w:rFonts w:ascii="Times New Roman" w:hAnsi="Times New Roman" w:eastAsia="Times New Roman" w:cs="Times New Roman"/>
        </w:rPr>
        <w:t xml:space="preserve"> </w:t>
      </w:r>
      <w:r>
        <w:rPr>
          <w:rFonts w:ascii="Nirmala UI" w:hAnsi="Nirmala UI" w:eastAsia="Nirmala UI" w:cs="Nirmala UI"/>
        </w:rPr>
        <w:t>મુદ્રાંકનની</w:t>
      </w:r>
      <w:r>
        <w:rPr>
          <w:rFonts w:ascii="Times New Roman" w:hAnsi="Times New Roman" w:eastAsia="Times New Roman" w:cs="Times New Roman"/>
        </w:rPr>
        <w:t xml:space="preserve"> </w:t>
      </w:r>
      <w:r>
        <w:rPr>
          <w:rFonts w:ascii="Nirmala UI" w:hAnsi="Nirmala UI" w:eastAsia="Nirmala UI" w:cs="Nirmala UI"/>
        </w:rPr>
        <w:t>શરૂઆત</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છાંટવા</w:t>
      </w:r>
      <w:r>
        <w:rPr>
          <w:rFonts w:ascii="Times New Roman" w:hAnsi="Times New Roman" w:eastAsia="Times New Roman" w:cs="Times New Roman"/>
        </w:rPr>
        <w:t xml:space="preserve"> </w:t>
      </w:r>
      <w:r>
        <w:rPr>
          <w:rFonts w:ascii="Nirmala UI" w:hAnsi="Nirmala UI" w:eastAsia="Nirmala UI" w:cs="Nirmala UI"/>
        </w:rPr>
        <w:t>લાગી</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હબક્કૂકનો</w:t>
      </w:r>
      <w:r>
        <w:rPr>
          <w:rFonts w:ascii="Times New Roman" w:hAnsi="Times New Roman" w:eastAsia="Times New Roman" w:cs="Times New Roman"/>
        </w:rPr>
        <w:t xml:space="preserve"> </w:t>
      </w:r>
      <w:r>
        <w:rPr>
          <w:rFonts w:ascii="Nirmala UI" w:hAnsi="Nirmala UI" w:eastAsia="Nirmala UI" w:cs="Nirmala UI"/>
        </w:rPr>
        <w:t>વિવાદ</w:t>
      </w:r>
      <w:r>
        <w:rPr>
          <w:rFonts w:ascii="Times New Roman" w:hAnsi="Times New Roman" w:eastAsia="Times New Roman" w:cs="Times New Roman"/>
        </w:rPr>
        <w:t xml:space="preserve"> </w:t>
      </w:r>
      <w:r>
        <w:rPr>
          <w:rFonts w:ascii="Nirmala UI" w:hAnsi="Nirmala UI" w:eastAsia="Nirmala UI" w:cs="Nirmala UI"/>
        </w:rPr>
        <w:t>આરંભ્યો</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દસ</w:t>
      </w:r>
      <w:r>
        <w:rPr>
          <w:rFonts w:ascii="Times New Roman" w:hAnsi="Times New Roman" w:eastAsia="Times New Roman" w:cs="Times New Roman"/>
        </w:rPr>
        <w:t xml:space="preserve"> </w:t>
      </w:r>
      <w:r>
        <w:rPr>
          <w:rFonts w:ascii="Nirmala UI" w:hAnsi="Nirmala UI" w:eastAsia="Nirmala UI" w:cs="Nirmala UI"/>
        </w:rPr>
        <w:t>કન્યાઓનું</w:t>
      </w:r>
      <w:r>
        <w:rPr>
          <w:rFonts w:ascii="Times New Roman" w:hAnsi="Times New Roman" w:eastAsia="Times New Roman" w:cs="Times New Roman"/>
        </w:rPr>
        <w:t xml:space="preserve"> </w:t>
      </w:r>
      <w:r>
        <w:rPr>
          <w:rFonts w:ascii="Nirmala UI" w:hAnsi="Nirmala UI" w:eastAsia="Nirmala UI" w:cs="Nirmala UI"/>
        </w:rPr>
        <w:t>દૃષ્ટાંત</w:t>
      </w:r>
      <w:r>
        <w:rPr>
          <w:rFonts w:ascii="Times New Roman" w:hAnsi="Times New Roman" w:eastAsia="Times New Roman" w:cs="Times New Roman"/>
        </w:rPr>
        <w:t xml:space="preserve"> </w:t>
      </w:r>
      <w:r>
        <w:rPr>
          <w:rFonts w:ascii="Nirmala UI" w:hAnsi="Nirmala UI" w:eastAsia="Nirmala UI" w:cs="Nirmala UI"/>
        </w:rPr>
        <w:t>પુનરાવર્તિત</w:t>
      </w:r>
      <w:r>
        <w:rPr>
          <w:rFonts w:ascii="Times New Roman" w:hAnsi="Times New Roman" w:eastAsia="Times New Roman" w:cs="Times New Roman"/>
        </w:rPr>
        <w:t xml:space="preserve"> </w:t>
      </w:r>
      <w:r>
        <w:rPr>
          <w:rFonts w:ascii="Nirmala UI" w:hAnsi="Nirmala UI" w:eastAsia="Nirmala UI" w:cs="Nirmala UI"/>
        </w:rPr>
        <w:t>થતું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યેહેઝ્કેલની</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પરિપૂર્ણ</w:t>
      </w:r>
      <w:r>
        <w:rPr>
          <w:rFonts w:ascii="Times New Roman" w:hAnsi="Times New Roman" w:eastAsia="Times New Roman" w:cs="Times New Roman"/>
        </w:rPr>
        <w:t xml:space="preserve"> </w:t>
      </w:r>
      <w:r>
        <w:rPr>
          <w:rFonts w:ascii="Nirmala UI" w:hAnsi="Nirmala UI" w:eastAsia="Nirmala UI" w:cs="Nirmala UI"/>
        </w:rPr>
        <w:t>પૂર્ણતાએ</w:t>
      </w:r>
      <w:r>
        <w:rPr>
          <w:rFonts w:ascii="Times New Roman" w:hAnsi="Times New Roman" w:eastAsia="Times New Roman" w:cs="Times New Roman"/>
        </w:rPr>
        <w:t xml:space="preserve"> </w:t>
      </w:r>
      <w:r>
        <w:rPr>
          <w:rFonts w:ascii="Nirmala UI" w:hAnsi="Nirmala UI" w:eastAsia="Nirmala UI" w:cs="Nirmala UI"/>
        </w:rPr>
        <w:t>પહોંચી</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વિલંબિત</w:t>
      </w:r>
      <w:r>
        <w:rPr>
          <w:rFonts w:ascii="Times New Roman" w:hAnsi="Times New Roman" w:eastAsia="Times New Roman" w:cs="Times New Roman"/>
        </w:rPr>
        <w:t xml:space="preserve"> </w:t>
      </w:r>
      <w:r>
        <w:rPr>
          <w:rFonts w:ascii="Nirmala UI" w:hAnsi="Nirmala UI" w:eastAsia="Nirmala UI" w:cs="Nirmala UI"/>
        </w:rPr>
        <w:t>રહેશે</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૧૧</w:t>
      </w:r>
      <w:r>
        <w:rPr>
          <w:rFonts w:ascii="Times New Roman" w:hAnsi="Times New Roman" w:eastAsia="Times New Roman" w:cs="Times New Roman"/>
        </w:rPr>
        <w:t xml:space="preserve"> </w:t>
      </w:r>
      <w:r>
        <w:rPr>
          <w:rFonts w:ascii="Nirmala UI" w:hAnsi="Nirmala UI" w:eastAsia="Nirmala UI" w:cs="Nirmala UI"/>
        </w:rPr>
        <w:t>સપ્ટેમ્બર</w:t>
      </w:r>
      <w:r>
        <w:rPr>
          <w:rFonts w:ascii="Times New Roman" w:hAnsi="Times New Roman" w:eastAsia="Times New Roman" w:cs="Times New Roman"/>
        </w:rPr>
        <w:t xml:space="preserve">, </w:t>
      </w:r>
      <w:r>
        <w:rPr>
          <w:rFonts w:ascii="Nirmala UI" w:hAnsi="Nirmala UI" w:eastAsia="Nirmala UI" w:cs="Nirmala UI"/>
        </w:rPr>
        <w:t>૨૦૦૧નું</w:t>
      </w:r>
      <w:r>
        <w:rPr>
          <w:rFonts w:ascii="Times New Roman" w:hAnsi="Times New Roman" w:eastAsia="Times New Roman" w:cs="Times New Roman"/>
        </w:rPr>
        <w:t xml:space="preserve"> </w:t>
      </w:r>
      <w:r>
        <w:rPr>
          <w:rFonts w:ascii="Nirmala UI" w:hAnsi="Nirmala UI" w:eastAsia="Nirmala UI" w:cs="Nirmala UI"/>
        </w:rPr>
        <w:t>સાક્ષી</w:t>
      </w:r>
      <w:r>
        <w:rPr>
          <w:rFonts w:ascii="Times New Roman" w:hAnsi="Times New Roman" w:eastAsia="Times New Roman" w:cs="Times New Roman"/>
        </w:rPr>
        <w:t xml:space="preserve"> </w:t>
      </w:r>
      <w:r>
        <w:rPr>
          <w:rFonts w:ascii="Nirmala UI" w:hAnsi="Nirmala UI" w:eastAsia="Nirmala UI" w:cs="Nirmala UI"/>
        </w:rPr>
        <w:t>રહેલી</w:t>
      </w:r>
      <w:r>
        <w:rPr>
          <w:rFonts w:ascii="Times New Roman" w:hAnsi="Times New Roman" w:eastAsia="Times New Roman" w:cs="Times New Roman"/>
        </w:rPr>
        <w:t xml:space="preserve"> </w:t>
      </w:r>
      <w:r>
        <w:rPr>
          <w:rFonts w:ascii="Nirmala UI" w:hAnsi="Nirmala UI" w:eastAsia="Nirmala UI" w:cs="Nirmala UI"/>
        </w:rPr>
        <w:t>પેઢી</w:t>
      </w:r>
      <w:r>
        <w:rPr>
          <w:rFonts w:ascii="Times New Roman" w:hAnsi="Times New Roman" w:eastAsia="Times New Roman" w:cs="Times New Roman"/>
        </w:rPr>
        <w:t xml:space="preserve"> </w:t>
      </w:r>
      <w:r>
        <w:rPr>
          <w:rFonts w:ascii="Nirmala UI" w:hAnsi="Nirmala UI" w:eastAsia="Nirmala UI" w:cs="Nirmala UI"/>
        </w:rPr>
        <w:t>પૃથ્વી</w:t>
      </w:r>
      <w:r>
        <w:rPr>
          <w:rFonts w:ascii="Times New Roman" w:hAnsi="Times New Roman" w:eastAsia="Times New Roman" w:cs="Times New Roman"/>
        </w:rPr>
        <w:t xml:space="preserve"> </w:t>
      </w:r>
      <w:r>
        <w:rPr>
          <w:rFonts w:ascii="Nirmala UI" w:hAnsi="Nirmala UI" w:eastAsia="Nirmala UI" w:cs="Nirmala UI"/>
        </w:rPr>
        <w:t>ગ્રહની</w:t>
      </w:r>
      <w:r>
        <w:rPr>
          <w:rFonts w:ascii="Times New Roman" w:hAnsi="Times New Roman" w:eastAsia="Times New Roman" w:cs="Times New Roman"/>
        </w:rPr>
        <w:t xml:space="preserve"> </w:t>
      </w:r>
      <w:r>
        <w:rPr>
          <w:rFonts w:ascii="Nirmala UI" w:hAnsi="Nirmala UI" w:eastAsia="Nirmala UI" w:cs="Nirmala UI"/>
        </w:rPr>
        <w:t>છેલ્લી</w:t>
      </w:r>
      <w:r>
        <w:rPr>
          <w:rFonts w:ascii="Times New Roman" w:hAnsi="Times New Roman" w:eastAsia="Times New Roman" w:cs="Times New Roman"/>
        </w:rPr>
        <w:t xml:space="preserve"> </w:t>
      </w:r>
      <w:r>
        <w:rPr>
          <w:rFonts w:ascii="Nirmala UI" w:hAnsi="Nirmala UI" w:eastAsia="Nirmala UI" w:cs="Nirmala UI"/>
        </w:rPr>
        <w:t>પેઢી</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એડ્વેન્ટિઝમના</w:t>
      </w:r>
      <w:r>
        <w:rPr>
          <w:rFonts w:ascii="Times New Roman" w:hAnsi="Times New Roman" w:eastAsia="Times New Roman" w:cs="Times New Roman"/>
        </w:rPr>
        <w:t xml:space="preserve"> </w:t>
      </w:r>
      <w:r>
        <w:rPr>
          <w:rFonts w:ascii="Nirmala UI" w:hAnsi="Nirmala UI" w:eastAsia="Nirmala UI" w:cs="Nirmala UI"/>
        </w:rPr>
        <w:t>અંતેનું</w:t>
      </w:r>
      <w:r>
        <w:rPr>
          <w:rFonts w:ascii="Times New Roman" w:hAnsi="Times New Roman" w:eastAsia="Times New Roman" w:cs="Times New Roman"/>
        </w:rPr>
        <w:t xml:space="preserve"> </w:t>
      </w:r>
      <w:r>
        <w:rPr>
          <w:rFonts w:ascii="Nirmala UI" w:hAnsi="Nirmala UI" w:eastAsia="Nirmala UI" w:cs="Nirmala UI"/>
        </w:rPr>
        <w:t>દર્શન</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આગમન</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કૃપાકાળના</w:t>
      </w:r>
      <w:r>
        <w:rPr>
          <w:rFonts w:ascii="Times New Roman" w:hAnsi="Times New Roman" w:eastAsia="Times New Roman" w:cs="Times New Roman"/>
        </w:rPr>
        <w:t xml:space="preserve"> </w:t>
      </w:r>
      <w:r>
        <w:rPr>
          <w:rFonts w:ascii="Nirmala UI" w:hAnsi="Nirmala UI" w:eastAsia="Nirmala UI" w:cs="Nirmala UI"/>
        </w:rPr>
        <w:t>સમાપનની</w:t>
      </w:r>
      <w:r>
        <w:rPr>
          <w:rFonts w:ascii="Times New Roman" w:hAnsi="Times New Roman" w:eastAsia="Times New Roman" w:cs="Times New Roman"/>
        </w:rPr>
        <w:t xml:space="preserve"> </w:t>
      </w:r>
      <w:r>
        <w:rPr>
          <w:rFonts w:ascii="Nirmala UI" w:hAnsi="Nirmala UI" w:eastAsia="Nirmala UI" w:cs="Nirmala UI"/>
        </w:rPr>
        <w:t>જાહેરાત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હકીકતનો</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સાક્ષી</w:t>
      </w:r>
      <w:r>
        <w:rPr>
          <w:rFonts w:ascii="Times New Roman" w:hAnsi="Times New Roman" w:eastAsia="Times New Roman" w:cs="Times New Roman"/>
        </w:rPr>
        <w:t xml:space="preserve"> </w:t>
      </w:r>
      <w:r>
        <w:rPr>
          <w:rFonts w:ascii="Nirmala UI" w:hAnsi="Nirmala UI" w:eastAsia="Nirmala UI" w:cs="Nirmala UI"/>
        </w:rPr>
        <w:t>લૂકના</w:t>
      </w:r>
      <w:r>
        <w:rPr>
          <w:rFonts w:ascii="Times New Roman" w:hAnsi="Times New Roman" w:eastAsia="Times New Roman" w:cs="Times New Roman"/>
        </w:rPr>
        <w:t xml:space="preserve"> </w:t>
      </w:r>
      <w:r>
        <w:rPr>
          <w:rFonts w:ascii="Nirmala UI" w:hAnsi="Nirmala UI" w:eastAsia="Nirmala UI" w:cs="Nirmala UI"/>
        </w:rPr>
        <w:t>પુસ્તકના</w:t>
      </w:r>
      <w:r>
        <w:rPr>
          <w:rFonts w:ascii="Times New Roman" w:hAnsi="Times New Roman" w:eastAsia="Times New Roman" w:cs="Times New Roman"/>
        </w:rPr>
        <w:t xml:space="preserve"> </w:t>
      </w:r>
      <w:r>
        <w:rPr>
          <w:rFonts w:ascii="Nirmala UI" w:hAnsi="Nirmala UI" w:eastAsia="Nirmala UI" w:cs="Nirmala UI"/>
        </w:rPr>
        <w:t>એકવીસમો</w:t>
      </w:r>
      <w:r>
        <w:rPr>
          <w:rFonts w:ascii="Times New Roman" w:hAnsi="Times New Roman" w:eastAsia="Times New Roman" w:cs="Times New Roman"/>
        </w:rPr>
        <w:t xml:space="preserve"> </w:t>
      </w:r>
      <w:r>
        <w:rPr>
          <w:rFonts w:ascii="Nirmala UI" w:hAnsi="Nirmala UI" w:eastAsia="Nirmala UI" w:cs="Nirmala UI"/>
        </w:rPr>
        <w:t>અધ્યાયમાં</w:t>
      </w:r>
      <w:r>
        <w:rPr>
          <w:rFonts w:ascii="Times New Roman" w:hAnsi="Times New Roman" w:eastAsia="Times New Roman" w:cs="Times New Roman"/>
        </w:rPr>
        <w:t xml:space="preserve"> </w:t>
      </w:r>
      <w:r>
        <w:rPr>
          <w:rFonts w:ascii="Nirmala UI" w:hAnsi="Nirmala UI" w:eastAsia="Nirmala UI" w:cs="Nirmala UI"/>
        </w:rPr>
        <w:t>મળે</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En vérité, je vous le dis, cette génération ne passera point, que tout ne soit accompli. Le ciel et la terre passeront, mais mes paroles ne passeront point. Luc 21:32, 33.</w:t>
      </w:r>
    </w:p>
    <w:p>
      <w:pPr>
        <w:pStyle w:val="ArticleBody"/>
        <w:jc w:val="left"/>
      </w:pPr>
      <w:r>
        <w:rPr>
          <w:rFonts w:ascii="Times New Roman" w:hAnsi="Times New Roman" w:eastAsia="Times New Roman" w:cs="Times New Roman"/>
        </w:rPr>
        <w:t>لوکاس باب یک و بیست میں یسوع زمین کی تاریخ کی آخری نسل کی نشان دہی کرتا ہے۔ وہ ابھی سن 70 میں یروشلیم کی تباہی سے لے کر میلرائیٹ تاریخ تک ایک تدریجی تاریخ کا اجمالی بیان دے چکا ہے۔ پھر وہ نبیانہ تاریخ کی براہِ راست نشان دہی کے بیانیے سے ہٹ کر ایک تمثیل پیش کرتا ہے جو محض اسی نبیانہ تاریخ کو دہر</w:t>
      </w:r>
      <w:r>
        <w:rPr>
          <w:rFonts w:ascii="Nirmala UI" w:hAnsi="Nirmala UI" w:eastAsia="Nirmala UI" w:cs="Nirmala UI"/>
        </w:rPr>
        <w:t>ाती</w:t>
      </w:r>
      <w:r>
        <w:rPr>
          <w:rFonts w:ascii="Times New Roman" w:hAnsi="Times New Roman" w:eastAsia="Times New Roman" w:cs="Times New Roman"/>
        </w:rPr>
        <w:t xml:space="preserve"> اور اس کی مزید توضیح کرتی ہے جسے اُس نے پیش کیا تھا۔ اس طرح اُس نے ایک ہی بیانیے کے لیے دو داخلی گواہ فراہم کیے، اور اُس نے اختتام اس بات کی نشان دہی کرتے ہوئے کیا کہ وہ “نسل” جس نے اِن واقعات کو دیکھا، اُس کی واپسی تک زندہ رہے گی؛ یوں سیاق و سباق کے مطابق اُس نسل کی نشان دہی ہوئی جو ایک لاکھ چوالیس ہزار کے ذریعہ ممثل ہے۔</w:t>
      </w:r>
    </w:p>
    <w:p>
      <w:pPr>
        <w:pStyle w:val="ArticleBody"/>
        <w:jc w:val="left"/>
      </w:pPr>
      <w:r>
        <w:rPr>
          <w:rFonts w:ascii="Times New Roman" w:hAnsi="Times New Roman" w:eastAsia="Times New Roman" w:cs="Times New Roman"/>
        </w:rPr>
        <w:t>L’histoire du scellement des cent quarante-quatre mille concerne la génération finale, et ils ne goûtent pas la mort, bien qu’ils vivent au temps où le ciel et la terre passent.</w:t>
      </w:r>
    </w:p>
    <w:p>
      <w:pPr>
        <w:pStyle w:val="ArticleScripture"/>
        <w:jc w:val="left"/>
      </w:pPr>
      <w:r>
        <w:rPr>
          <w:rFonts w:ascii="Times New Roman" w:hAnsi="Times New Roman" w:eastAsia="Times New Roman" w:cs="Times New Roman"/>
        </w:rPr>
        <w:t>Lakini siku ya Bwana itakuja kama mwivi usiku; ambayo ndani yake mbingu zitapita kwa mshindo mkuu, na vitu vya asili vitayeyuka kwa joto kali; nayo dunia pamoja na kazi zilizomo ndani yake zitateketezwa. Basi, kwa kuwa mambo haya yote yatavunjwa namna hii, imewapasa ninyi kuwa watu wa namna gani katika mwenendo wote mtakatifu na utauwa, mkiitazamia na kuuharakisha kuja kwake siku ya Mungu, ambayo katika hiyo mbingu zikiwa zinawaka moto zitavunjwa, na vitu vya asili vitayeyuka kwa joto kali? 2 Petro 3:10–12.</w:t>
      </w:r>
    </w:p>
    <w:p>
      <w:pPr>
        <w:pStyle w:val="ArticleBody"/>
        <w:jc w:val="left"/>
      </w:pPr>
      <w:r>
        <w:rPr>
          <w:rFonts w:ascii="Times New Roman" w:hAnsi="Times New Roman" w:eastAsia="Times New Roman" w:cs="Times New Roman"/>
        </w:rPr>
        <w:t>La seconde venue de Christ fut représentée lors de la transfiguration de Christ.</w:t>
      </w:r>
    </w:p>
    <w:p>
      <w:pPr>
        <w:pStyle w:val="ArticleScripture"/>
        <w:jc w:val="left"/>
      </w:pPr>
      <w:r>
        <w:rPr>
          <w:rFonts w:ascii="Times New Roman" w:hAnsi="Times New Roman" w:eastAsia="Times New Roman" w:cs="Times New Roman"/>
        </w:rPr>
        <w:t>«Mose, sul monte della trasfigurazione, fu testimone della vittoria di Cristo sul peccato e sulla morte. Egli rappresentava coloro che usciranno dal sepolcro alla risurrezione dei giusti. Elia, che era stato traslato in cielo senza vedere la morte, rappresentava coloro che saranno viventi sulla terra alla seconda venuta di Cristo, e che saranno “mutati, in un momento, in un batter d’occhio, al suon dell’ultima tromba”; quando “questo mortale deve rivestire immortalità” e “questo corruttibile deve rivestire incorruttibilità”. 1 Corinzi 15:51–53. Gesù era rivestito della luce del cielo, come apparirà quando verrà “la seconda volta, senza peccato, a salvezza”. Poiché Egli verrà “nella gloria del Padre suo con i santi angeli”. Ebrei 9:28; Marco 8:38. La promessa del Salvatore ai discepoli si compì allora. Sul monte fu rappresentato in miniatura il futuro regno di gloria: Cristo il Re, Mosè rappresentante dei santi risorti, ed Elia dei traslati». The Desire of Ages, 421.</w:t>
      </w:r>
    </w:p>
    <w:p>
      <w:pPr>
        <w:pStyle w:val="ArticleBody"/>
        <w:jc w:val="left"/>
      </w:pPr>
      <w:r>
        <w:rPr>
          <w:rFonts w:ascii="Times New Roman" w:hAnsi="Times New Roman" w:eastAsia="Times New Roman" w:cs="Times New Roman"/>
        </w:rPr>
        <w:t>Élie, qui ne mourut pas, représente les cent quarante-quatre mille qui ne meurent pas, et Moïse représente ceux qui meurent. Aux derniers jours, ces deux classes sont représentées dans Apocalypse chapitre 7, comme les cent quarante-quatre mille et la grande multitude. Lorsque le cinquième sceau est ouvert dans Apocalypse chapitre 6, ceux qui furent mis à mort par la papauté durant le Moyen Âge reçoivent des robes blanches.</w:t>
      </w:r>
    </w:p>
    <w:p>
      <w:pPr>
        <w:pStyle w:val="ArticleScripture"/>
        <w:jc w:val="left"/>
      </w:pPr>
      <w:r>
        <w:rPr>
          <w:rFonts w:ascii="Times New Roman" w:hAnsi="Times New Roman" w:eastAsia="Times New Roman" w:cs="Times New Roman"/>
        </w:rPr>
        <w:t>“‘</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পঞ্চম</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 xml:space="preserve"> </w:t>
      </w:r>
      <w:r>
        <w:rPr>
          <w:rFonts w:ascii="Nirmala UI" w:hAnsi="Nirmala UI" w:eastAsia="Nirmala UI" w:cs="Nirmala UI"/>
        </w:rPr>
        <w:t>খুললেন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বেদীর</w:t>
      </w:r>
      <w:r>
        <w:rPr>
          <w:rFonts w:ascii="Times New Roman" w:hAnsi="Times New Roman" w:eastAsia="Times New Roman" w:cs="Times New Roman"/>
        </w:rPr>
        <w:t xml:space="preserve"> </w:t>
      </w:r>
      <w:r>
        <w:rPr>
          <w:rFonts w:ascii="Nirmala UI" w:hAnsi="Nirmala UI" w:eastAsia="Nirmala UI" w:cs="Nirmala UI"/>
        </w:rPr>
        <w:t>নিচে</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প্রাণসমূহ</w:t>
      </w:r>
      <w:r>
        <w:rPr>
          <w:rFonts w:ascii="Times New Roman" w:hAnsi="Times New Roman" w:eastAsia="Times New Roman" w:cs="Times New Roman"/>
        </w:rPr>
        <w:t xml:space="preserve"> </w:t>
      </w:r>
      <w:r>
        <w:rPr>
          <w:rFonts w:ascii="Nirmala UI" w:hAnsi="Nirmala UI" w:eastAsia="Nirmala UI" w:cs="Nirmala UI"/>
        </w:rPr>
        <w:t>দেখলাম</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উচ্চস্বরে</w:t>
      </w:r>
      <w:r>
        <w:rPr>
          <w:rFonts w:ascii="Times New Roman" w:hAnsi="Times New Roman" w:eastAsia="Times New Roman" w:cs="Times New Roman"/>
        </w:rPr>
        <w:t xml:space="preserve"> </w:t>
      </w:r>
      <w:r>
        <w:rPr>
          <w:rFonts w:ascii="Nirmala UI" w:hAnsi="Nirmala UI" w:eastAsia="Nirmala UI" w:cs="Nirmala UI"/>
        </w:rPr>
        <w:t>ক্রন্দন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বলল</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সত্যময়</w:t>
      </w:r>
      <w:r>
        <w:rPr>
          <w:rFonts w:ascii="Times New Roman" w:hAnsi="Times New Roman" w:eastAsia="Times New Roman" w:cs="Times New Roman"/>
        </w:rPr>
        <w:t xml:space="preserve">, </w:t>
      </w:r>
      <w:r>
        <w:rPr>
          <w:rFonts w:ascii="Nirmala UI" w:hAnsi="Nirmala UI" w:eastAsia="Nirmala UI" w:cs="Nirmala UI"/>
        </w:rPr>
        <w:t>কতকাল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বসবাসকারীদের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রক্তের</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প্রতিশোধ</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প্রত্যেককে</w:t>
      </w:r>
      <w:r>
        <w:rPr>
          <w:rFonts w:ascii="Times New Roman" w:hAnsi="Times New Roman" w:eastAsia="Times New Roman" w:cs="Times New Roman"/>
        </w:rPr>
        <w:t xml:space="preserve"> </w:t>
      </w:r>
      <w:r>
        <w:rPr>
          <w:rFonts w:ascii="Nirmala UI" w:hAnsi="Nirmala UI" w:eastAsia="Nirmala UI" w:cs="Nirmala UI"/>
        </w:rPr>
        <w:t>শুভ্র</w:t>
      </w:r>
      <w:r>
        <w:rPr>
          <w:rFonts w:ascii="Times New Roman" w:hAnsi="Times New Roman" w:eastAsia="Times New Roman" w:cs="Times New Roman"/>
        </w:rPr>
        <w:t xml:space="preserve"> </w:t>
      </w:r>
      <w:r>
        <w:rPr>
          <w:rFonts w:ascii="Nirmala UI" w:hAnsi="Nirmala UI" w:eastAsia="Nirmala UI" w:cs="Nirmala UI"/>
        </w:rPr>
        <w:t>বস্ত্র</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নির্মল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অল্পকাল</w:t>
      </w:r>
      <w:r>
        <w:rPr>
          <w:rFonts w:ascii="Times New Roman" w:hAnsi="Times New Roman" w:eastAsia="Times New Roman" w:cs="Times New Roman"/>
        </w:rPr>
        <w:t xml:space="preserve"> </w:t>
      </w:r>
      <w:r>
        <w:rPr>
          <w:rFonts w:ascii="Nirmala UI" w:hAnsi="Nirmala UI" w:eastAsia="Nirmala UI" w:cs="Nirmala UI"/>
        </w:rPr>
        <w:t>বিশ্রাম</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যতক্ষণ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সহদাসেরাও</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ভ্রাতৃগণও</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পূর্ণসংখ্যায়</w:t>
      </w:r>
      <w:r>
        <w:rPr>
          <w:rFonts w:ascii="Times New Roman" w:hAnsi="Times New Roman" w:eastAsia="Times New Roman" w:cs="Times New Roman"/>
        </w:rPr>
        <w:t xml:space="preserve"> </w:t>
      </w:r>
      <w:r>
        <w:rPr>
          <w:rFonts w:ascii="Nirmala UI" w:hAnsi="Nirmala UI" w:eastAsia="Nirmala UI" w:cs="Nirmala UI"/>
        </w:rPr>
        <w:t>উপনীত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৬</w:t>
      </w:r>
      <w:r>
        <w:rPr>
          <w:rFonts w:ascii="Times New Roman" w:hAnsi="Times New Roman" w:eastAsia="Times New Roman" w:cs="Times New Roman"/>
        </w:rPr>
        <w:t>:</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যোহনের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দৃশ্যাবলি</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বাস্তবতায়</w:t>
      </w:r>
      <w:r>
        <w:rPr>
          <w:rFonts w:ascii="Times New Roman" w:hAnsi="Times New Roman" w:eastAsia="Times New Roman" w:cs="Times New Roman"/>
        </w:rPr>
        <w:t xml:space="preserve"> </w:t>
      </w:r>
      <w:r>
        <w:rPr>
          <w:rFonts w:ascii="Nirmala UI" w:hAnsi="Nirmala UI" w:eastAsia="Nirmala UI" w:cs="Nirmala UI"/>
        </w:rPr>
        <w:t>তৎকালীন</w:t>
      </w:r>
      <w:r>
        <w:rPr>
          <w:rFonts w:ascii="Times New Roman" w:hAnsi="Times New Roman" w:eastAsia="Times New Roman" w:cs="Times New Roman"/>
        </w:rPr>
        <w:t xml:space="preserve"> </w:t>
      </w:r>
      <w:r>
        <w:rPr>
          <w:rFonts w:ascii="Nirmala UI" w:hAnsi="Nirmala UI" w:eastAsia="Nirmala UI" w:cs="Nirmala UI"/>
        </w:rPr>
        <w:t>ঘটনা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ভবিষ্যতের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সময়পর্বে</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Manuscript Releases, volume 20, 197.</w:t>
      </w:r>
    </w:p>
    <w:p>
      <w:pPr>
        <w:pStyle w:val="ArticleBody"/>
        <w:jc w:val="left"/>
      </w:pPr>
      <w:r>
        <w:rPr>
          <w:rFonts w:ascii="Nirmala UI" w:hAnsi="Nirmala UI" w:eastAsia="Nirmala UI" w:cs="Nirmala UI"/>
        </w:rPr>
        <w:t>શહીદો</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તેઓના</w:t>
      </w:r>
      <w:r>
        <w:rPr>
          <w:rFonts w:ascii="Times New Roman" w:hAnsi="Times New Roman" w:eastAsia="Times New Roman" w:cs="Times New Roman"/>
        </w:rPr>
        <w:t xml:space="preserve"> </w:t>
      </w:r>
      <w:r>
        <w:rPr>
          <w:rFonts w:ascii="Nirmala UI" w:hAnsi="Nirmala UI" w:eastAsia="Nirmala UI" w:cs="Nirmala UI"/>
        </w:rPr>
        <w:t>વધનો</w:t>
      </w:r>
      <w:r>
        <w:rPr>
          <w:rFonts w:ascii="Times New Roman" w:hAnsi="Times New Roman" w:eastAsia="Times New Roman" w:cs="Times New Roman"/>
        </w:rPr>
        <w:t xml:space="preserve"> </w:t>
      </w:r>
      <w:r>
        <w:rPr>
          <w:rFonts w:ascii="Nirmala UI" w:hAnsi="Nirmala UI" w:eastAsia="Nirmala UI" w:cs="Nirmala UI"/>
        </w:rPr>
        <w:t>બદલો</w:t>
      </w:r>
      <w:r>
        <w:rPr>
          <w:rFonts w:ascii="Times New Roman" w:hAnsi="Times New Roman" w:eastAsia="Times New Roman" w:cs="Times New Roman"/>
        </w:rPr>
        <w:t xml:space="preserve"> </w:t>
      </w:r>
      <w:r>
        <w:rPr>
          <w:rFonts w:ascii="Nirmala UI" w:hAnsi="Nirmala UI" w:eastAsia="Nirmala UI" w:cs="Nirmala UI"/>
        </w:rPr>
        <w:t>ક્યારે</w:t>
      </w:r>
      <w:r>
        <w:rPr>
          <w:rFonts w:ascii="Times New Roman" w:hAnsi="Times New Roman" w:eastAsia="Times New Roman" w:cs="Times New Roman"/>
        </w:rPr>
        <w:t xml:space="preserve"> </w:t>
      </w:r>
      <w:r>
        <w:rPr>
          <w:rFonts w:ascii="Nirmala UI" w:hAnsi="Nirmala UI" w:eastAsia="Nirmala UI" w:cs="Nirmala UI"/>
        </w:rPr>
        <w:t>લેશે</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શહીદનું</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યેશુનો</w:t>
      </w:r>
      <w:r>
        <w:rPr>
          <w:rFonts w:ascii="Times New Roman" w:hAnsi="Times New Roman" w:eastAsia="Times New Roman" w:cs="Times New Roman"/>
        </w:rPr>
        <w:t xml:space="preserve"> </w:t>
      </w:r>
      <w:r>
        <w:rPr>
          <w:rFonts w:ascii="Nirmala UI" w:hAnsi="Nirmala UI" w:eastAsia="Nirmala UI" w:cs="Nirmala UI"/>
        </w:rPr>
        <w:t>વિશ્વાસ</w:t>
      </w:r>
      <w:r>
        <w:rPr>
          <w:rFonts w:ascii="Times New Roman" w:hAnsi="Times New Roman" w:eastAsia="Times New Roman" w:cs="Times New Roman"/>
        </w:rPr>
        <w:t xml:space="preserve"> </w:t>
      </w:r>
      <w:r>
        <w:rPr>
          <w:rFonts w:ascii="Nirmala UI" w:hAnsi="Nirmala UI" w:eastAsia="Nirmala UI" w:cs="Nirmala UI"/>
        </w:rPr>
        <w:t>ધરાવતો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વિશ્વાસની</w:t>
      </w:r>
      <w:r>
        <w:rPr>
          <w:rFonts w:ascii="Times New Roman" w:hAnsi="Times New Roman" w:eastAsia="Times New Roman" w:cs="Times New Roman"/>
        </w:rPr>
        <w:t xml:space="preserve"> </w:t>
      </w:r>
      <w:r>
        <w:rPr>
          <w:rFonts w:ascii="Nirmala UI" w:hAnsi="Nirmala UI" w:eastAsia="Nirmala UI" w:cs="Nirmala UI"/>
        </w:rPr>
        <w:t>પ્રતીતિએ</w:t>
      </w:r>
      <w:r>
        <w:rPr>
          <w:rFonts w:ascii="Times New Roman" w:hAnsi="Times New Roman" w:eastAsia="Times New Roman" w:cs="Times New Roman"/>
        </w:rPr>
        <w:t xml:space="preserve"> </w:t>
      </w:r>
      <w:r>
        <w:rPr>
          <w:rFonts w:ascii="Nirmala UI" w:hAnsi="Nirmala UI" w:eastAsia="Nirmala UI" w:cs="Nirmala UI"/>
        </w:rPr>
        <w:t>પાપસત્તાને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મોતને</w:t>
      </w:r>
      <w:r>
        <w:rPr>
          <w:rFonts w:ascii="Times New Roman" w:hAnsi="Times New Roman" w:eastAsia="Times New Roman" w:cs="Times New Roman"/>
        </w:rPr>
        <w:t xml:space="preserve"> </w:t>
      </w:r>
      <w:r>
        <w:rPr>
          <w:rFonts w:ascii="Nirmala UI" w:hAnsi="Nirmala UI" w:eastAsia="Nirmala UI" w:cs="Nirmala UI"/>
        </w:rPr>
        <w:t>ઘાટ</w:t>
      </w:r>
      <w:r>
        <w:rPr>
          <w:rFonts w:ascii="Times New Roman" w:hAnsi="Times New Roman" w:eastAsia="Times New Roman" w:cs="Times New Roman"/>
        </w:rPr>
        <w:t xml:space="preserve"> </w:t>
      </w:r>
      <w:r>
        <w:rPr>
          <w:rFonts w:ascii="Nirmala UI" w:hAnsi="Nirmala UI" w:eastAsia="Nirmala UI" w:cs="Nirmala UI"/>
        </w:rPr>
        <w:t>ઉતારવા</w:t>
      </w:r>
      <w:r>
        <w:rPr>
          <w:rFonts w:ascii="Times New Roman" w:hAnsi="Times New Roman" w:eastAsia="Times New Roman" w:cs="Times New Roman"/>
        </w:rPr>
        <w:t xml:space="preserve"> </w:t>
      </w:r>
      <w:r>
        <w:rPr>
          <w:rFonts w:ascii="Nirmala UI" w:hAnsi="Nirmala UI" w:eastAsia="Nirmala UI" w:cs="Nirmala UI"/>
        </w:rPr>
        <w:t>પ્રેર્યા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શ્વેત</w:t>
      </w:r>
      <w:r>
        <w:rPr>
          <w:rFonts w:ascii="Times New Roman" w:hAnsi="Times New Roman" w:eastAsia="Times New Roman" w:cs="Times New Roman"/>
        </w:rPr>
        <w:t xml:space="preserve"> </w:t>
      </w:r>
      <w:r>
        <w:rPr>
          <w:rFonts w:ascii="Nirmala UI" w:hAnsi="Nirmala UI" w:eastAsia="Nirmala UI" w:cs="Nirmala UI"/>
        </w:rPr>
        <w:t>વસ્ત્રો</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ધર્મિકતાનું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આત્માઓને</w:t>
      </w:r>
      <w:r>
        <w:rPr>
          <w:rFonts w:ascii="Times New Roman" w:hAnsi="Times New Roman" w:eastAsia="Times New Roman" w:cs="Times New Roman"/>
        </w:rPr>
        <w:t xml:space="preserve"> </w:t>
      </w:r>
      <w:r>
        <w:rPr>
          <w:rFonts w:ascii="Nirmala UI" w:hAnsi="Nirmala UI" w:eastAsia="Nirmala UI" w:cs="Nirmala UI"/>
        </w:rPr>
        <w:t>અપાયેલા</w:t>
      </w:r>
      <w:r>
        <w:rPr>
          <w:rFonts w:ascii="Times New Roman" w:hAnsi="Times New Roman" w:eastAsia="Times New Roman" w:cs="Times New Roman"/>
        </w:rPr>
        <w:t xml:space="preserve"> </w:t>
      </w:r>
      <w:r>
        <w:rPr>
          <w:rFonts w:ascii="Nirmala UI" w:hAnsi="Nirmala UI" w:eastAsia="Nirmala UI" w:cs="Nirmala UI"/>
        </w:rPr>
        <w:t>શ્વેત</w:t>
      </w:r>
      <w:r>
        <w:rPr>
          <w:rFonts w:ascii="Times New Roman" w:hAnsi="Times New Roman" w:eastAsia="Times New Roman" w:cs="Times New Roman"/>
        </w:rPr>
        <w:t xml:space="preserve"> </w:t>
      </w:r>
      <w:r>
        <w:rPr>
          <w:rFonts w:ascii="Nirmala UI" w:hAnsi="Nirmala UI" w:eastAsia="Nirmala UI" w:cs="Nirmala UI"/>
        </w:rPr>
        <w:t>વસ્ત્રો</w:t>
      </w:r>
      <w:r>
        <w:rPr>
          <w:rFonts w:ascii="Times New Roman" w:hAnsi="Times New Roman" w:eastAsia="Times New Roman" w:cs="Times New Roman"/>
        </w:rPr>
        <w:t xml:space="preserve"> </w:t>
      </w:r>
      <w:r>
        <w:rPr>
          <w:rFonts w:ascii="Nirmala UI" w:hAnsi="Nirmala UI" w:eastAsia="Nirmala UI" w:cs="Nirmala UI"/>
        </w:rPr>
        <w:t>તેઓને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શહીદી</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વસ્ત્રો</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ધર્મિકતાનું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શહીદીનું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શહીદને</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પાસે</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ધર્મિકતાનું</w:t>
      </w:r>
      <w:r>
        <w:rPr>
          <w:rFonts w:ascii="Times New Roman" w:hAnsi="Times New Roman" w:eastAsia="Times New Roman" w:cs="Times New Roman"/>
        </w:rPr>
        <w:t xml:space="preserve"> </w:t>
      </w:r>
      <w:r>
        <w:rPr>
          <w:rFonts w:ascii="Nirmala UI" w:hAnsi="Nirmala UI" w:eastAsia="Nirmala UI" w:cs="Nirmala UI"/>
        </w:rPr>
        <w:t>વસ્ત્ર</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પ્રકાશિતવાક્ય</w:t>
      </w:r>
      <w:r>
        <w:rPr>
          <w:rFonts w:ascii="Times New Roman" w:hAnsi="Times New Roman" w:eastAsia="Times New Roman" w:cs="Times New Roman"/>
        </w:rPr>
        <w:t xml:space="preserve"> </w:t>
      </w:r>
      <w:r>
        <w:rPr>
          <w:rFonts w:ascii="Nirmala UI" w:hAnsi="Nirmala UI" w:eastAsia="Nirmala UI" w:cs="Nirmala UI"/>
        </w:rPr>
        <w:t>સાતમાં</w:t>
      </w:r>
      <w:r>
        <w:rPr>
          <w:rFonts w:ascii="Times New Roman" w:hAnsi="Times New Roman" w:eastAsia="Times New Roman" w:cs="Times New Roman"/>
        </w:rPr>
        <w:t xml:space="preserve"> </w:t>
      </w:r>
      <w:r>
        <w:rPr>
          <w:rFonts w:ascii="Nirmala UI" w:hAnsi="Nirmala UI" w:eastAsia="Nirmala UI" w:cs="Nirmala UI"/>
        </w:rPr>
        <w:t>વર્ણવાયેલ</w:t>
      </w:r>
      <w:r>
        <w:rPr>
          <w:rFonts w:ascii="Times New Roman" w:hAnsi="Times New Roman" w:eastAsia="Times New Roman" w:cs="Times New Roman"/>
        </w:rPr>
        <w:t xml:space="preserve"> </w:t>
      </w:r>
      <w:r>
        <w:rPr>
          <w:rFonts w:ascii="Nirmala UI" w:hAnsi="Nirmala UI" w:eastAsia="Nirmala UI" w:cs="Nirmala UI"/>
        </w:rPr>
        <w:t>મહાસમૂહને</w:t>
      </w:r>
      <w:r>
        <w:rPr>
          <w:rFonts w:ascii="Times New Roman" w:hAnsi="Times New Roman" w:eastAsia="Times New Roman" w:cs="Times New Roman"/>
        </w:rPr>
        <w:t xml:space="preserve"> </w:t>
      </w:r>
      <w:r>
        <w:rPr>
          <w:rFonts w:ascii="Nirmala UI" w:hAnsi="Nirmala UI" w:eastAsia="Nirmala UI" w:cs="Nirmala UI"/>
        </w:rPr>
        <w:t>શ્વેત</w:t>
      </w:r>
      <w:r>
        <w:rPr>
          <w:rFonts w:ascii="Times New Roman" w:hAnsi="Times New Roman" w:eastAsia="Times New Roman" w:cs="Times New Roman"/>
        </w:rPr>
        <w:t xml:space="preserve"> </w:t>
      </w:r>
      <w:r>
        <w:rPr>
          <w:rFonts w:ascii="Nirmala UI" w:hAnsi="Nirmala UI" w:eastAsia="Nirmala UI" w:cs="Nirmala UI"/>
        </w:rPr>
        <w:t>વસ્ત્રો</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આવતા</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કાયદાની</w:t>
      </w:r>
      <w:r>
        <w:rPr>
          <w:rFonts w:ascii="Times New Roman" w:hAnsi="Times New Roman" w:eastAsia="Times New Roman" w:cs="Times New Roman"/>
        </w:rPr>
        <w:t xml:space="preserve"> </w:t>
      </w:r>
      <w:r>
        <w:rPr>
          <w:rFonts w:ascii="Nirmala UI" w:hAnsi="Nirmala UI" w:eastAsia="Nirmala UI" w:cs="Nirmala UI"/>
        </w:rPr>
        <w:t>રક્તરંજિત</w:t>
      </w:r>
      <w:r>
        <w:rPr>
          <w:rFonts w:ascii="Times New Roman" w:hAnsi="Times New Roman" w:eastAsia="Times New Roman" w:cs="Times New Roman"/>
        </w:rPr>
        <w:t xml:space="preserve"> </w:t>
      </w:r>
      <w:r>
        <w:rPr>
          <w:rFonts w:ascii="Nirmala UI" w:hAnsi="Nirmala UI" w:eastAsia="Nirmala UI" w:cs="Nirmala UI"/>
        </w:rPr>
        <w:t>હિંસામાં</w:t>
      </w:r>
      <w:r>
        <w:rPr>
          <w:rFonts w:ascii="Times New Roman" w:hAnsi="Times New Roman" w:eastAsia="Times New Roman" w:cs="Times New Roman"/>
        </w:rPr>
        <w:t xml:space="preserve"> </w:t>
      </w:r>
      <w:r>
        <w:rPr>
          <w:rFonts w:ascii="Nirmala UI" w:hAnsi="Nirmala UI" w:eastAsia="Nirmala UI" w:cs="Nirmala UI"/>
        </w:rPr>
        <w:t>મૃત્યુ</w:t>
      </w:r>
      <w:r>
        <w:rPr>
          <w:rFonts w:ascii="Times New Roman" w:hAnsi="Times New Roman" w:eastAsia="Times New Roman" w:cs="Times New Roman"/>
        </w:rPr>
        <w:t xml:space="preserve"> </w:t>
      </w:r>
      <w:r>
        <w:rPr>
          <w:rFonts w:ascii="Nirmala UI" w:hAnsi="Nirmala UI" w:eastAsia="Nirmala UI" w:cs="Nirmala UI"/>
        </w:rPr>
        <w:t>પામનારાઓનું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ચુંમાલીસ</w:t>
      </w:r>
      <w:r>
        <w:rPr>
          <w:rFonts w:ascii="Times New Roman" w:hAnsi="Times New Roman" w:eastAsia="Times New Roman" w:cs="Times New Roman"/>
        </w:rPr>
        <w:t xml:space="preserve"> </w:t>
      </w:r>
      <w:r>
        <w:rPr>
          <w:rFonts w:ascii="Nirmala UI" w:hAnsi="Nirmala UI" w:eastAsia="Nirmala UI" w:cs="Nirmala UI"/>
        </w:rPr>
        <w:t>હજારનું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એલિયાહ</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રૂપાંતરણના</w:t>
      </w:r>
      <w:r>
        <w:rPr>
          <w:rFonts w:ascii="Times New Roman" w:hAnsi="Times New Roman" w:eastAsia="Times New Roman" w:cs="Times New Roman"/>
        </w:rPr>
        <w:t xml:space="preserve"> </w:t>
      </w:r>
      <w:r>
        <w:rPr>
          <w:rFonts w:ascii="Nirmala UI" w:hAnsi="Nirmala UI" w:eastAsia="Nirmala UI" w:cs="Nirmala UI"/>
        </w:rPr>
        <w:t>પર્વત</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પ્રભુમાં</w:t>
      </w:r>
      <w:r>
        <w:rPr>
          <w:rFonts w:ascii="Times New Roman" w:hAnsi="Times New Roman" w:eastAsia="Times New Roman" w:cs="Times New Roman"/>
        </w:rPr>
        <w:t xml:space="preserve"> </w:t>
      </w:r>
      <w:r>
        <w:rPr>
          <w:rFonts w:ascii="Nirmala UI" w:hAnsi="Nirmala UI" w:eastAsia="Nirmala UI" w:cs="Nirmala UI"/>
        </w:rPr>
        <w:t>મરણ</w:t>
      </w:r>
      <w:r>
        <w:rPr>
          <w:rFonts w:ascii="Times New Roman" w:hAnsi="Times New Roman" w:eastAsia="Times New Roman" w:cs="Times New Roman"/>
        </w:rPr>
        <w:t xml:space="preserve"> </w:t>
      </w:r>
      <w:r>
        <w:rPr>
          <w:rFonts w:ascii="Nirmala UI" w:hAnsi="Nirmala UI" w:eastAsia="Nirmala UI" w:cs="Nirmala UI"/>
        </w:rPr>
        <w:t>પામનાર</w:t>
      </w:r>
      <w:r>
        <w:rPr>
          <w:rFonts w:ascii="Times New Roman" w:hAnsi="Times New Roman" w:eastAsia="Times New Roman" w:cs="Times New Roman"/>
        </w:rPr>
        <w:t xml:space="preserve"> </w:t>
      </w:r>
      <w:r>
        <w:rPr>
          <w:rFonts w:ascii="Nirmala UI" w:hAnsi="Nirmala UI" w:eastAsia="Nirmala UI" w:cs="Nirmala UI"/>
        </w:rPr>
        <w:t>વિશ્વાસુઓનું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મૂસા</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Ɔha ɔha aduanan anan no yɛ awo ntoatoaso a wonwuo, na wɔn ne awo ntoatoaso a Kristo reka wɔn ho asɛm no, a wɔte ase bere a ɔsoro ne asase bɛtwa mu wɔ Luka ti aduonu baako mu.</w:t>
      </w:r>
    </w:p>
    <w:p>
      <w:pPr>
        <w:pStyle w:val="ArticleBody"/>
        <w:jc w:val="left"/>
      </w:pPr>
      <w:r>
        <w:rPr>
          <w:rFonts w:ascii="Times New Roman" w:hAnsi="Times New Roman" w:eastAsia="Times New Roman" w:cs="Times New Roman"/>
        </w:rPr>
        <w:t>Ff is not a recognized language code. Please specify the target language.</w:t>
      </w:r>
    </w:p>
    <w:p>
      <w:pPr>
        <w:pStyle w:val="ArticleScripture"/>
        <w:jc w:val="left"/>
      </w:pPr>
      <w:r>
        <w:rPr>
          <w:rFonts w:ascii="Times New Roman" w:hAnsi="Times New Roman" w:eastAsia="Times New Roman" w:cs="Times New Roman"/>
        </w:rPr>
        <w:t>“Kupondwa kwa Abeli kulikuwa mfano wa kwanza wa ule uadui ambao Mungu alikuwa ametangaza kwamba ungekuwapo kati ya nyoka na uzao wa mwanamke—kati ya Shetani na wafuasi wake, na Kristo na wafuasi Wake. Kwa njia ya dhambi ya mwanadamu, Shetani alikuwa amepata utawala juu ya jamii ya wanadamu; lakini Kristo angewawezesha kuikataa nira yake. Kila mara ambapo, kwa imani katika Mwana-Kondoo wa Mungu, roho huikana huduma ya dhambi, ghadhabu ya Shetani huwaka. Maisha matakatifu ya Abeli yalishuhudia dhidi ya madai ya Shetani kwamba haiwezekani kwa mwanadamu kuishika sheria ya Mungu. Kaini, alipochochewa na roho ya yule mwovu, alipoona kwamba hangeweza kumtawala Abeli, alighadhibika mno hata akamuondoa uhai wake. Na popote walipo wowote watakaosimama kuitetea haki ya sheria ya Mungu, roho iyo hiyo itaonyeshwa dhidi yao. Hiyo ndiyo roho ambayo katika vizazi vyote imeweka mti wa mateso na kuwasha lundo la kuni kwa ajili ya kuwateketeza wanafunzi wa Kristo. Lakini ukatili unaomiminwa juu ya mfuasi wa Yesu huchochewa na Shetani na majeshi yake kwa sababu hawawezi kumlazimisha ajitiishe chini ya utawala wao. Hiyo ndiyo hasira ya adui aliyeshindwa. Kila shahidi wa Yesu amekufa akiwa mshindi. Nabii asema, “Nao wakamshinda kwa damu ya Mwana-Kondoo, na kwa neno la ushuhuda wao; ambao hawakupenda maisha yao hata kufa.” Ufunuo 12:11, 9.” Patriarchs and Prophets,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ایک سو چودہ نمبر</dc:title>
  <dc:subject>Awujọ Tó Kẹ́yìn: Ṣíṣi Ìmúṣẹ Àsọtẹ́lẹ̀ Ẹ́síkíẹ́lì àti Ìdìdì àwọn 144,000 náà</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