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 ایل — نمبر ایک سو پندرہ</w:t>
      </w:r>
    </w:p>
    <w:p>
      <w:pPr>
        <w:pStyle w:val="ArticleSubtitle"/>
        <w:jc w:val="left"/>
      </w:pPr>
      <w:r>
        <w:rPr>
          <w:rFonts w:ascii="Arial" w:hAnsi="Arial" w:eastAsia="Arial" w:cs="Arial"/>
        </w:rPr>
        <w:t>Révélation des caractéristiques prophétiques de la dernière génération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در آخرین نسلِ قومی که از آنان عبور می‌شود، برخی ویژگی‌های نبوی شناخته می‌گردد. آنگاه ایشان نسلِ افعیان‌اند، زیرا خصلتِ شیطان را در خود پدید آورده‌اند. ایشان نسلِ زناکاران‌اند، زیرا با دشمنانِ خدا پیوندهایی ناپاک برقرار کرده‌اند. به نقطه‌ای رسیده‌اند که می‌بینند، اما نمی‌فهمند؛ می‌شنوند، اما درک نمی‌کنند، زیرا نامتبدّل‌اند، و این امر بدین‌گونه بازنمایی می‌شود که دل‌هایشان فربه گردیده است. موسی نخستین‌بار به همین پدیده پرداخت.</w:t>
      </w:r>
    </w:p>
    <w:p>
      <w:pPr>
        <w:pStyle w:val="ArticleScripture"/>
        <w:jc w:val="left"/>
      </w:pPr>
      <w:r>
        <w:rPr>
          <w:rFonts w:ascii="Times New Roman" w:hAnsi="Times New Roman" w:eastAsia="Times New Roman" w:cs="Times New Roman"/>
        </w:rPr>
        <w:t>Moïse appela tout Israël, et leur dit : Vous avez vu tout ce que l’Éternel a fait sous vos yeux dans le pays d’Égypte, à Pharaon, à tous ses serviteurs et à tout son pays ; les grandes épreuves que tes yeux ont vues, les signes et ces grands miracles. Mais jusqu’à ce jour, l’Éternel ne vous a pas donné un cœur pour comprendre, des yeux pour voir, ni des oreilles pour entendre. Deutéronome 29:2–4.</w:t>
      </w:r>
    </w:p>
    <w:p>
      <w:pPr>
        <w:pStyle w:val="ArticleBody"/>
        <w:jc w:val="left"/>
      </w:pPr>
      <w:r>
        <w:rPr>
          <w:rFonts w:ascii="Times New Roman" w:hAnsi="Times New Roman" w:eastAsia="Times New Roman" w:cs="Times New Roman"/>
        </w:rPr>
        <w:t>Die erste Erwähnung des laodizeischen Phänomens des Sehens und Hörens zeigt, dass dasjenige, was Gottes Volk nicht zu sehen vermag, die Zeichen und Wunder seiner grundlegenden Geschichte sind. Jeremia kennzeichnet dieses Phänomen in den letzten Tagen als ein Merkmal der „törichten Jungfrauen“ und als eine Darstellung ihrer Weigerung, die Botschaften der drei Engel anzunehmen, die mit der Verkündigung des ersten Engels beginnt, den Schöpfergott zu fürchten. Aufgrund dieser Empörung empfangen sie den Spätregen nicht.</w:t>
      </w:r>
    </w:p>
    <w:p>
      <w:pPr>
        <w:pStyle w:val="ArticleScripture"/>
        <w:jc w:val="left"/>
      </w:pPr>
      <w:r>
        <w:rPr>
          <w:rFonts w:ascii="Times New Roman" w:hAnsi="Times New Roman" w:eastAsia="Times New Roman" w:cs="Times New Roman"/>
        </w:rPr>
        <w:t>Annonsez ceci dans la maison de Jacob, et publiez-le en Juda, en disant : Écoutez maintenant ceci, peuple insensé et dépourvu d’intelligence, qui avez des yeux et ne voyez point, qui avez des oreilles et n’entendez point : Ne me craindrez-vous pas ? dit l’Éternel ; ne tremblerez-vous pas en ma présence, moi qui ai mis le sable pour limite à la mer, par un décret perpétuel qu’elle ne peut franchir ? Et quand ses flots se soulèvent, ils ne peuvent l’emporter ; quand ils mugissent, ils ne peuvent passer au-delà. Mais ce peuple a un cœur rebelle et révolté ; ils se sont révoltés et s’en sont allés. Ils ne disent point en leur cœur : Craignons maintenant l’Éternel, notre Dieu, qui donne la pluie, la première et la dernière, en sa saison ; il nous réserve les semaines ordonnées de la moisson. Vos iniquités ont détourné ces choses, et vos péchés vous ont privé des biens. Jérémie 5:20–25.</w:t>
      </w:r>
    </w:p>
    <w:p>
      <w:pPr>
        <w:pStyle w:val="ArticleBody"/>
        <w:jc w:val="left"/>
      </w:pPr>
      <w:r>
        <w:rPr>
          <w:rFonts w:ascii="Times New Roman" w:hAnsi="Times New Roman" w:eastAsia="Times New Roman" w:cs="Times New Roman"/>
        </w:rPr>
        <w:t>Esekieli huwatambua wale wanaodhihirisha tabia zinazowakilishwa na kuona bila kuelewa kuwa ni nyumba ya kuasi. Wao ni nyumba ya kuasi ambao hawataona historia ya misingi yao, ambao ni wanawali wapumbavu, ambao hawajaongoka kwa sababu wanakataa ujumbe wa malaika wa kwanza, jambo ambalo ni kuwataa wote, kwa maana ikiwa hukubali ujumbe wa malaika wa kwanza, huwezi kuukubali wa pili wala wa tatu. Katika hali hii mvua ya masika ya mwisho huzuiliwa kutoka kwa wanawali hawa wakati wa mvua ya masika ya mwisho. Baada ya Yesu kushughulikia tabia hii katika simulizi Lake, ndipo akaendelea kutoa mfano wa mpanzi.</w:t>
      </w:r>
    </w:p>
    <w:p>
      <w:pPr>
        <w:pStyle w:val="ArticleScripture"/>
        <w:jc w:val="left"/>
      </w:pPr>
      <w:r>
        <w:rPr>
          <w:rFonts w:ascii="Times New Roman" w:hAnsi="Times New Roman" w:eastAsia="Times New Roman" w:cs="Times New Roman"/>
        </w:rPr>
        <w:t>Mais heureux sont vos yeux, parce qu’ils voient, et vos oreilles, parce qu’elles entendent. Car, en vérité, je vous dis que beaucoup de prophètes et de justes ont désiré voir les choses que vous voyez, et ne les ont point vues, et entendre les choses que vous entendez, et ne les ont point entendues. Vous donc, écoutez la parabole du semeur. Lorsqu’un homme entend la parole du royaume et ne la comprend pas, le malin vient et ravit ce qui a été semé dans son cœur. C’est celui qui a reçu la semence le long du chemin. Celui qui a reçu la semence dans les endroits pierreux, c’est celui qui entend la parole et la reçoit aussitôt avec joie; mais il n’a pas de racine en lui-même, il est l’homme d’un moment; et, dès que surviennent la tribulation ou la persécution à cause de la parole, il y trouve aussitôt une occasion de chute. Celui qui a reçu la semence parmi les épines, c’est celui qui entend la parole; mais les soucis de ce siècle et la séduction des richesses étouffent la parole, et il devient infructueux. Mais celui qui a reçu la semence dans la bonne terre, c’est celui qui entend la parole et la comprend; il porte aussi du fruit et en produit, l’un cent, l’autre soixante, l’autre trente. Il leur proposa une autre parabole, disant: Le royaume des cieux est semblable à un homme qui avait semé de bonne semence dans son champ. Mais, pendant que les hommes dormaient, son ennemi vint, sema de l’ivraie parmi le blé, et s’en alla. Lorsque l’herbe eut poussé et donné du fruit, alors l’ivraie parut aussi. Et les serviteurs du maître de la maison vinrent lui dire: Seigneur, n’as-tu pas semé une bonne semence dans ton champ? D’où vient donc qu’il y a de l’ivraie? Il leur répondit: C’est un ennemi qui a fait cela. Les serviteurs lui dirent: Veux-tu donc que nous allions l’arracher? Mais il dit: Non; de peur qu’en arrachant l’ivraie, vous ne déraciniez en même temps le blé. Laissez-les croître ensemble jusqu’à la moisson; et, au temps de la moisson, je dirai aux moissonneurs: Arrachez d’abord l’ivraie, et liez-la en gerbes pour la brûler; mais amassez le blé dans mon grenier. Matthieu 13:16–30.</w:t>
      </w:r>
    </w:p>
    <w:p>
      <w:pPr>
        <w:pStyle w:val="ArticleBody"/>
        <w:jc w:val="left"/>
      </w:pPr>
      <w:r>
        <w:rPr>
          <w:rFonts w:ascii="Times New Roman" w:hAnsi="Times New Roman" w:eastAsia="Times New Roman" w:cs="Times New Roman"/>
        </w:rPr>
        <w:t>Les insensés sont l’ivraie, et les sages sont le blé. Dans la parabole des dix vierges, c’est la possession de l’huile qui manifeste la distinction entre les deux classes, et, dans le cas du blé et de l’ivraie, elle repose sur le fait de savoir si la semence, qui est la parole, est comprise. La première mention, par Moïse, d’une classe qui ne verra pas et, par conséquent, ne comprendra pas, situe le message qui doit être compris dans les signes et les prodiges de l’histoire fondamentale. La dernière référence prophétique aux éléments de l’aveuglement de la maison rebelle, chez Ellen White, identifie que les yeux qui furent bénis de voir ce que tous les hommes justes désiraient voir étaient l’histoire du mouvement millérite.</w:t>
      </w:r>
    </w:p>
    <w:p>
      <w:pPr>
        <w:pStyle w:val="ArticleScripture"/>
        <w:jc w:val="left"/>
      </w:pPr>
      <w:r>
        <w:rPr>
          <w:rFonts w:ascii="Times New Roman" w:hAnsi="Times New Roman" w:eastAsia="Times New Roman" w:cs="Times New Roman"/>
        </w:rPr>
        <w:t>“Lahat ng mga mensaheng ibinigay mula 1840–1844 ay dapat gawing makapangyarihan ngayon, sapagkat marami ang mga taong nawalan ng tamang pagkaunawa. Ang mga mensahe ay dapat ihatid sa lahat ng mga iglesia.</w:t>
      </w:r>
    </w:p>
    <w:p>
      <w:pPr>
        <w:pStyle w:val="ArticleScripture"/>
        <w:jc w:val="left"/>
      </w:pPr>
      <w:r>
        <w:rPr>
          <w:rFonts w:ascii="Times New Roman" w:hAnsi="Times New Roman" w:eastAsia="Times New Roman" w:cs="Times New Roman"/>
        </w:rPr>
        <w:t>«Քրիստոս ասաց. «Երանի՛ ձեր աչքերին, որ տեսնում են, և ձեր ականջներին, որ լսում են. որովհետև ճշմարիտ ասում եմ ձեզ, թե շատ մարգարեներ և արդարներ ցանկացան տեսնել այն, ինչ դուք տեսնում եք, և չտեսան, և լսել այն, ինչ դուք լսում եք, և չլսեցին» [Matthew 13:16, 17]։ Երանի՛ այն աչքերին, որոնք տեսան այն բաները, որ տեսնվեցին 1843 և 1844 թվականներին»։ Manuscript Releases, volume 21, 436, 437.</w:t>
      </w:r>
    </w:p>
    <w:p>
      <w:pPr>
        <w:pStyle w:val="ArticleBody"/>
        <w:jc w:val="left"/>
      </w:pPr>
      <w:r>
        <w:rPr>
          <w:rFonts w:ascii="Times New Roman" w:hAnsi="Times New Roman" w:eastAsia="Times New Roman" w:cs="Times New Roman"/>
        </w:rPr>
        <w:t>Jesús siempre ilustra el fin con el principio, y tanto la primera referencia a aquellos que tienen ojos, pero no ven ni entienden, como la última referencia, identifican que la historia fundamental de la casa rebelde es aquello que no se ve, y por lo tanto se rechaza, impidiendo así que los insensatos reconozcan la lluvia tardía. La historia de 1840–1844 fue tipificada por la liberación del antiguo Israel de la esclavitud egipcia. El fracaso del antiguo Israel al no pasar el proceso inicial de prueba los llevó a Cades, donde aceptaron el informe falso de los diez espías y eligieron a un nuevo capitán para que los condujera de regreso a Egipto. Cuarenta años después fueron llevados de nuevo a Cades, y Moisés fracasó al herir la Roca por segunda vez.</w:t>
      </w:r>
    </w:p>
    <w:p>
      <w:pPr>
        <w:pStyle w:val="ArticleBody"/>
        <w:jc w:val="left"/>
      </w:pPr>
      <w:r>
        <w:rPr>
          <w:rFonts w:ascii="Times New Roman" w:hAnsi="Times New Roman" w:eastAsia="Times New Roman" w:cs="Times New Roman"/>
        </w:rPr>
        <w:t>Hingaathla Moses a thlawhhlawh mahse, Josua’n a hruaitu ni a ni reng a, anmahni chu Ram Tiam chu an luhpui ta che u. Kadesh-a fiahna hnuhnung ber chu helna nasa tak nen a inzawm a ni; Isua’n a tawpna chu a tanchhanpui tlat ṭhin a, kum sawmli bul lamah Kadesh-a thlahte panga hnihte helna leh kum sawmli tawp lamah Kadesh-a lo awm leh helna pawh Kadesh-a helna ropui tak a entîr bawk. Nimahsela, Kadesh-a Moses helna avâng hian Ram Tiam chhûnga luhna hmuhtîr na chu chhawp a ni tawh lo.</w:t>
      </w:r>
    </w:p>
    <w:p>
      <w:pPr>
        <w:pStyle w:val="ArticleBody"/>
        <w:jc w:val="left"/>
      </w:pPr>
      <w:r>
        <w:rPr>
          <w:rFonts w:ascii="Times New Roman" w:hAnsi="Times New Roman" w:eastAsia="Times New Roman" w:cs="Times New Roman"/>
        </w:rPr>
        <w:t>Katika uasi wa mwaka 1863, ambao ulisababisha kuongezeka kwa uasi wa 1888, ambao ulisababisha kuongezeka kwa uasi wa 1919, uliokamilikia katika uasi wa 1957, Yesu aliirudisha Uadventista wa Laodikia kwenye Kadeshi. Aliwarudisha katika historia ile ambapo malaika wa tatu aliwasili na kuanza mchakato wa upimaji ambao hatimaye ulidhihirisha uasi wa 1863, na kufukuzwa kwa kutangatanga jangwani kwa Laodikia. Malaika wa tatu aliingia katika historia ya mwisho ya Uadventista wa Laodikia mnamo Septemba 11, 2001, wakati malaika mwenye nguvu wa Ufunuo kumi na nane, ambaye ndiye malaika wa tatu, aliposhuka. Kisha akatangaza kwamba Babeli umeanguka, kama ilivyofananishwa na kuangushwa kwa mnara wa Nimrodi, wakati minara ya Jiji la New York ilipoangushwa.</w:t>
      </w:r>
    </w:p>
    <w:p>
      <w:pPr>
        <w:pStyle w:val="ArticleScripture"/>
        <w:jc w:val="left"/>
      </w:pPr>
      <w:r>
        <w:rPr>
          <w:rFonts w:ascii="Times New Roman" w:hAnsi="Times New Roman" w:eastAsia="Times New Roman" w:cs="Times New Roman"/>
        </w:rPr>
        <w:t>„Botschaft des dritten Engels wird nicht verstanden werden; das Licht, das die Erde mit seiner Herrlichkeit erleuchten wird, wird von denen, die sich weigern, in seiner fortschreitenden Herrlichkeit zu wandeln, ein falsches Licht genannt werden.“ Review and Herald, 27. Mai 1890.</w:t>
      </w:r>
    </w:p>
    <w:p>
      <w:pPr>
        <w:pStyle w:val="ArticleBody"/>
        <w:jc w:val="left"/>
      </w:pPr>
      <w:r>
        <w:rPr>
          <w:rFonts w:ascii="Times New Roman" w:hAnsi="Times New Roman" w:eastAsia="Times New Roman" w:cs="Times New Roman"/>
        </w:rPr>
        <w:t>Seperti halnya dengan Israel kuno, demikian pula dengan Israel modern. Generasi yang menyaksikan 11 September 2001 adalah generasi terakhir. Yesus berkata dalam Lukas pasal dua puluh satu bahwa “generasi ini,” dan Ia mengidentifikasikan generasi itu sebagai mereka yang hidup ketika langit dan bumi berlalu, yang terjadi pada Kedatangan Kedua. Generasi yang hidup untuk menyaksikan kedatangan kembali Kristus akan telah mengenali suatu tanda yang membuktikan kepada mereka bahwa merekalah generasi terakhir. Mereka akan mengetahui dan memahami bahwa merekalah orang-orang yang hidup ketika “penggenapan setiap penglihatan” tidak lagi “ditangguhkan.”</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पूछकर</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वार्तालाप</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वार्तालाप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Poyanisa eyanolongwa na bayekoli, Yesu alondolaki kobebisama ya Yelusaleme mpe lisolo ya makambo oyo elandaki, kino na nsuka ya mokili. Nsima ya kolakisa na molongo monene makambo ya lisolo kino na molongo ya zomi na libwa, bongo alobeli kobebisama ya Yelusaleme, kobebisama oyo elingaki kokoka kosalema na ekulusu, kasi oyo, mpo na mawa mpe motema molai ya Nzambe, epemamaki pene ya mibu ntuku minei. Na nsuka ya mibu ntuku minei yango, etikalaki eteni moko ya bato oyo balingaki kopona na kobebisama yango, kasi bobele soki bayebaki elembo oyo na sima apesaki.</w:t>
      </w:r>
    </w:p>
    <w:p>
      <w:pPr>
        <w:pStyle w:val="ArticleBody"/>
        <w:jc w:val="left"/>
      </w:pPr>
      <w:r>
        <w:rPr>
          <w:rFonts w:ascii="Times New Roman" w:hAnsi="Times New Roman" w:eastAsia="Times New Roman" w:cs="Times New Roman"/>
        </w:rPr>
        <w:t>Au commencement de l’ancien Israël, il y eut une période de quarante ans, qui commença par un jugement porté sur la rébellion des dix espions, jugement différé pendant quarante ans à cause de l’intercession de Moïse. À la fin de l’ancien Israël, il y eut un jugement porté sur la rébellion de la croix, jugement différé pendant quarante ans à cause de la longanimité et de la miséricorde du Christ dans son intercession. Dans l’une et l’autre histoire, il y eut un reste qui échappa. Jésus illustre toujours la fin d’une chose par le commencement d’une chose.</w:t>
      </w:r>
    </w:p>
    <w:p>
      <w:pPr>
        <w:pStyle w:val="ArticleBody"/>
        <w:jc w:val="left"/>
      </w:pPr>
      <w:r>
        <w:rPr>
          <w:rFonts w:ascii="Times New Roman" w:hAnsi="Times New Roman" w:eastAsia="Times New Roman" w:cs="Times New Roman"/>
        </w:rPr>
        <w:t>Yesu alizungumzia ishara iliyohusiana na kuangamizwa kwa Yerusalemu na akaibainisha kuwa ni “siku za kisasi.”</w:t>
      </w:r>
    </w:p>
    <w:p>
      <w:pPr>
        <w:pStyle w:val="ArticleScripture"/>
        <w:jc w:val="left"/>
      </w:pPr>
      <w:r>
        <w:rPr>
          <w:rFonts w:ascii="Times New Roman" w:hAnsi="Times New Roman" w:eastAsia="Times New Roman" w:cs="Times New Roman"/>
        </w:rPr>
        <w:t>Et lorsque vous verrez Jérusalem environnée d’armées, sachez alors que sa désolation est proche. Alors, que ceux qui seront en Judée fuient vers les montagnes; que ceux qui seront au milieu d’elle s’en retirent; et que ceux qui seront dans les campagnes n’y entrent point. Car ce seront des jours de vengeance, afin que toutes les choses qui sont écrites soient accomplies. Luc 21:20–22.</w:t>
      </w:r>
    </w:p>
    <w:p>
      <w:pPr>
        <w:pStyle w:val="ArticleBody"/>
        <w:jc w:val="left"/>
      </w:pPr>
      <w:r>
        <w:rPr>
          <w:rFonts w:ascii="Times New Roman" w:hAnsi="Times New Roman" w:eastAsia="Times New Roman" w:cs="Times New Roman"/>
        </w:rPr>
        <w:t>“gün dê tolhildan” ew heft belayên dawî ne, û ji ber vê yekê Xwişk White hilweşîna Orşelîmê bi dadweriya îcrayî ya Xwedê di rojên dawî de li hev tîne.</w:t>
      </w:r>
    </w:p>
    <w:p>
      <w:pPr>
        <w:pStyle w:val="ArticleScripture"/>
        <w:jc w:val="left"/>
      </w:pPr>
      <w:r>
        <w:rPr>
          <w:rFonts w:ascii="Times New Roman" w:hAnsi="Times New Roman" w:eastAsia="Times New Roman" w:cs="Times New Roman"/>
        </w:rPr>
        <w:t>Scheut neuze, c’hwi broadoù, da glevout; ha selaouit, c’hwi pobloù: ra glevio an douar, hag kement a zo ennañ; ar bed, ha pep tra a zeu er-maez anezhañ. Rak kounnar an Aotrou a zo war an holl vroadoù, hag e gounnar war o holl armeoù: distrujet o deus bet penn-da-benn; roet o deus anezho d’al lazhañ. O re varv ivez a vo taolet kuit, hag o c’hwezh fall a savio eus o c’horfoù marv, hag ar menezioù a vo teuzet gant o gwad. Hag holl arme an neñv a vo disolvet, hag an neñvoù a vo pleget a-gevret evel ur skroll: hag o holl arme a gouezho d’an traoñ, evel ma kouezh al leafenn diwar ar winieg, hag evel ur figenn a gouezh diwar ar wezenn fig. Rak ma c’hleze a vo soubet en neñv: setu, diskenn a raio war Idumea, ha war bobl ma mallozh, d’ar varn. Kleze an Aotrou a zo leun a wad, deut eo da vezañ lardet gant druzoni, hag gant gwad oaned ha bouc’hed, gant druzoni ar renoù maout; rak un aberzh a zo gant an Aotrou e Bozrah, hag ul lazhañ bras e bro Idumea. Hag an unikorned a ziskenno ganto, hag al leueoù gant an ejened; hag o bro a vo soubet gant gwad, hag o douar-ludu a vo lardet gant druzoni. Rak deiz dial an Aotrou eo, hag ar bloaz digolladoù evit tabut Sion. Esaia 34:1–8.</w:t>
      </w:r>
    </w:p>
    <w:p>
      <w:pPr>
        <w:pStyle w:val="ArticleBody"/>
        <w:jc w:val="left"/>
      </w:pPr>
      <w:r>
        <w:rPr>
          <w:rFonts w:ascii="Times New Roman" w:hAnsi="Times New Roman" w:eastAsia="Times New Roman" w:cs="Times New Roman"/>
        </w:rPr>
        <w:t>Jesus inaugura sa première présentation publique à Nazareth, en se déclarant lui-même le Messie. Cette présentation était prophétiquement régie par la règle de la première mention. La lecture qu’il choisit indiquait que son œuvre comprenait l’annonce du « jour de la vengeance de l’Éternel », lequel, selon Ésaïe, est aussi « l’année des rétributions pour la cause de Sion ».</w:t>
      </w:r>
    </w:p>
    <w:p>
      <w:pPr>
        <w:pStyle w:val="ArticleBody"/>
        <w:jc w:val="left"/>
      </w:pPr>
      <w:r>
        <w:rPr>
          <w:rFonts w:ascii="Times New Roman" w:hAnsi="Times New Roman" w:eastAsia="Times New Roman" w:cs="Times New Roman"/>
        </w:rPr>
        <w:t>Nazareth ke arohhee Christ ah Chanchin ṭha puan chhuahna hmasa ber aṭan a ṭan a, chutah chuan Amah ngei chu Messiah a nih thu a puang chhuak a. Chutih lai chuan A thu sawi lo hre thiam lo te chuan, a ṭawngṭaina hre lo chungin, Amah chu tlang atangin an hnawh thlak hmangin tihhlum tum an ni. A rawngbâwlna bul lamah chuan A khua leh tui mipuite hian Amah an tihhlum tum a; a rawngbâwlna tawp lamah erawh chuan A mite ngeiin Amah an tihhlum ta a ni. A rawngbâwlna chu Amah ngei Messiah a nihzia lantîr tûra ni a, chu chu A baptismaah hriak an hnih khân a lo ni ta a. A baptismaah chuan lo kal tûr Messiah thu sawi lawk famkim a nihna nemngheh tûrin pathian lam entîrna pakhat a lo xuống a. August 11, 1840-ah chuan chumi hun chanchina fiahna thuchah sawi lawk nemngheh tûrin pathian lam entîrna pakhat a lo xuống bawk a. Tin, September 11, 2001-ah chuan chumi hun chanchina sawi lawk thuchah, chu chu ruah hnuhnung thuchah a nih, nemngheh tûrin pathian lam entîrna pakhat a lo xuống leh a.</w:t>
      </w:r>
    </w:p>
    <w:p>
      <w:pPr>
        <w:pStyle w:val="ArticleScripture"/>
        <w:jc w:val="left"/>
      </w:pPr>
      <w:r>
        <w:rPr>
          <w:rFonts w:ascii="Times New Roman" w:hAnsi="Times New Roman" w:eastAsia="Times New Roman" w:cs="Times New Roman"/>
        </w:rPr>
        <w:t>«Après avoir travaillé durant deux jours parmi les Samaritains, Jésus les quitta pour poursuivre son voyage vers la Galilée. Il ne s’arrêta pas à Nazareth, où il avait passé sa jeunesse et les premières années de sa vie d’homme. L’accueil qui lui avait été fait dans la synagogue de ce lieu, lorsqu’il s’était déclaré l’Oint, avait été si défavorable qu’il résolut de chercher des champs plus fertiles, de prêcher à des oreilles qui écouteraient, et à des cœurs qui recevraient son message. Il déclara à ses disciples qu’un prophète n’est point honoré dans son propre pays. Cette parole exprime cette répugnance naturelle qu’ont beaucoup de personnes à reconnaître un développement admirable et extraordinaire chez quelqu’un qui a vécu sans ostentation au milieu d’elles, et qu’elles ont connu intimement dès l’enfance. En même temps, ces mêmes personnes pourraient s’enflammer jusqu’à l’exaltation devant les prétentions d’un étranger et d’un aventurier.» The Spirit of Prophecy, volume 2, 151.</w:t>
      </w:r>
    </w:p>
    <w:p>
      <w:pPr>
        <w:pStyle w:val="ArticleBody"/>
        <w:jc w:val="left"/>
      </w:pPr>
      <w:r>
        <w:rPr>
          <w:rFonts w:ascii="Nirmala UI" w:hAnsi="Nirmala UI" w:eastAsia="Nirmala UI" w:cs="Nirmala UI"/>
        </w:rPr>
        <w:t>ലൂക്കോസിന്റെ</w:t>
      </w:r>
      <w:r>
        <w:rPr>
          <w:rFonts w:ascii="Times New Roman" w:hAnsi="Times New Roman" w:eastAsia="Times New Roman" w:cs="Times New Roman"/>
        </w:rPr>
        <w:t xml:space="preserve"> </w:t>
      </w:r>
      <w:r>
        <w:rPr>
          <w:rFonts w:ascii="Nirmala UI" w:hAnsi="Nirmala UI" w:eastAsia="Nirmala UI" w:cs="Nirmala UI"/>
        </w:rPr>
        <w:t>ഇരുപത്തിയൊന്നാം</w:t>
      </w:r>
      <w:r>
        <w:rPr>
          <w:rFonts w:ascii="Times New Roman" w:hAnsi="Times New Roman" w:eastAsia="Times New Roman" w:cs="Times New Roman"/>
        </w:rPr>
        <w:t xml:space="preserve"> </w:t>
      </w:r>
      <w:r>
        <w:rPr>
          <w:rFonts w:ascii="Nirmala UI" w:hAnsi="Nirmala UI" w:eastAsia="Nirmala UI" w:cs="Nirmala UI"/>
        </w:rPr>
        <w:t>അധ്യായത്തിൽ</w:t>
      </w:r>
      <w:r>
        <w:rPr>
          <w:rFonts w:ascii="Times New Roman" w:hAnsi="Times New Roman" w:eastAsia="Times New Roman" w:cs="Times New Roman"/>
        </w:rPr>
        <w:t xml:space="preserve">, </w:t>
      </w:r>
      <w:r>
        <w:rPr>
          <w:rFonts w:ascii="Nirmala UI" w:hAnsi="Nirmala UI" w:eastAsia="Nirmala UI" w:cs="Nirmala UI"/>
        </w:rPr>
        <w:t>മരിക്കാതെ</w:t>
      </w:r>
      <w:r>
        <w:rPr>
          <w:rFonts w:ascii="Times New Roman" w:hAnsi="Times New Roman" w:eastAsia="Times New Roman" w:cs="Times New Roman"/>
        </w:rPr>
        <w:t xml:space="preserve"> </w:t>
      </w:r>
      <w:r>
        <w:rPr>
          <w:rFonts w:ascii="Nirmala UI" w:hAnsi="Nirmala UI" w:eastAsia="Nirmala UI" w:cs="Nirmala UI"/>
        </w:rPr>
        <w:t>നിലനിൽക്കുന്ന</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തലമുറയായ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ലക്ഷത്തി</w:t>
      </w:r>
      <w:r>
        <w:rPr>
          <w:rFonts w:ascii="Times New Roman" w:hAnsi="Times New Roman" w:eastAsia="Times New Roman" w:cs="Times New Roman"/>
        </w:rPr>
        <w:t xml:space="preserve"> </w:t>
      </w:r>
      <w:r>
        <w:rPr>
          <w:rFonts w:ascii="Nirmala UI" w:hAnsi="Nirmala UI" w:eastAsia="Nirmala UI" w:cs="Nirmala UI"/>
        </w:rPr>
        <w:t>നാൽപ്പത്തിനാലായിരത്തെ</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ഒരിക്കൽ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പിതാവിന്റെ</w:t>
      </w:r>
      <w:r>
        <w:rPr>
          <w:rFonts w:ascii="Times New Roman" w:hAnsi="Times New Roman" w:eastAsia="Times New Roman" w:cs="Times New Roman"/>
        </w:rPr>
        <w:t xml:space="preserve"> </w:t>
      </w:r>
      <w:r>
        <w:rPr>
          <w:rFonts w:ascii="Nirmala UI" w:hAnsi="Nirmala UI" w:eastAsia="Nirmala UI" w:cs="Nirmala UI"/>
        </w:rPr>
        <w:t>ആലയമായിരുന്നുവെങ്കിലും</w:t>
      </w:r>
      <w:r>
        <w:rPr>
          <w:rFonts w:ascii="Times New Roman" w:hAnsi="Times New Roman" w:eastAsia="Times New Roman" w:cs="Times New Roman"/>
        </w:rPr>
        <w:t xml:space="preserve"> </w:t>
      </w:r>
      <w:r>
        <w:rPr>
          <w:rFonts w:ascii="Nirmala UI" w:hAnsi="Nirmala UI" w:eastAsia="Nirmala UI" w:cs="Nirmala UI"/>
        </w:rPr>
        <w:t>പിന്നീടത്</w:t>
      </w:r>
      <w:r>
        <w:rPr>
          <w:rFonts w:ascii="Times New Roman" w:hAnsi="Times New Roman" w:eastAsia="Times New Roman" w:cs="Times New Roman"/>
        </w:rPr>
        <w:t xml:space="preserve"> </w:t>
      </w:r>
      <w:r>
        <w:rPr>
          <w:rFonts w:ascii="Nirmala UI" w:hAnsi="Nirmala UI" w:eastAsia="Nirmala UI" w:cs="Nirmala UI"/>
        </w:rPr>
        <w:t>യെഹൂദന്മാരുടെ</w:t>
      </w:r>
      <w:r>
        <w:rPr>
          <w:rFonts w:ascii="Times New Roman" w:hAnsi="Times New Roman" w:eastAsia="Times New Roman" w:cs="Times New Roman"/>
        </w:rPr>
        <w:t xml:space="preserve"> </w:t>
      </w:r>
      <w:r>
        <w:rPr>
          <w:rFonts w:ascii="Nirmala UI" w:hAnsi="Nirmala UI" w:eastAsia="Nirmala UI" w:cs="Nirmala UI"/>
        </w:rPr>
        <w:t>ആലയമായി</w:t>
      </w:r>
      <w:r>
        <w:rPr>
          <w:rFonts w:ascii="Times New Roman" w:hAnsi="Times New Roman" w:eastAsia="Times New Roman" w:cs="Times New Roman"/>
        </w:rPr>
        <w:t xml:space="preserve"> </w:t>
      </w:r>
      <w:r>
        <w:rPr>
          <w:rFonts w:ascii="Nirmala UI" w:hAnsi="Nirmala UI" w:eastAsia="Nirmala UI" w:cs="Nirmala UI"/>
        </w:rPr>
        <w:t>മാറിയ</w:t>
      </w:r>
      <w:r>
        <w:rPr>
          <w:rFonts w:ascii="Times New Roman" w:hAnsi="Times New Roman" w:eastAsia="Times New Roman" w:cs="Times New Roman"/>
        </w:rPr>
        <w:t xml:space="preserve"> </w:t>
      </w:r>
      <w:r>
        <w:rPr>
          <w:rFonts w:ascii="Nirmala UI" w:hAnsi="Nirmala UI" w:eastAsia="Nirmala UI" w:cs="Nirmala UI"/>
        </w:rPr>
        <w:t>സ്ഥലത്തെത്തിയ</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സന്ദർശനത്തോടെ</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അവതരിപ്പിച്ചുകൊണ്ടാണ്</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ചെയ്യുന്നത്</w:t>
      </w:r>
      <w:r>
        <w:rPr>
          <w:rFonts w:ascii="Times New Roman" w:hAnsi="Times New Roman" w:eastAsia="Times New Roman" w:cs="Times New Roman"/>
        </w:rPr>
        <w:t xml:space="preserve">. </w:t>
      </w:r>
      <w:r>
        <w:rPr>
          <w:rFonts w:ascii="Nirmala UI" w:hAnsi="Nirmala UI" w:eastAsia="Nirmala UI" w:cs="Nirmala UI"/>
        </w:rPr>
        <w:t>യേശു</w:t>
      </w:r>
      <w:r>
        <w:rPr>
          <w:rFonts w:ascii="Times New Roman" w:hAnsi="Times New Roman" w:eastAsia="Times New Roman" w:cs="Times New Roman"/>
        </w:rPr>
        <w:t xml:space="preserve"> </w:t>
      </w:r>
      <w:r>
        <w:rPr>
          <w:rFonts w:ascii="Nirmala UI" w:hAnsi="Nirmala UI" w:eastAsia="Nirmala UI" w:cs="Nirmala UI"/>
        </w:rPr>
        <w:t>അവതരിപ്പിക്കാൻ</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ചരിത്രവിവരണത്തിൽ</w:t>
      </w:r>
      <w:r>
        <w:rPr>
          <w:rFonts w:ascii="Times New Roman" w:hAnsi="Times New Roman" w:eastAsia="Times New Roman" w:cs="Times New Roman"/>
        </w:rPr>
        <w:t xml:space="preserve">, </w:t>
      </w:r>
      <w:r>
        <w:rPr>
          <w:rFonts w:ascii="Nirmala UI" w:hAnsi="Nirmala UI" w:eastAsia="Nirmala UI" w:cs="Nirmala UI"/>
        </w:rPr>
        <w:t>ശിഷ്യന്മാർ</w:t>
      </w:r>
      <w:r>
        <w:rPr>
          <w:rFonts w:ascii="Times New Roman" w:hAnsi="Times New Roman" w:eastAsia="Times New Roman" w:cs="Times New Roman"/>
        </w:rPr>
        <w:t xml:space="preserve"> </w:t>
      </w:r>
      <w:r>
        <w:rPr>
          <w:rFonts w:ascii="Nirmala UI" w:hAnsi="Nirmala UI" w:eastAsia="Nirmala UI" w:cs="Nirmala UI"/>
        </w:rPr>
        <w:t>അറിഞ്ഞുകൊള്ളുവാൻ</w:t>
      </w:r>
      <w:r>
        <w:rPr>
          <w:rFonts w:ascii="Times New Roman" w:hAnsi="Times New Roman" w:eastAsia="Times New Roman" w:cs="Times New Roman"/>
        </w:rPr>
        <w:t xml:space="preserve"> </w:t>
      </w:r>
      <w:r>
        <w:rPr>
          <w:rFonts w:ascii="Nirmala UI" w:hAnsi="Nirmala UI" w:eastAsia="Nirmala UI" w:cs="Nirmala UI"/>
        </w:rPr>
        <w:t>ആഗ്രഹിച്ചിരുന്ന</w:t>
      </w:r>
      <w:r>
        <w:rPr>
          <w:rFonts w:ascii="Times New Roman" w:hAnsi="Times New Roman" w:eastAsia="Times New Roman" w:cs="Times New Roman"/>
        </w:rPr>
        <w:t xml:space="preserve"> </w:t>
      </w:r>
      <w:r>
        <w:rPr>
          <w:rFonts w:ascii="Nirmala UI" w:hAnsi="Nirmala UI" w:eastAsia="Nirmala UI" w:cs="Nirmala UI"/>
        </w:rPr>
        <w:t>യെരൂശലേവും</w:t>
      </w:r>
      <w:r>
        <w:rPr>
          <w:rFonts w:ascii="Times New Roman" w:hAnsi="Times New Roman" w:eastAsia="Times New Roman" w:cs="Times New Roman"/>
        </w:rPr>
        <w:t xml:space="preserve"> </w:t>
      </w:r>
      <w:r>
        <w:rPr>
          <w:rFonts w:ascii="Nirmala UI" w:hAnsi="Nirmala UI" w:eastAsia="Nirmala UI" w:cs="Nirmala UI"/>
        </w:rPr>
        <w:t>ആലയവും</w:t>
      </w:r>
      <w:r>
        <w:rPr>
          <w:rFonts w:ascii="Times New Roman" w:hAnsi="Times New Roman" w:eastAsia="Times New Roman" w:cs="Times New Roman"/>
        </w:rPr>
        <w:t xml:space="preserve"> </w:t>
      </w:r>
      <w:r>
        <w:rPr>
          <w:rFonts w:ascii="Nirmala UI" w:hAnsi="Nirmala UI" w:eastAsia="Nirmala UI" w:cs="Nirmala UI"/>
        </w:rPr>
        <w:t>നശിപ്പിക്കപ്പെടേണ്ട</w:t>
      </w:r>
      <w:r>
        <w:rPr>
          <w:rFonts w:ascii="Times New Roman" w:hAnsi="Times New Roman" w:eastAsia="Times New Roman" w:cs="Times New Roman"/>
        </w:rPr>
        <w:t xml:space="preserve"> </w:t>
      </w:r>
      <w:r>
        <w:rPr>
          <w:rFonts w:ascii="Nirmala UI" w:hAnsi="Nirmala UI" w:eastAsia="Nirmala UI" w:cs="Nirmala UI"/>
        </w:rPr>
        <w:t>ഘട്ടത്തോളം</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xml:space="preserve">. 70)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എത്തി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നാശത്തെ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പ്രതികാരദിവസങ്ങൾ</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ശുശ്രൂഷയുടെ</w:t>
      </w:r>
      <w:r>
        <w:rPr>
          <w:rFonts w:ascii="Times New Roman" w:hAnsi="Times New Roman" w:eastAsia="Times New Roman" w:cs="Times New Roman"/>
        </w:rPr>
        <w:t xml:space="preserve"> </w:t>
      </w:r>
      <w:r>
        <w:rPr>
          <w:rFonts w:ascii="Nirmala UI" w:hAnsi="Nirmala UI" w:eastAsia="Nirmala UI" w:cs="Nirmala UI"/>
        </w:rPr>
        <w:t>ആരംഭപ്രഖ്യാപനത്തിന്റെ</w:t>
      </w:r>
      <w:r>
        <w:rPr>
          <w:rFonts w:ascii="Times New Roman" w:hAnsi="Times New Roman" w:eastAsia="Times New Roman" w:cs="Times New Roman"/>
        </w:rPr>
        <w:t xml:space="preserve"> </w:t>
      </w:r>
      <w:r>
        <w:rPr>
          <w:rFonts w:ascii="Nirmala UI" w:hAnsi="Nirmala UI" w:eastAsia="Nirmala UI" w:cs="Nirmala UI"/>
        </w:rPr>
        <w:t>ഭാഗമായിരുന്നു</w:t>
      </w:r>
      <w:r>
        <w:rPr>
          <w:rFonts w:ascii="Times New Roman" w:hAnsi="Times New Roman" w:eastAsia="Times New Roman" w:cs="Times New Roman"/>
        </w:rPr>
        <w:t>. “</w:t>
      </w:r>
      <w:r>
        <w:rPr>
          <w:rFonts w:ascii="Nirmala UI" w:hAnsi="Nirmala UI" w:eastAsia="Nirmala UI" w:cs="Nirmala UI"/>
        </w:rPr>
        <w:t>പ്രതികാരദിവസങ്ങൾ</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പറയുന്നത്</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70-</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യെരൂശലേമിന്റെ</w:t>
      </w:r>
      <w:r>
        <w:rPr>
          <w:rFonts w:ascii="Times New Roman" w:hAnsi="Times New Roman" w:eastAsia="Times New Roman" w:cs="Times New Roman"/>
        </w:rPr>
        <w:t xml:space="preserve"> </w:t>
      </w:r>
      <w:r>
        <w:rPr>
          <w:rFonts w:ascii="Nirmala UI" w:hAnsi="Nirmala UI" w:eastAsia="Nirmala UI" w:cs="Nirmala UI"/>
        </w:rPr>
        <w:t>നാശത്തെ</w:t>
      </w:r>
      <w:r>
        <w:rPr>
          <w:rFonts w:ascii="Times New Roman" w:hAnsi="Times New Roman" w:eastAsia="Times New Roman" w:cs="Times New Roman"/>
        </w:rPr>
        <w:t xml:space="preserve"> </w:t>
      </w:r>
      <w:r>
        <w:rPr>
          <w:rFonts w:ascii="Nirmala UI" w:hAnsi="Nirmala UI" w:eastAsia="Nirmala UI" w:cs="Nirmala UI"/>
        </w:rPr>
        <w:t>മാത്രം</w:t>
      </w:r>
      <w:r>
        <w:rPr>
          <w:rFonts w:ascii="Times New Roman" w:hAnsi="Times New Roman" w:eastAsia="Times New Roman" w:cs="Times New Roman"/>
        </w:rPr>
        <w:t xml:space="preserve"> </w:t>
      </w:r>
      <w:r>
        <w:rPr>
          <w:rFonts w:ascii="Nirmala UI" w:hAnsi="Nirmala UI" w:eastAsia="Nirmala UI" w:cs="Nirmala UI"/>
        </w:rPr>
        <w:t>സൂചിപ്പിച്ചതല്ല</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ബാധകളിൽ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w:t>
      </w:r>
      <w:r>
        <w:rPr>
          <w:rFonts w:ascii="Times New Roman" w:hAnsi="Times New Roman" w:eastAsia="Times New Roman" w:cs="Times New Roman"/>
        </w:rPr>
        <w:t xml:space="preserve"> </w:t>
      </w:r>
      <w:r>
        <w:rPr>
          <w:rFonts w:ascii="Nirmala UI" w:hAnsi="Nirmala UI" w:eastAsia="Nirmala UI" w:cs="Nirmala UI"/>
        </w:rPr>
        <w:t>ദൈവക്രോധത്തിന്റെ</w:t>
      </w:r>
      <w:r>
        <w:rPr>
          <w:rFonts w:ascii="Times New Roman" w:hAnsi="Times New Roman" w:eastAsia="Times New Roman" w:cs="Times New Roman"/>
        </w:rPr>
        <w:t xml:space="preserve"> </w:t>
      </w:r>
      <w:r>
        <w:rPr>
          <w:rFonts w:ascii="Nirmala UI" w:hAnsi="Nirmala UI" w:eastAsia="Nirmala UI" w:cs="Nirmala UI"/>
        </w:rPr>
        <w:t>സമയത്തെയും</w:t>
      </w:r>
      <w:r>
        <w:rPr>
          <w:rFonts w:ascii="Times New Roman" w:hAnsi="Times New Roman" w:eastAsia="Times New Roman" w:cs="Times New Roman"/>
        </w:rPr>
        <w:t xml:space="preserve"> </w:t>
      </w:r>
      <w:r>
        <w:rPr>
          <w:rFonts w:ascii="Nirmala UI" w:hAnsi="Nirmala UI" w:eastAsia="Nirmala UI" w:cs="Nirmala UI"/>
        </w:rPr>
        <w:t>സൂചിപ്പിച്ചതായിരുന്നു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Car c’est ici le jour du Seigneur, l’Éternel des armées, un jour de vengeance, afin qu’il se venge de ses adversaires ; et l’épée dévorera, elle sera rassasiée et enivrée de leur sang ; car le Seigneur, l’Éternel des armées, a un sacrifice dans le pays du nord, près du fleuve Euphrate. Jérémie 46:10.</w:t>
      </w:r>
    </w:p>
    <w:p>
      <w:pPr>
        <w:pStyle w:val="ArticleBody"/>
        <w:jc w:val="left"/>
      </w:pPr>
      <w:r>
        <w:rPr>
          <w:rFonts w:ascii="Times New Roman" w:hAnsi="Times New Roman" w:eastAsia="Times New Roman" w:cs="Times New Roman"/>
        </w:rPr>
        <w:t>Le « jour de vengeance » contre Babylone, représenté par le « sacrifice au pays du nord, près du fleuve Euphrate », commence avec la loi dominicale qui doit bientôt venir.</w:t>
      </w:r>
    </w:p>
    <w:p>
      <w:pPr>
        <w:pStyle w:val="ArticleScripture"/>
        <w:jc w:val="left"/>
      </w:pPr>
      <w:r>
        <w:rPr>
          <w:rFonts w:ascii="Times New Roman" w:hAnsi="Times New Roman" w:eastAsia="Times New Roman" w:cs="Times New Roman"/>
        </w:rPr>
        <w:t>SEÑOR-aren haserrearengatik ez da inor han biziko, baizik eta guztiz mortu geldituko da; Babiloniatik igarotzen den oro harrituta geldituko da, eta txistu egingo du haren zauri guztiengatik. Jar zaitezte Babiloniaren aurka inguruan gudu-lerroan; zuek guztiok, arkua tenkatzen duzuenok, jaurti haren kontra, ez aurreztu gezi bakar bat ere; izan ere, bekatu egin du SEÑOR-aren aurka. Egin oihu haren kontra inguruan; eskua eman du; haren zimenduak erori dira, haren harresiak eraitsita daude; zeren hau baita SEÑOR-aren mendekua: mendekua hartu hartaz; hark egin duen bezala, egin zuek hari ere. Moztu Babiloniatik ereilea, eta uzta-garaian igitaia darabilena; ezpata zapaltzailearen beldurrez, bakoitza bere herriarengana itzuliko da, eta bakoitzak bere lurraldera ihes egingo du. Israel ardi sakabanatua da; lehoiek uxatu dute: lehenik Asiriako erregeak irentsi zuen, eta azkenik Nebukadnezar Babiloniako errege honek hezurrak hautsi dizkio. Horregatik, honela dio armaden SEÑOR-ak, Israelen Jainkoak: Hara, nik zigortuko ditut Babiloniako erregea eta haren lurra, Asiriako erregea zigortu nuen bezala. Eta Israel berriro ekarriko dut bere bizilekura, eta larre egingo du Karmelen eta Basanen, eta haren arima aseko da Efraimgo mendian eta Galaaden. Egun haietan eta garai hartan, dio SEÑOR-ak, Israelen gaiztakeria bilatuko da, eta ez da izango; eta Judaren bekatuak ere bai, eta ez dira aurkituko; zeren barkatuko baitiet nik gordeko ditudanei. Igo zaitez Merataimgo lurraren aurka, haren aurka beraren aurka, eta Pekod-eko biztanleen aurka; hondatu eta erabat suntsitu haien atzetik, dio SEÑOR-ak, eta egin nik agindu dizudan guztiaren arabera. Gudaren hotsa dago lurrean, eta suntsipen handiaren hotsa. Nola zatitu eta hautsi duten lur osoaren mailua! Nola bihurtu den Babilonia nazioen artean mortutasun! Sare bat jarri dizut, eta harrapatua izan zara zu ere, Babilonia, eta ez zinen ohartu; aurkitu zaituzte, eta atxiki ere bai, zeren borrokatu baitzara SEÑOR-aren aurka. SEÑOR-ak ireki du bere armategia, eta atera ditu bere haserrearen armak; zeren hau baita armaden Jainko Jaunaren egintza kaldearren lurrean. Zatozte haren kontra bazter muturretik, ireki haren biltegiak; pilatu ezazue meta gisa, eta erabat suntsitu; ez bedi ezer ere gera hartatik. Hil haren zezenkume guztiak; jaits daitezela hiltzera; ai haiei! zeren iritsi baita haien eguna, haien bisitazioaren garaia. Babiloniako lurretik ihes eta eskapo doazenen ahotsa, Sionen iragartzeko gure Jainkoaren, SEÑOR-aren, mendekua, haren tenpluaren mendekua. Bildu Babiloniaren aurka geziariak; zuek guztiok, arkua tenkatzen duzuenok, ezarri kanpamendua haren inguruan; ez bedi inor ere handik ihes egin; ordaina eman iezaiozue bere obraren arabera; hark egin duen guztiaren arabera, egin hari ere; zeren harro jokatu baitu SEÑOR-aren aurka, Israelen Santua denaren aurka. Jeremias 50:13–29.</w:t>
      </w:r>
    </w:p>
    <w:p>
      <w:pPr>
        <w:pStyle w:val="ArticleBody"/>
        <w:jc w:val="left"/>
      </w:pPr>
      <w:r>
        <w:rPr>
          <w:rFonts w:ascii="Times New Roman" w:hAnsi="Times New Roman" w:eastAsia="Times New Roman" w:cs="Times New Roman"/>
        </w:rPr>
        <w:t>Ko fakamamahi ʻo Selusalema ʻi he taʻu 70 AD ʻoku ne fakafofongaʻi ʻa e fakamaau fakahoko ʻo e feʻauaki fafine ʻo Pāpilone, ʻa ia ʻoku kamata ʻi he lao Sāpate ʻoku vavé ni ke hoko mai ʻi he ʻIunaiteti Siteiti. Naʻe ʻiloʻi ʻe Sīsū naʻá Ne fakahaaʻi ʻa e taʻu 70 AD ko e lao Sāpate ʻoku vavé ni ke hoko mai, he ko Ia ʻa e Tokotaha-faʻu ʻo ʻEne Folofola, pea ko Ia ʻa e Folofola. ʻOku mahuʻinga ke ʻiloʻi ʻa e tūkungá ʻo e kikite ʻa ia ʻoku fokotuʻu mai ʻe Sīsū ʻi he Luke vahe ua hongofulu mā taha, koeʻuhi ke mahino ʻa e fakaʻilonga ʻa ia ʻoku ne fakahaaʻi kuo aʻu mai ʻa e toʻutangata fakaʻosi.</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 La venue du Christ aura lieu durant la période la plus sombre de l’histoire de cette terre. Les jours de Noé et de Lot dépeignent l’état du monde juste avant la venue du Fils de l’homme. Les Écritures, se projetant vers ce temps, déclarent que Satan opérera avec toute puissance et “avec toutes les séductions de l’iniquité”. 2 Thessaloniciens 2:9, 10. Son action se révèle clairement dans les ténèbres qui s’épaississent rapidement, dans les erreurs, les hérésies et les illusions innombrables de ces derniers jours. Non seulement Satan mène le monde en captivité, mais ses séductions font lever les Églises qui se réclament de notre Seigneur Jésus-Christ. La grande apostasie se développera en des ténèbres profondes comme minuit. Pour le peuple de Dieu, ce sera une nuit d’épreuve, une nuit de pleurs, une nuit de persécution à cause de la vérité. Mais de cette nuit de ténèbres resplendira la lumière de Dieu. »</w:t>
      </w:r>
    </w:p>
    <w:p>
      <w:pPr>
        <w:pStyle w:val="ArticleScripture"/>
        <w:jc w:val="left"/>
      </w:pP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ਹਨੇਰੇ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ਚਾਨਣ</w:t>
      </w:r>
      <w:r>
        <w:rPr>
          <w:rFonts w:ascii="Times New Roman" w:hAnsi="Times New Roman" w:eastAsia="Times New Roman" w:cs="Times New Roman"/>
        </w:rPr>
        <w:t xml:space="preserve"> </w:t>
      </w:r>
      <w:r>
        <w:rPr>
          <w:rFonts w:ascii="Nirmala UI" w:hAnsi="Nirmala UI" w:eastAsia="Nirmala UI" w:cs="Nirmala UI"/>
        </w:rPr>
        <w:t>ਚਮਕਣ</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2 </w:t>
      </w:r>
      <w:r>
        <w:rPr>
          <w:rFonts w:ascii="Nirmala UI" w:hAnsi="Nirmala UI" w:eastAsia="Nirmala UI" w:cs="Nirmala UI"/>
        </w:rPr>
        <w:t>ਕੁਰਿੰਥੀਆਂ</w:t>
      </w:r>
      <w:r>
        <w:rPr>
          <w:rFonts w:ascii="Times New Roman" w:hAnsi="Times New Roman" w:eastAsia="Times New Roman" w:cs="Times New Roman"/>
        </w:rPr>
        <w:t xml:space="preserve"> 4:6</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ਬੇਆਕਾਰ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ਡੂੰਘਾਈ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ਹਨੇਰਾ</w:t>
      </w:r>
      <w:r>
        <w:rPr>
          <w:rFonts w:ascii="Times New Roman" w:hAnsi="Times New Roman" w:eastAsia="Times New Roman" w:cs="Times New Roman"/>
        </w:rPr>
        <w:t xml:space="preserve"> </w:t>
      </w:r>
      <w:r>
        <w:rPr>
          <w:rFonts w:ascii="Nirmala UI" w:hAnsi="Nirmala UI" w:eastAsia="Nirmala UI" w:cs="Nirmala UI"/>
        </w:rPr>
        <w:t>ਛਾਇਆ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ਪਾਣੀਆਂ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ਮੰਡਰਾ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ਆਖਿਆ</w:t>
      </w:r>
      <w:r>
        <w:rPr>
          <w:rFonts w:ascii="Times New Roman" w:hAnsi="Times New Roman" w:eastAsia="Times New Roman" w:cs="Times New Roman"/>
        </w:rPr>
        <w:t xml:space="preserve">, </w:t>
      </w:r>
      <w:r>
        <w:rPr>
          <w:rFonts w:ascii="Nirmala UI" w:hAnsi="Nirmala UI" w:eastAsia="Nirmala UI" w:cs="Nirmala UI"/>
        </w:rPr>
        <w:t>ਚਾਨਣ</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ਚਾਨਣ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ਉਤਪੱਤੀ</w:t>
      </w:r>
      <w:r>
        <w:rPr>
          <w:rFonts w:ascii="Times New Roman" w:hAnsi="Times New Roman" w:eastAsia="Times New Roman" w:cs="Times New Roman"/>
        </w:rPr>
        <w:t xml:space="preserve"> 1:2, 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ਹਨੇਰੇ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ਨਿਕਲਦਾ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ਚਾਨਣ</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ਉੱਠ</w:t>
      </w:r>
      <w:r>
        <w:rPr>
          <w:rFonts w:ascii="Times New Roman" w:hAnsi="Times New Roman" w:eastAsia="Times New Roman" w:cs="Times New Roman"/>
        </w:rPr>
        <w:t xml:space="preserve">, </w:t>
      </w:r>
      <w:r>
        <w:rPr>
          <w:rFonts w:ascii="Nirmala UI" w:hAnsi="Nirmala UI" w:eastAsia="Nirmala UI" w:cs="Nirmala UI"/>
        </w:rPr>
        <w:t>ਚਮਕ</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ਚਾਨਣ</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ਚੜ੍ਹੀ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ਯਸਾਇਆਹ</w:t>
      </w:r>
      <w:r>
        <w:rPr>
          <w:rFonts w:ascii="Times New Roman" w:hAnsi="Times New Roman" w:eastAsia="Times New Roman" w:cs="Times New Roman"/>
        </w:rPr>
        <w:t xml:space="preserve"> 60:1</w:t>
      </w:r>
      <w:r>
        <w:rPr>
          <w:rFonts w:ascii="Nirmala UI" w:hAnsi="Nirmala UI" w:eastAsia="Nirmala UI" w:cs="Nirmala UI"/>
        </w:rPr>
        <w:t>।</w:t>
      </w:r>
    </w:p>
    <w:p>
      <w:pPr>
        <w:pStyle w:val="ArticleScripture"/>
        <w:jc w:val="left"/>
      </w:pPr>
      <w:r>
        <w:rPr>
          <w:rFonts w:ascii="Times New Roman" w:hAnsi="Times New Roman" w:eastAsia="Times New Roman" w:cs="Times New Roman"/>
        </w:rPr>
        <w:t>“‘Chwi,’ Sagrada Escritura qi’ij, ‘q’equ’mal xtub’ej ulew, xuquje’ nim q’equ’mal ri tinamit; are k’u ri Ajawxel k’ut k’iy loq pa awi’, xuquje’ ujuluwem ri Ruk’ojlem xk’utuwachij pa awi’.’ Versículo 2. Cristo, ri q’alajisab’al ri uk’ojlemal Tat, xpe chuwach ri uwachulew che saqil rech. Xpe chuk’utik ri Dios chikiwach ri winaq; xuquje’ chirij are wa’ tz’ib’atalik chi xchajixik ‘ruk’ ri Tyoxalaj Uxlab’ixel xuquje’ ruk’ chuq’aq’,’ xuquje’ chi ‘xb’e pa ronojel k’olik, kub’an utzilal.’ Hechos 10:38. Pa ri sinagoga rech Nazaret Xub’ij: ‘Ri Uxlab’ixel rech ri Ajawxel k’o pa Nuwi’, rumal cher Xuchajij in che utzijoxik ri utz laj tzij chike ri meb’a’; Xutaq loq in che uk’unaxik ri e k’axk’ol ranima’, che utzijoxik koltajem chike ri e chapatal, xuquje’ utzalijik ri ka’yb’al chike ri moyab’, che ukolik ri e yojtal pa saq, che utzijoxik ri k’ulmatajinaq junab’ rech ri Ajawxel.’ Lucas 4:18, 19. Are wa’ ri chak Xujikib’a’ chike ri utijoxelab’ che kakib’ano. ‘Ix ix ri saqil rech ri uwachulew,’ Xub’ij. ‘Chisakirisaj jela’ ri isaqil chikiwach ri winaq, rech kekil ri utz taq ichak, xuquje’ kiya uq’ij ri iTat ri k’o chikaj.’ Mateo 5:14, 16.” Profetas y Reyes,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ایک سو پندرہ</dc:title>
  <dc:subject>Révélation des caractéristiques prophétiques de la dernière génération</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