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شمارۀ یک‌صد و هفده</w:t>
      </w:r>
    </w:p>
    <w:p>
      <w:pPr>
        <w:pStyle w:val="ArticleSubtitle"/>
        <w:jc w:val="left"/>
      </w:pPr>
      <w:r>
        <w:rPr>
          <w:rFonts w:ascii="Arial" w:hAnsi="Arial" w:eastAsia="Arial" w:cs="Arial"/>
        </w:rPr>
        <w:t>Dévoiler la loi dominicale imminente : une analyse typologique du signe appelant à fuir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Sœur White identifie la loi dominicale imminente comme le « signe » préfiguré par les armées de Rome entourant Jérusalem en l’an 66 ; ce faisant, elle désigne une catégorie de personnes qui ont des yeux et ne voient point, et des oreilles et n’entendent point.</w:t>
      </w:r>
    </w:p>
    <w:p>
      <w:pPr>
        <w:pStyle w:val="ArticleScripture"/>
        <w:jc w:val="left"/>
      </w:pPr>
      <w:r>
        <w:rPr>
          <w:rFonts w:ascii="Times New Roman" w:hAnsi="Times New Roman" w:eastAsia="Times New Roman" w:cs="Times New Roman"/>
        </w:rPr>
        <w:t>«L’éternité s’étend devant nous. Le rideau est sur le point d’être levé. Nous qui occupons cette position solennelle et responsable, que faisons-nous, à quoi pensons-nous, pour nous attacher à notre amour égoïste de l’aisance, tandis que des âmes périssent autour de nous? Nos cœurs sont-ils devenus entièrement insensibles? Ne pouvons-nous ni sentir ni comprendre que nous avons une œuvre à accomplir pour le salut des autres? Frères, êtes-vous de la classe de ceux qui, ayant des yeux, ne voient point, et qui, ayant des oreilles, n’entendent point? Est-ce en vain que Dieu vous a donné la connaissance de Sa volonté? Est-ce en vain qu’Il vous a envoyé avertissement sur avertissement? Croyez-vous aux déclarations de la vérité éternelle concernant ce qui est sur le point d’arriver sur la terre, croyez-vous que les jugements de Dieu sont suspendus au-dessus du peuple, et pouvez-vous encore demeurer à l’aise, indolents, insouciants, amis des plaisirs?»</w:t>
      </w:r>
    </w:p>
    <w:p>
      <w:pPr>
        <w:pStyle w:val="ArticleScripture"/>
        <w:jc w:val="left"/>
      </w:pPr>
      <w:r>
        <w:rPr>
          <w:rFonts w:ascii="Times New Roman" w:hAnsi="Times New Roman" w:eastAsia="Times New Roman" w:cs="Times New Roman"/>
        </w:rPr>
        <w:t>“</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স্নেহ</w:t>
      </w:r>
      <w:r>
        <w:rPr>
          <w:rFonts w:ascii="Times New Roman" w:hAnsi="Times New Roman" w:eastAsia="Times New Roman" w:cs="Times New Roman"/>
        </w:rPr>
        <w:t xml:space="preserve"> </w:t>
      </w:r>
      <w:r>
        <w:rPr>
          <w:rFonts w:ascii="Nirmala UI" w:hAnsi="Nirmala UI" w:eastAsia="Nirmala UI" w:cs="Nirmala UI"/>
        </w:rPr>
        <w:t>নিবদ্ধ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ধন</w:t>
      </w:r>
      <w:r>
        <w:rPr>
          <w:rFonts w:ascii="Times New Roman" w:hAnsi="Times New Roman" w:eastAsia="Times New Roman" w:cs="Times New Roman"/>
        </w:rPr>
        <w:t xml:space="preserve"> </w:t>
      </w:r>
      <w:r>
        <w:rPr>
          <w:rFonts w:ascii="Nirmala UI" w:hAnsi="Nirmala UI" w:eastAsia="Nirmala UI" w:cs="Nirmala UI"/>
        </w:rPr>
        <w:t>সঞ্চয়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আমরাও</w:t>
      </w:r>
      <w:r>
        <w:rPr>
          <w:rFonts w:ascii="Times New Roman" w:hAnsi="Times New Roman" w:eastAsia="Times New Roman" w:cs="Times New Roman"/>
        </w:rPr>
        <w:t xml:space="preserve"> </w:t>
      </w:r>
      <w:r>
        <w:rPr>
          <w:rFonts w:ascii="Nirmala UI" w:hAnsi="Nirmala UI" w:eastAsia="Nirmala UI" w:cs="Nirmala UI"/>
        </w:rPr>
        <w:t>নির্জন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একাকী</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আশ্রয়</w:t>
      </w:r>
      <w:r>
        <w:rPr>
          <w:rFonts w:ascii="Times New Roman" w:hAnsi="Times New Roman" w:eastAsia="Times New Roman" w:cs="Times New Roman"/>
        </w:rPr>
        <w:t xml:space="preserve"> </w:t>
      </w:r>
      <w:r>
        <w:rPr>
          <w:rFonts w:ascii="Nirmala UI" w:hAnsi="Nirmala UI" w:eastAsia="Nirmala UI" w:cs="Nirmala UI"/>
        </w:rPr>
        <w:t>অন্বেষণ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অবরোধ</w:t>
      </w:r>
      <w:r>
        <w:rPr>
          <w:rFonts w:ascii="Times New Roman" w:hAnsi="Times New Roman" w:eastAsia="Times New Roman" w:cs="Times New Roman"/>
        </w:rPr>
        <w:t xml:space="preserve"> </w:t>
      </w:r>
      <w:r>
        <w:rPr>
          <w:rFonts w:ascii="Nirmala UI" w:hAnsi="Nirmala UI" w:eastAsia="Nirmala UI" w:cs="Nirmala UI"/>
        </w:rPr>
        <w:t>জুদেয়ার</w:t>
      </w:r>
      <w:r>
        <w:rPr>
          <w:rFonts w:ascii="Times New Roman" w:hAnsi="Times New Roman" w:eastAsia="Times New Roman" w:cs="Times New Roman"/>
        </w:rPr>
        <w:t xml:space="preserve"> </w:t>
      </w:r>
      <w:r>
        <w:rPr>
          <w:rFonts w:ascii="Nirmala UI" w:hAnsi="Nirmala UI" w:eastAsia="Nirmala UI" w:cs="Nirmala UI"/>
        </w:rPr>
        <w:t>খ্রিষ্টানদের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পলায়নের</w:t>
      </w:r>
      <w:r>
        <w:rPr>
          <w:rFonts w:ascii="Times New Roman" w:hAnsi="Times New Roman" w:eastAsia="Times New Roman" w:cs="Times New Roman"/>
        </w:rPr>
        <w:t xml:space="preserve"> </w:t>
      </w:r>
      <w:r>
        <w:rPr>
          <w:rFonts w:ascii="Nirmala UI" w:hAnsi="Nirmala UI" w:eastAsia="Nirmala UI" w:cs="Nirmala UI"/>
        </w:rPr>
        <w:t>সংকেত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ফরমানের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পরবর্তীকালে</w:t>
      </w:r>
      <w:r>
        <w:rPr>
          <w:rFonts w:ascii="Times New Roman" w:hAnsi="Times New Roman" w:eastAsia="Times New Roman" w:cs="Times New Roman"/>
        </w:rPr>
        <w:t xml:space="preserve"> </w:t>
      </w:r>
      <w:r>
        <w:rPr>
          <w:rFonts w:ascii="Nirmala UI" w:hAnsi="Nirmala UI" w:eastAsia="Nirmala UI" w:cs="Nirmala UI"/>
        </w:rPr>
        <w:t>ক্ষুদ্রতর</w:t>
      </w:r>
      <w:r>
        <w:rPr>
          <w:rFonts w:ascii="Times New Roman" w:hAnsi="Times New Roman" w:eastAsia="Times New Roman" w:cs="Times New Roman"/>
        </w:rPr>
        <w:t xml:space="preserve"> </w:t>
      </w:r>
      <w:r>
        <w:rPr>
          <w:rFonts w:ascii="Nirmala UI" w:hAnsi="Nirmala UI" w:eastAsia="Nirmala UI" w:cs="Nirmala UI"/>
        </w:rPr>
        <w:t>নগরসমূহও</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পর্বতমালার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নিভৃত</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নির্জন</w:t>
      </w:r>
      <w:r>
        <w:rPr>
          <w:rFonts w:ascii="Times New Roman" w:hAnsi="Times New Roman" w:eastAsia="Times New Roman" w:cs="Times New Roman"/>
        </w:rPr>
        <w:t xml:space="preserve"> </w:t>
      </w:r>
      <w:r>
        <w:rPr>
          <w:rFonts w:ascii="Nirmala UI" w:hAnsi="Nirmala UI" w:eastAsia="Nirmala UI" w:cs="Nirmala UI"/>
        </w:rPr>
        <w:t>গৃহসমূহে</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Testimonies, volume 5, 464.</w:t>
      </w:r>
    </w:p>
    <w:p>
      <w:pPr>
        <w:pStyle w:val="ArticleBody"/>
        <w:jc w:val="left"/>
      </w:pPr>
      <w:r>
        <w:rPr>
          <w:rFonts w:ascii="Times New Roman" w:hAnsi="Times New Roman" w:eastAsia="Times New Roman" w:cs="Times New Roman"/>
        </w:rPr>
        <w:t>La loi dominicale qui viendra bientôt aux États-Unis est le signal d’avertissement (signe) « de quitter les grandes villes, en préparation au départ des plus petites pour des demeures retirées dans des lieux solitaires parmi les montagnes ». L’adventisme laodicéen ignore en grande partie que la crise de la loi dominicale aux États-Unis accomplit le « signe » mentionné dans The Great Controversy. Elle est typifiée par le « signe » au commencement des trois ans et demi. Le « signe » qui s’accomplit lors du premier siège de Jérusalem, survenu en l’an 66, typifie l’« enseigne » qui est élevée lors de la loi dominicale imminente.</w:t>
      </w:r>
    </w:p>
    <w:p>
      <w:pPr>
        <w:pStyle w:val="ArticleBody"/>
        <w:jc w:val="left"/>
      </w:pPr>
      <w:r>
        <w:rPr>
          <w:rFonts w:ascii="Times New Roman" w:hAnsi="Times New Roman" w:eastAsia="Times New Roman" w:cs="Times New Roman"/>
        </w:rPr>
        <w:t>Харобии воқеии Ерусалимро Титус дар соли 70 милодӣ ба анҷом расонд, ва муҳосираи Титус пештар дар муҳосираи Кестий дар соли 66 милодӣ ба таври намунавӣ пештасвир шуда буд, зеро Исо ҳамеша анҷоми чизеро бо ибтидои чизе тасвир мекунад. Муҳосираи ибтидоии Кестий ҳамон «нишонае» буд барои гурехтан, ки Исо дода буд, на муҳосираи Титус. Яке муҳосира дар оғоз буд, дигаре муҳосира дар анҷом.</w:t>
      </w:r>
    </w:p>
    <w:p>
      <w:pPr>
        <w:pStyle w:val="ArticleScripture"/>
        <w:jc w:val="left"/>
      </w:pPr>
      <w:r>
        <w:rPr>
          <w:rFonts w:ascii="Times New Roman" w:hAnsi="Times New Roman" w:eastAsia="Times New Roman" w:cs="Times New Roman"/>
        </w:rPr>
        <w:t>“خلال ویران شدن اورشلیم، حتی یک مسیحی نیز هلاک نشد. مسیح به شاگردان خود هشدار داده بود، و همهٔ آنان که به سخنان او ایمان داشتند، در انتظار نشانِ موعود مراقب بودند. عیسی گفت: «و چون اورشلیم را محاصره‌شده به‌وسیلهٔ لشکرها ببینید، آنگاه بدانید که ویرانی آن نزدیک است. پس آنان که در یهودیه هستند، به کوه‌ها بگریزند؛ و آنان که در میان آن هستند، بیرون روند.» لوقا 21:20، 21. پس از آنکه رومیان به فرماندهیِ کستیوس شهر را در محاصره گرفتند، هنگامی که همه‌چیز برای حمله‌ای فوری مساعد می‌نمود، به‌طور غیرمنتظره محاصره را رها کردند. محاصره‌شدگان که از مقاومتِ موفق نومید شده بودند، در آستانهٔ تسلیم بودند که ناگهان سردار رومی، بی‌هیچ دلیل آشکار، قوای خود را عقب کشید. اما عنایتِ رحیمانهٔ خداوند، وقایع را برای خیرِ قومِ خود هدایت می‌کرد. نشانِ موعود به مسیحیانِ منتظر داده شده بود، و اکنون برای همهٔ کسانی که می‌خواستند، فرصتی فراهم آمده بود تا به هشدار نجات‌دهنده اطاعت کنند. جریان حوادث چنان تحت تدبیر قرار گرفت که نه یهودیان و نه رومیان نتوانند مانع گریختنِ مسیحیان شوند. با عقب‌نشینیِ کستیوس، یهودیان از اورشلیم بیرون تاختند و سپاهِ در حال عقب‌نشینیِ او را تعقیب کردند؛ و در حالی که هر دو نیرو بدین‌سان به‌طور کامل درگیر بودند، مسیحیان فرصت یافتند شهر را ترک کنند. در آن زمان، سرزمین نیز از دشمنانی که ممکن بود بکوشند راهِ آنان را سد کنند، خالی شده بود. در هنگامِ محاصره، یهودیان برای نگاه داشتنِ عیدِ خیمه‌ها در اورشلیم گرد آمده بودند، و بدین‌گونه مسیحیانِ سراسر آن سرزمین توانستند بی‌مزاحمت بگریزند. بی‌درنگ به جای امنی گریختند—شهرِ پِلّا در سرزمینِ پیریه، آن‌سوی اردن.” Ellen G. White, The Great Controversy, p. 30.</w:t>
      </w:r>
    </w:p>
    <w:p>
      <w:pPr>
        <w:pStyle w:val="ArticleBody"/>
        <w:jc w:val="left"/>
      </w:pPr>
      <w:r>
        <w:rPr>
          <w:rFonts w:ascii="Times New Roman" w:hAnsi="Times New Roman" w:eastAsia="Times New Roman" w:cs="Times New Roman"/>
        </w:rPr>
        <w:t>Mhasiro wa Yerusalemu hi Cestius hi lembe ra 66 wu hetisise “xikombiso” xa xitsundzuxo lexi Kriste a xi vekeke eka Vakriste va nkarhi wolowo, kambe mhasiro wa Tito hi 70 AD a wu nyikanga “xikombiso” xo baleka. Eka mhasiro wolowo a ku nga ha sele Vakriste emutini, naswona mhasiro wolowo wa makumu wu yise eku lovisiweni ka Yerusalemu; naswona eka ku lovisiwa ka Yerusalemu “a ku lovanga ni Mukriste un’we,” hikuva Vakriste a va balekile eku sunguleni ka matimu wolawo.</w:t>
      </w:r>
    </w:p>
    <w:p>
      <w:pPr>
        <w:pStyle w:val="ArticleScripture"/>
        <w:jc w:val="left"/>
      </w:pPr>
      <w:r>
        <w:rPr>
          <w:rFonts w:ascii="Times New Roman" w:hAnsi="Times New Roman" w:eastAsia="Times New Roman" w:cs="Times New Roman"/>
        </w:rPr>
        <w:t>“Les forces juives, poursuivant Cestius et son armée, tombèrent sur leur arrière-garde avec une telle violence qu’elles menacèrent de les détruire entièrement. Ce ne fut qu’avec grande difficulté que les Romains réussirent à battre en retraite. Les Juifs s’échappèrent presque sans pertes et, chargés de butin, retournèrent en triomphe à Jérusalem. Cependant, ce succès apparent ne leur apporta que du mal. Il les anima de cet esprit de résistance obstinée aux Romains qui attira bientôt sur la ville condamnée des malheurs indicibles. »</w:t>
      </w:r>
    </w:p>
    <w:p>
      <w:pPr>
        <w:pStyle w:val="ArticleScripture"/>
        <w:jc w:val="left"/>
      </w:pPr>
      <w:r>
        <w:rPr>
          <w:rFonts w:ascii="Times New Roman" w:hAnsi="Times New Roman" w:eastAsia="Times New Roman" w:cs="Times New Roman"/>
        </w:rPr>
        <w:t>« Redoutables furent les calamités qui s’abattirent sur Jérusalem lorsque le siège fut repris par Titus. La ville était investie au moment de la Pâque, alors que des millions de Juifs étaient rassemblés dans ses murs. » The Great Controversy, 31.</w:t>
      </w:r>
    </w:p>
    <w:p>
      <w:pPr>
        <w:pStyle w:val="ArticleBody"/>
        <w:jc w:val="left"/>
      </w:pPr>
      <w:r>
        <w:rPr>
          <w:rFonts w:ascii="Times New Roman" w:hAnsi="Times New Roman" w:eastAsia="Times New Roman" w:cs="Times New Roman"/>
        </w:rPr>
        <w:t>Аз иди Иди Кућица у години 66 до Пасхе у години 70 јесу три и по године, што пророчки износи хиљаду двеста и шездесет дана. Од године 66 до године 70 пагански Рим је погазио светињу и војску, као што је папски Рим газио свети град четрдесет и два месеца од године 538 до 1798.</w:t>
      </w:r>
    </w:p>
    <w:p>
      <w:pPr>
        <w:pStyle w:val="ArticleScripture"/>
        <w:jc w:val="left"/>
      </w:pPr>
      <w:r>
        <w:rPr>
          <w:rFonts w:ascii="Times New Roman" w:hAnsi="Times New Roman" w:eastAsia="Times New Roman" w:cs="Times New Roman"/>
        </w:rPr>
        <w:t>Ma ẹzun ogige nke dị n’èzí ụlọ nsọ hapụ, emekwaghị ya n’otú; n’ihi na e nyewo ya n’aka ndị mba ọzọ: ha ga-azọkwa obodo nsọ ahụ ụkwụ ọnwa iri anọ na abụọ. Nkpughe 11:2.</w:t>
      </w:r>
    </w:p>
    <w:p>
      <w:pPr>
        <w:pStyle w:val="ArticleBody"/>
        <w:jc w:val="left"/>
      </w:pPr>
      <w:r>
        <w:rPr>
          <w:rFonts w:ascii="Times New Roman" w:hAnsi="Times New Roman" w:eastAsia="Times New Roman" w:cs="Times New Roman"/>
        </w:rPr>
        <w:t>نہ بت‌پرست روم اور نہ پاپائی روم، دونوں نے یروشلم کو بارہ سو ساٹھ دنوں (برسوں) تک پامال کیا؛ یوں یہ نشان دہی ہوتی ہے کہ جدید روم آخری ایام کے روحانی یروشلم کو بارہ سو ساٹھ دنوں کی ایک علامتی مدت کے لیے پامال کرے گا۔ یہ علامتی مدت ریاستہائے متحدہ میں عنقریب آنے والے اتوار کے قانون کے ساتھ شروع ہوگی، جب مہلک زخم بھر جائے گا۔</w:t>
      </w:r>
    </w:p>
    <w:p>
      <w:pPr>
        <w:pStyle w:val="ArticleScripture"/>
        <w:jc w:val="left"/>
      </w:pPr>
      <w:r>
        <w:rPr>
          <w:rFonts w:ascii="Times New Roman" w:hAnsi="Times New Roman" w:eastAsia="Times New Roman" w:cs="Times New Roman"/>
        </w:rPr>
        <w:t>Ve vidi una delle sue teste come ferita a morte; ma la sua piaga mortale fu guarita: e tutta la terra, piena di meraviglia, andò dietro alla bestia. E adorarono il dragone che aveva dato il potere alla bestia; e adorarono la bestia, dicendo: Chi è simile alla bestia? e chi può guerreggiare con lei? E le fu data una bocca che proferiva cose grandi e bestemmie; e le fu dato potere di agire per quarantadue mesi. Apocalisse 13:3–5.</w:t>
      </w:r>
    </w:p>
    <w:p>
      <w:pPr>
        <w:pStyle w:val="ArticleBody"/>
        <w:jc w:val="left"/>
      </w:pPr>
      <w:r>
        <w:rPr>
          <w:rFonts w:ascii="Times New Roman" w:hAnsi="Times New Roman" w:eastAsia="Times New Roman" w:cs="Times New Roman"/>
        </w:rPr>
        <w:t>Les quarante-deux mois symboliques de la persécution papale constituent « l’heure » de la crise de la loi du dimanche. Cette « heure » commence par un « signe » (la bannière), et s’achève par des « signes ». Le « signe » de la bannière, au temps de la loi du dimanche, amènera tous les chrétiens encore à Babylone à fuir vers la glorieuse montagne sainte qui a été exaltée (élevée) au-dessus des autres collines.</w:t>
      </w:r>
    </w:p>
    <w:p>
      <w:pPr>
        <w:pStyle w:val="ArticleScripture"/>
        <w:jc w:val="left"/>
      </w:pPr>
      <w:r>
        <w:rPr>
          <w:rFonts w:ascii="Times New Roman" w:hAnsi="Times New Roman" w:eastAsia="Times New Roman" w:cs="Times New Roman"/>
        </w:rPr>
        <w:t>Mpo na mikolo ya nsuka ekosalema ete ngomba ya ndako ya Nkolo ekotiamisama na likoló ya bangomba, mpe ekotombwama likoló ya mikuse; mpe bikólo nyonso bikosopanela yango. Mpe bato mingi bakokende mpe bakoloba ete: Bóya, mpe tómata na ngomba ya Nkolo, na ndako ya Nzambe ya Yakobo; mpe akoteya biso nzela na ye, mpe tokotambola na banzela na ye; mpo na Siona mobeko ekobima, mpe liloba ya Nkolo uta na Yerusaleme. Yisaya 2:2, 3.</w:t>
      </w:r>
    </w:p>
    <w:p>
      <w:pPr>
        <w:pStyle w:val="ArticleBody"/>
        <w:jc w:val="left"/>
      </w:pPr>
      <w:r>
        <w:rPr>
          <w:rFonts w:ascii="Times New Roman" w:hAnsi="Times New Roman" w:eastAsia="Times New Roman" w:cs="Times New Roman"/>
        </w:rPr>
        <w:t>Der Wegzug aus den Städten bei dem Erlass, der die Sonntagsheiligung erzwang, wurde sowohl durch die Flucht der Christen im Jahr 66 als auch durch die Flucht der Gemeinde im Jahr 538, die in die Wüste floh, vorgebildet.</w:t>
      </w:r>
    </w:p>
    <w:p>
      <w:pPr>
        <w:pStyle w:val="ArticleScripture"/>
        <w:jc w:val="left"/>
      </w:pPr>
      <w:r>
        <w:rPr>
          <w:rFonts w:ascii="Times New Roman" w:hAnsi="Times New Roman" w:eastAsia="Times New Roman" w:cs="Times New Roman"/>
        </w:rPr>
        <w:t>Na mosusu yango akimaki na esobe, epai Nzambe abongiselaki ye esika, mpo ete básunga ye kuna mikolo nkóto moko na nkama mibale na ntuku motoba. Emoniseli 12:6.</w:t>
      </w:r>
    </w:p>
    <w:p>
      <w:pPr>
        <w:pStyle w:val="ArticleBody"/>
        <w:jc w:val="left"/>
      </w:pPr>
      <w:r>
        <w:rPr>
          <w:rFonts w:ascii="Times New Roman" w:hAnsi="Times New Roman" w:eastAsia="Times New Roman" w:cs="Times New Roman"/>
        </w:rPr>
        <w:t>Die verwoesting van Jerusalem het vanaf die eerste beleg tot die laaste beleg drie en ’n half jaar geduur, maar ’n waarskuwingsboodskap van die komende verwoesting is vir sewe jaar gegee, drie en ’n half jaar voor die eerste beleg en drie en ’n half jaar daarna.</w:t>
      </w:r>
    </w:p>
    <w:p>
      <w:pPr>
        <w:pStyle w:val="ArticleScripture"/>
        <w:jc w:val="left"/>
      </w:pPr>
      <w:r>
        <w:rPr>
          <w:rFonts w:ascii="Times New Roman" w:hAnsi="Times New Roman" w:eastAsia="Times New Roman" w:cs="Times New Roman"/>
        </w:rPr>
        <w:t>« Toutes les prédictions données par Christ concernant la destruction de Jérusalem s’accomplirent à la lettre. Les Juifs firent l’expérience de la vérité de ses paroles d’avertissement : “De la mesure dont vous mesurez, on mesurera pour vous en retour.” Matthieu 7:2. »</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མཚན་རྟགས་དང་ངོ་མཚར་གྱི་རྣམ་པ་རྣམས་བྱུང་ནས།</w:t>
      </w:r>
      <w:r>
        <w:rPr>
          <w:rFonts w:ascii="Times New Roman" w:hAnsi="Times New Roman" w:eastAsia="Times New Roman" w:cs="Times New Roman"/>
        </w:rPr>
        <w:t xml:space="preserve"> </w:t>
      </w:r>
      <w:r>
        <w:rPr>
          <w:rFonts w:ascii="Microsoft Himalaya" w:hAnsi="Microsoft Himalaya" w:eastAsia="Microsoft Himalaya" w:cs="Microsoft Himalaya"/>
        </w:rPr>
        <w:t>ཆག་སྒོ་དང་འཇིག་པའི་ཉེན་ཁ་སྔོན་བརྡ་བྱས།</w:t>
      </w:r>
      <w:r>
        <w:rPr>
          <w:rFonts w:ascii="Times New Roman" w:hAnsi="Times New Roman" w:eastAsia="Times New Roman" w:cs="Times New Roman"/>
        </w:rPr>
        <w:t xml:space="preserve"> </w:t>
      </w:r>
      <w:r>
        <w:rPr>
          <w:rFonts w:ascii="Microsoft Himalaya" w:hAnsi="Microsoft Himalaya" w:eastAsia="Microsoft Himalaya" w:cs="Microsoft Himalaya"/>
        </w:rPr>
        <w:t>མཚན་མོའི་དཀྱིལ་དུ་རང་བཞིན་དང་མི་མཐུན་པའི་འོད་ཅིག་གཙུག་ལག་ཁང་དང་མཆོད་ཁྲིའི་སྟེང་དུ་འཕྲོས།</w:t>
      </w:r>
      <w:r>
        <w:rPr>
          <w:rFonts w:ascii="Times New Roman" w:hAnsi="Times New Roman" w:eastAsia="Times New Roman" w:cs="Times New Roman"/>
        </w:rPr>
        <w:t xml:space="preserve"> </w:t>
      </w:r>
      <w:r>
        <w:rPr>
          <w:rFonts w:ascii="Microsoft Himalaya" w:hAnsi="Microsoft Himalaya" w:eastAsia="Microsoft Himalaya" w:cs="Microsoft Himalaya"/>
        </w:rPr>
        <w:t>ཉི་མ་ནུབ་པའི་དུས་སུ་སྤྲིན་པའི་སྟེང་ལ་ཤིང་རྟ་དང་དམག་མི་རྣམས་དམག་འཐབ་ཆེད་དུ་འཛོམས་པའི་རྣམ་པ་མངོན་པར་བྲིས་པ་ལྟར་སྣང་།</w:t>
      </w:r>
      <w:r>
        <w:rPr>
          <w:rFonts w:ascii="Times New Roman" w:hAnsi="Times New Roman" w:eastAsia="Times New Roman" w:cs="Times New Roman"/>
        </w:rPr>
        <w:t xml:space="preserve"> </w:t>
      </w:r>
      <w:r>
        <w:rPr>
          <w:rFonts w:ascii="Microsoft Himalaya" w:hAnsi="Microsoft Himalaya" w:eastAsia="Microsoft Himalaya" w:cs="Microsoft Himalaya"/>
        </w:rPr>
        <w:t>གནས་མཆོད་ཁང་ནང་དུ་མཚན་མོར་ཞབས་ཏོག་ཞུ་བའི་མཆོད་པ་པོ་རྣམས་ལ་གསང་བའི་སྒྲ་རྣམས་ཀྱིས་ཤིན་ཏུ་འཇིགས་སྐྲག་བསྐྱེད།</w:t>
      </w:r>
      <w:r>
        <w:rPr>
          <w:rFonts w:ascii="Times New Roman" w:hAnsi="Times New Roman" w:eastAsia="Times New Roman" w:cs="Times New Roman"/>
        </w:rPr>
        <w:t xml:space="preserve"> </w:t>
      </w:r>
      <w:r>
        <w:rPr>
          <w:rFonts w:ascii="Microsoft Himalaya" w:hAnsi="Microsoft Himalaya" w:eastAsia="Microsoft Himalaya" w:cs="Microsoft Himalaya"/>
        </w:rPr>
        <w:t>ས་གཞི་འདར་ཞིང་།</w:t>
      </w:r>
      <w:r>
        <w:rPr>
          <w:rFonts w:ascii="Times New Roman" w:hAnsi="Times New Roman" w:eastAsia="Times New Roman" w:cs="Times New Roman"/>
        </w:rPr>
        <w:t xml:space="preserve"> </w:t>
      </w:r>
      <w:r>
        <w:rPr>
          <w:rFonts w:ascii="Microsoft Himalaya" w:hAnsi="Microsoft Himalaya" w:eastAsia="Microsoft Himalaya" w:cs="Microsoft Himalaya"/>
        </w:rPr>
        <w:t>སྐད་སྣ་ཚོགས་ཀྱི་མང་པོས་འདི་ནས་ང་ཚོ་འགྲོ་བར་བྱ་ཞེས་འབོད་པ་ཐོས།</w:t>
      </w:r>
      <w:r>
        <w:rPr>
          <w:rFonts w:ascii="Times New Roman" w:hAnsi="Times New Roman" w:eastAsia="Times New Roman" w:cs="Times New Roman"/>
        </w:rPr>
        <w:t xml:space="preserve"> ‘</w:t>
      </w:r>
      <w:r>
        <w:rPr>
          <w:rFonts w:ascii="Microsoft Himalaya" w:hAnsi="Microsoft Himalaya" w:eastAsia="Microsoft Himalaya" w:cs="Microsoft Himalaya"/>
        </w:rPr>
        <w:t>འདི་ནས་ང་ཚོ་འགྲོ་བར་བྱ།</w:t>
      </w:r>
      <w:r>
        <w:rPr>
          <w:rFonts w:ascii="Times New Roman" w:hAnsi="Times New Roman" w:eastAsia="Times New Roman" w:cs="Times New Roman"/>
        </w:rPr>
        <w:t xml:space="preserve">’ </w:t>
      </w:r>
      <w:r>
        <w:rPr>
          <w:rFonts w:ascii="Microsoft Himalaya" w:hAnsi="Microsoft Himalaya" w:eastAsia="Microsoft Himalaya" w:cs="Microsoft Himalaya"/>
        </w:rPr>
        <w:t>ཤར་ཕྱོགས་ཀྱི་སྒོ་ཆེན་པོ་དེ་ནི་ཤིན་ཏུ་ལྗིད་པས་མི་ཉི་ཤུ་ཙམ་གྱིས་ཀྱང་སྒོ་བརྒྱབ་པ་དཀའ་བ་ཞིག་ཡིན་ལ།</w:t>
      </w:r>
      <w:r>
        <w:rPr>
          <w:rFonts w:ascii="Times New Roman" w:hAnsi="Times New Roman" w:eastAsia="Times New Roman" w:cs="Times New Roman"/>
        </w:rPr>
        <w:t xml:space="preserve"> </w:t>
      </w:r>
      <w:r>
        <w:rPr>
          <w:rFonts w:ascii="Microsoft Himalaya" w:hAnsi="Microsoft Himalaya" w:eastAsia="Microsoft Himalaya" w:cs="Microsoft Himalaya"/>
        </w:rPr>
        <w:t>དེ་ཡང་ལྕགས་ཀྱི་འགག་ཆེན་པོ་རྣམས་རྡོ་སྲ་མོའི་ས་གཞིའི་ནང་དུ་ཟབ་མོར་བཙུགས་ཏེ་བསྒྲིགས་པས་བརྟན་པོར་བཟོས་ཡོད་ཀྱང་།</w:t>
      </w:r>
      <w:r>
        <w:rPr>
          <w:rFonts w:ascii="Times New Roman" w:hAnsi="Times New Roman" w:eastAsia="Times New Roman" w:cs="Times New Roman"/>
        </w:rPr>
        <w:t xml:space="preserve"> </w:t>
      </w:r>
      <w:r>
        <w:rPr>
          <w:rFonts w:ascii="Microsoft Himalaya" w:hAnsi="Microsoft Himalaya" w:eastAsia="Microsoft Himalaya" w:cs="Microsoft Himalaya"/>
        </w:rPr>
        <w:t>མཚན་གུང་ལ་མངོན་སུམ་གྱི་རྒྱུ་རྐྱེན་མེད་པར་རང་བཞིན་གྱིས་ཕྱེ་བར་གྱུར།</w:t>
      </w:r>
      <w:r>
        <w:rPr>
          <w:rFonts w:ascii="Times New Roman" w:hAnsi="Times New Roman" w:eastAsia="Times New Roman" w:cs="Times New Roman"/>
        </w:rPr>
        <w:t>—Milman, The History of the Jews, book 13.”</w:t>
      </w:r>
    </w:p>
    <w:p>
      <w:pPr>
        <w:pStyle w:val="ArticleScripture"/>
        <w:jc w:val="left"/>
      </w:pPr>
      <w:r>
        <w:rPr>
          <w:rFonts w:ascii="Times New Roman" w:hAnsi="Times New Roman" w:eastAsia="Times New Roman" w:cs="Times New Roman"/>
        </w:rPr>
        <w:t>„</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განმავლობაში</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კაცი</w:t>
      </w:r>
      <w:r>
        <w:rPr>
          <w:rFonts w:ascii="Times New Roman" w:hAnsi="Times New Roman" w:eastAsia="Times New Roman" w:cs="Times New Roman"/>
        </w:rPr>
        <w:t xml:space="preserve"> </w:t>
      </w:r>
      <w:r>
        <w:rPr>
          <w:rFonts w:ascii="Sylfaen" w:hAnsi="Sylfaen" w:eastAsia="Sylfaen" w:cs="Sylfaen"/>
        </w:rPr>
        <w:t>განუწყვეტლივ</w:t>
      </w:r>
      <w:r>
        <w:rPr>
          <w:rFonts w:ascii="Times New Roman" w:hAnsi="Times New Roman" w:eastAsia="Times New Roman" w:cs="Times New Roman"/>
        </w:rPr>
        <w:t xml:space="preserve"> </w:t>
      </w:r>
      <w:r>
        <w:rPr>
          <w:rFonts w:ascii="Sylfaen" w:hAnsi="Sylfaen" w:eastAsia="Sylfaen" w:cs="Sylfaen"/>
        </w:rPr>
        <w:t>დადიოდა</w:t>
      </w:r>
      <w:r>
        <w:rPr>
          <w:rFonts w:ascii="Times New Roman" w:hAnsi="Times New Roman" w:eastAsia="Times New Roman" w:cs="Times New Roman"/>
        </w:rPr>
        <w:t xml:space="preserve"> </w:t>
      </w:r>
      <w:r>
        <w:rPr>
          <w:rFonts w:ascii="Sylfaen" w:hAnsi="Sylfaen" w:eastAsia="Sylfaen" w:cs="Sylfaen"/>
        </w:rPr>
        <w:t>იერუსალიმის</w:t>
      </w:r>
      <w:r>
        <w:rPr>
          <w:rFonts w:ascii="Times New Roman" w:hAnsi="Times New Roman" w:eastAsia="Times New Roman" w:cs="Times New Roman"/>
        </w:rPr>
        <w:t xml:space="preserve"> </w:t>
      </w:r>
      <w:r>
        <w:rPr>
          <w:rFonts w:ascii="Sylfaen" w:hAnsi="Sylfaen" w:eastAsia="Sylfaen" w:cs="Sylfaen"/>
        </w:rPr>
        <w:t>ქუჩებში</w:t>
      </w:r>
      <w:r>
        <w:rPr>
          <w:rFonts w:ascii="Times New Roman" w:hAnsi="Times New Roman" w:eastAsia="Times New Roman" w:cs="Times New Roman"/>
        </w:rPr>
        <w:t xml:space="preserve"> </w:t>
      </w:r>
      <w:r>
        <w:rPr>
          <w:rFonts w:ascii="Sylfaen" w:hAnsi="Sylfaen" w:eastAsia="Sylfaen" w:cs="Sylfaen"/>
        </w:rPr>
        <w:t>ზევით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ქვევით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აუწყებდა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უბედურებებს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ქალაქს</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დასტყდომოდა</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ღამე</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გოდების</w:t>
      </w:r>
      <w:r>
        <w:rPr>
          <w:rFonts w:ascii="Times New Roman" w:hAnsi="Times New Roman" w:eastAsia="Times New Roman" w:cs="Times New Roman"/>
        </w:rPr>
        <w:t xml:space="preserve"> </w:t>
      </w:r>
      <w:r>
        <w:rPr>
          <w:rFonts w:ascii="Sylfaen" w:hAnsi="Sylfaen" w:eastAsia="Sylfaen" w:cs="Sylfaen"/>
        </w:rPr>
        <w:t>ველურ</w:t>
      </w:r>
      <w:r>
        <w:rPr>
          <w:rFonts w:ascii="Times New Roman" w:hAnsi="Times New Roman" w:eastAsia="Times New Roman" w:cs="Times New Roman"/>
        </w:rPr>
        <w:t xml:space="preserve"> </w:t>
      </w:r>
      <w:r>
        <w:rPr>
          <w:rFonts w:ascii="Sylfaen" w:hAnsi="Sylfaen" w:eastAsia="Sylfaen" w:cs="Sylfaen"/>
        </w:rPr>
        <w:t>საგალობელს</w:t>
      </w:r>
      <w:r>
        <w:rPr>
          <w:rFonts w:ascii="Times New Roman" w:hAnsi="Times New Roman" w:eastAsia="Times New Roman" w:cs="Times New Roman"/>
        </w:rPr>
        <w:t xml:space="preserve"> </w:t>
      </w:r>
      <w:r>
        <w:rPr>
          <w:rFonts w:ascii="Sylfaen" w:hAnsi="Sylfaen" w:eastAsia="Sylfaen" w:cs="Sylfaen"/>
        </w:rPr>
        <w:t>იმეორებდა</w:t>
      </w:r>
      <w:r>
        <w:rPr>
          <w:rFonts w:ascii="Times New Roman" w:hAnsi="Times New Roman" w:eastAsia="Times New Roman" w:cs="Times New Roman"/>
        </w:rPr>
        <w:t>: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აღმოსავლეთიდან</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დასავლეთიდან</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ოთხი</w:t>
      </w:r>
      <w:r>
        <w:rPr>
          <w:rFonts w:ascii="Times New Roman" w:hAnsi="Times New Roman" w:eastAsia="Times New Roman" w:cs="Times New Roman"/>
        </w:rPr>
        <w:t xml:space="preserve"> </w:t>
      </w:r>
      <w:r>
        <w:rPr>
          <w:rFonts w:ascii="Sylfaen" w:hAnsi="Sylfaen" w:eastAsia="Sylfaen" w:cs="Sylfaen"/>
        </w:rPr>
        <w:t>ქარისაგან</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იერუსალიმის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ტაძრის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სასიძოების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პატარძლების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ხალხის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w:t>
      </w:r>
      <w:r>
        <w:rPr>
          <w:rFonts w:ascii="Sylfaen" w:hAnsi="Sylfaen" w:eastAsia="Sylfaen" w:cs="Sylfaen"/>
        </w:rPr>
        <w:t>იქვე</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უცნაური</w:t>
      </w:r>
      <w:r>
        <w:rPr>
          <w:rFonts w:ascii="Times New Roman" w:hAnsi="Times New Roman" w:eastAsia="Times New Roman" w:cs="Times New Roman"/>
        </w:rPr>
        <w:t xml:space="preserve"> </w:t>
      </w:r>
      <w:r>
        <w:rPr>
          <w:rFonts w:ascii="Sylfaen" w:hAnsi="Sylfaen" w:eastAsia="Sylfaen" w:cs="Sylfaen"/>
        </w:rPr>
        <w:t>არსება</w:t>
      </w:r>
      <w:r>
        <w:rPr>
          <w:rFonts w:ascii="Times New Roman" w:hAnsi="Times New Roman" w:eastAsia="Times New Roman" w:cs="Times New Roman"/>
        </w:rPr>
        <w:t xml:space="preserve"> </w:t>
      </w:r>
      <w:r>
        <w:rPr>
          <w:rFonts w:ascii="Sylfaen" w:hAnsi="Sylfaen" w:eastAsia="Sylfaen" w:cs="Sylfaen"/>
        </w:rPr>
        <w:t>დააპატიმრეს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გაამათრახეს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ბაგეებიდან</w:t>
      </w:r>
      <w:r>
        <w:rPr>
          <w:rFonts w:ascii="Times New Roman" w:hAnsi="Times New Roman" w:eastAsia="Times New Roman" w:cs="Times New Roman"/>
        </w:rPr>
        <w:t xml:space="preserve"> </w:t>
      </w:r>
      <w:r>
        <w:rPr>
          <w:rFonts w:ascii="Sylfaen" w:hAnsi="Sylfaen" w:eastAsia="Sylfaen" w:cs="Sylfaen"/>
        </w:rPr>
        <w:t>არც</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ჩივილი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დასცდენია</w:t>
      </w:r>
      <w:r>
        <w:rPr>
          <w:rFonts w:ascii="Times New Roman" w:hAnsi="Times New Roman" w:eastAsia="Times New Roman" w:cs="Times New Roman"/>
        </w:rPr>
        <w:t xml:space="preserve">. </w:t>
      </w:r>
      <w:r>
        <w:rPr>
          <w:rFonts w:ascii="Sylfaen" w:hAnsi="Sylfaen" w:eastAsia="Sylfaen" w:cs="Sylfaen"/>
        </w:rPr>
        <w:t>შეურაცხყოფასა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ძალადობას</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პასუხობდა</w:t>
      </w:r>
      <w:r>
        <w:rPr>
          <w:rFonts w:ascii="Times New Roman" w:hAnsi="Times New Roman" w:eastAsia="Times New Roman" w:cs="Times New Roman"/>
        </w:rPr>
        <w:t>: ‘</w:t>
      </w:r>
      <w:r>
        <w:rPr>
          <w:rFonts w:ascii="Sylfaen" w:hAnsi="Sylfaen" w:eastAsia="Sylfaen" w:cs="Sylfaen"/>
        </w:rPr>
        <w:t>ვაი</w:t>
      </w:r>
      <w:r>
        <w:rPr>
          <w:rFonts w:ascii="Times New Roman" w:hAnsi="Times New Roman" w:eastAsia="Times New Roman" w:cs="Times New Roman"/>
        </w:rPr>
        <w:t xml:space="preserve">, </w:t>
      </w:r>
      <w:r>
        <w:rPr>
          <w:rFonts w:ascii="Sylfaen" w:hAnsi="Sylfaen" w:eastAsia="Sylfaen" w:cs="Sylfaen"/>
        </w:rPr>
        <w:t>ვაი</w:t>
      </w:r>
      <w:r>
        <w:rPr>
          <w:rFonts w:ascii="Times New Roman" w:hAnsi="Times New Roman" w:eastAsia="Times New Roman" w:cs="Times New Roman"/>
        </w:rPr>
        <w:t xml:space="preserve"> </w:t>
      </w:r>
      <w:r>
        <w:rPr>
          <w:rFonts w:ascii="Sylfaen" w:hAnsi="Sylfaen" w:eastAsia="Sylfaen" w:cs="Sylfaen"/>
        </w:rPr>
        <w:t>იერუსალიმს</w:t>
      </w:r>
      <w:r>
        <w:rPr>
          <w:rFonts w:ascii="Times New Roman" w:hAnsi="Times New Roman" w:eastAsia="Times New Roman" w:cs="Times New Roman"/>
        </w:rPr>
        <w:t>!’ ‘</w:t>
      </w:r>
      <w:r>
        <w:rPr>
          <w:rFonts w:ascii="Sylfaen" w:hAnsi="Sylfaen" w:eastAsia="Sylfaen" w:cs="Sylfaen"/>
        </w:rPr>
        <w:t>ვაი</w:t>
      </w:r>
      <w:r>
        <w:rPr>
          <w:rFonts w:ascii="Times New Roman" w:hAnsi="Times New Roman" w:eastAsia="Times New Roman" w:cs="Times New Roman"/>
        </w:rPr>
        <w:t xml:space="preserve">, </w:t>
      </w:r>
      <w:r>
        <w:rPr>
          <w:rFonts w:ascii="Sylfaen" w:hAnsi="Sylfaen" w:eastAsia="Sylfaen" w:cs="Sylfaen"/>
        </w:rPr>
        <w:t>ვაი</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მკვიდრთ</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გამაფრთხილებელი</w:t>
      </w:r>
      <w:r>
        <w:rPr>
          <w:rFonts w:ascii="Times New Roman" w:hAnsi="Times New Roman" w:eastAsia="Times New Roman" w:cs="Times New Roman"/>
        </w:rPr>
        <w:t xml:space="preserve"> </w:t>
      </w:r>
      <w:r>
        <w:rPr>
          <w:rFonts w:ascii="Sylfaen" w:hAnsi="Sylfaen" w:eastAsia="Sylfaen" w:cs="Sylfaen"/>
        </w:rPr>
        <w:t>ძახილი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შეწყვეტილა</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მოიკლა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ალყის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წინასწარ</w:t>
      </w:r>
      <w:r>
        <w:rPr>
          <w:rFonts w:ascii="Times New Roman" w:hAnsi="Times New Roman" w:eastAsia="Times New Roman" w:cs="Times New Roman"/>
        </w:rPr>
        <w:t xml:space="preserve"> </w:t>
      </w:r>
      <w:r>
        <w:rPr>
          <w:rFonts w:ascii="Sylfaen" w:hAnsi="Sylfaen" w:eastAsia="Sylfaen" w:cs="Sylfaen"/>
        </w:rPr>
        <w:t>ჰქონდა</w:t>
      </w:r>
      <w:r>
        <w:rPr>
          <w:rFonts w:ascii="Times New Roman" w:hAnsi="Times New Roman" w:eastAsia="Times New Roman" w:cs="Times New Roman"/>
        </w:rPr>
        <w:t xml:space="preserve"> </w:t>
      </w:r>
      <w:r>
        <w:rPr>
          <w:rFonts w:ascii="Sylfaen" w:hAnsi="Sylfaen" w:eastAsia="Sylfaen" w:cs="Sylfaen"/>
        </w:rPr>
        <w:t>ნაწინასწარმეტყველები</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ბრძოლა</w:t>
      </w:r>
      <w:r>
        <w:rPr>
          <w:rFonts w:ascii="Times New Roman" w:hAnsi="Times New Roman" w:eastAsia="Times New Roman" w:cs="Times New Roman"/>
        </w:rPr>
        <w:t>, 29, 30.</w:t>
      </w:r>
    </w:p>
    <w:p>
      <w:pPr>
        <w:pStyle w:val="ArticleBody"/>
        <w:jc w:val="left"/>
      </w:pPr>
      <w:r>
        <w:rPr>
          <w:rFonts w:ascii="Leelawadee UI" w:hAnsi="Leelawadee UI" w:eastAsia="Leelawadee UI" w:cs="Leelawadee UI"/>
        </w:rPr>
        <w:t>ការបំផ្លាញចុងក្រោយនៃក្រុងយេរូសាឡឹមពិតប្រាកដនៅឆ្នាំ</w:t>
      </w:r>
      <w:r>
        <w:rPr>
          <w:rFonts w:ascii="Times New Roman" w:hAnsi="Times New Roman" w:eastAsia="Times New Roman" w:cs="Times New Roman"/>
        </w:rPr>
        <w:t xml:space="preserve"> 70 </w:t>
      </w:r>
      <w:r>
        <w:rPr>
          <w:rFonts w:ascii="Leelawadee UI" w:hAnsi="Leelawadee UI" w:eastAsia="Leelawadee UI" w:cs="Leelawadee UI"/>
        </w:rPr>
        <w:t>ត្រូវបាននាំមុខដោយ</w:t>
      </w:r>
      <w:r>
        <w:rPr>
          <w:rFonts w:ascii="Times New Roman" w:hAnsi="Times New Roman" w:eastAsia="Times New Roman" w:cs="Times New Roman"/>
        </w:rPr>
        <w:t xml:space="preserve"> «</w:t>
      </w:r>
      <w:r>
        <w:rPr>
          <w:rFonts w:ascii="Leelawadee UI" w:hAnsi="Leelawadee UI" w:eastAsia="Leelawadee UI" w:cs="Leelawadee UI"/>
        </w:rPr>
        <w:t>ទីសម្គាល់</w:t>
      </w:r>
      <w:r>
        <w:rPr>
          <w:rFonts w:ascii="Times New Roman" w:hAnsi="Times New Roman" w:eastAsia="Times New Roman" w:cs="Times New Roman"/>
        </w:rPr>
        <w:t xml:space="preserve"> </w:t>
      </w:r>
      <w:r>
        <w:rPr>
          <w:rFonts w:ascii="Leelawadee UI" w:hAnsi="Leelawadee UI" w:eastAsia="Leelawadee UI" w:cs="Leelawadee UI"/>
        </w:rPr>
        <w:t>និងការអស្ចារ្យ</w:t>
      </w:r>
      <w:r>
        <w:rPr>
          <w:rFonts w:ascii="Times New Roman" w:hAnsi="Times New Roman" w:eastAsia="Times New Roman" w:cs="Times New Roman"/>
        </w:rPr>
        <w:t xml:space="preserve">» </w:t>
      </w:r>
      <w:r>
        <w:rPr>
          <w:rFonts w:ascii="Leelawadee UI" w:hAnsi="Leelawadee UI" w:eastAsia="Leelawadee UI" w:cs="Leelawadee UI"/>
        </w:rPr>
        <w:t>ដែលបានកំណត់សម្គាល់អំពី</w:t>
      </w:r>
      <w:r>
        <w:rPr>
          <w:rFonts w:ascii="Times New Roman" w:hAnsi="Times New Roman" w:eastAsia="Times New Roman" w:cs="Times New Roman"/>
        </w:rPr>
        <w:t xml:space="preserve"> «</w:t>
      </w:r>
      <w:r>
        <w:rPr>
          <w:rFonts w:ascii="Leelawadee UI" w:hAnsi="Leelawadee UI" w:eastAsia="Leelawadee UI" w:cs="Leelawadee UI"/>
        </w:rPr>
        <w:t>មហន្តរាយ</w:t>
      </w:r>
      <w:r>
        <w:rPr>
          <w:rFonts w:ascii="Times New Roman" w:hAnsi="Times New Roman" w:eastAsia="Times New Roman" w:cs="Times New Roman"/>
        </w:rPr>
        <w:t xml:space="preserve"> </w:t>
      </w:r>
      <w:r>
        <w:rPr>
          <w:rFonts w:ascii="Leelawadee UI" w:hAnsi="Leelawadee UI" w:eastAsia="Leelawadee UI" w:cs="Leelawadee UI"/>
        </w:rPr>
        <w:t>និងវិនាសកម្ម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ទីសម្គាល់</w:t>
      </w:r>
      <w:r>
        <w:rPr>
          <w:rFonts w:ascii="Times New Roman" w:hAnsi="Times New Roman" w:eastAsia="Times New Roman" w:cs="Times New Roman"/>
        </w:rPr>
        <w:t xml:space="preserve">» </w:t>
      </w:r>
      <w:r>
        <w:rPr>
          <w:rFonts w:ascii="Leelawadee UI" w:hAnsi="Leelawadee UI" w:eastAsia="Leelawadee UI" w:cs="Leelawadee UI"/>
        </w:rPr>
        <w:t>នៃការព្រមានទាំងនោះ</w:t>
      </w:r>
      <w:r>
        <w:rPr>
          <w:rFonts w:ascii="Times New Roman" w:hAnsi="Times New Roman" w:eastAsia="Times New Roman" w:cs="Times New Roman"/>
        </w:rPr>
        <w:t xml:space="preserve"> </w:t>
      </w:r>
      <w:r>
        <w:rPr>
          <w:rFonts w:ascii="Leelawadee UI" w:hAnsi="Leelawadee UI" w:eastAsia="Leelawadee UI" w:cs="Leelawadee UI"/>
        </w:rPr>
        <w:t>បានលេចបង្ហាញអស់រយៈពេលបីឆ្នាំកន្លះ</w:t>
      </w:r>
      <w:r>
        <w:rPr>
          <w:rFonts w:ascii="Times New Roman" w:hAnsi="Times New Roman" w:eastAsia="Times New Roman" w:cs="Times New Roman"/>
        </w:rPr>
        <w:t xml:space="preserve"> </w:t>
      </w:r>
      <w:r>
        <w:rPr>
          <w:rFonts w:ascii="Leelawadee UI" w:hAnsi="Leelawadee UI" w:eastAsia="Leelawadee UI" w:cs="Leelawadee UI"/>
        </w:rPr>
        <w:t>មុនការឡោមព័ទ្ធលើកដំបូង</w:t>
      </w:r>
      <w:r>
        <w:rPr>
          <w:rFonts w:ascii="Times New Roman" w:hAnsi="Times New Roman" w:eastAsia="Times New Roman" w:cs="Times New Roman"/>
        </w:rPr>
        <w:t xml:space="preserve"> </w:t>
      </w:r>
      <w:r>
        <w:rPr>
          <w:rFonts w:ascii="Leelawadee UI" w:hAnsi="Leelawadee UI" w:eastAsia="Leelawadee UI" w:cs="Leelawadee UI"/>
        </w:rPr>
        <w:t>និងក្នុងរយៈពេលបីឆ្នាំកន្លះដែលនាំទៅដល់ការបំផ្លាញនោះ។</w:t>
      </w:r>
      <w:r>
        <w:rPr>
          <w:rFonts w:ascii="Times New Roman" w:hAnsi="Times New Roman" w:eastAsia="Times New Roman" w:cs="Times New Roman"/>
        </w:rPr>
        <w:t xml:space="preserve"> «</w:t>
      </w:r>
      <w:r>
        <w:rPr>
          <w:rFonts w:ascii="Leelawadee UI" w:hAnsi="Leelawadee UI" w:eastAsia="Leelawadee UI" w:cs="Leelawadee UI"/>
        </w:rPr>
        <w:t>ទីសម្គាល់</w:t>
      </w:r>
      <w:r>
        <w:rPr>
          <w:rFonts w:ascii="Times New Roman" w:hAnsi="Times New Roman" w:eastAsia="Times New Roman" w:cs="Times New Roman"/>
        </w:rPr>
        <w:t>» (</w:t>
      </w:r>
      <w:r>
        <w:rPr>
          <w:rFonts w:ascii="Leelawadee UI" w:hAnsi="Leelawadee UI" w:eastAsia="Leelawadee UI" w:cs="Leelawadee UI"/>
        </w:rPr>
        <w:t>ជាពហុវចនៈ</w:t>
      </w:r>
      <w:r>
        <w:rPr>
          <w:rFonts w:ascii="Times New Roman" w:hAnsi="Times New Roman" w:eastAsia="Times New Roman" w:cs="Times New Roman"/>
        </w:rPr>
        <w:t xml:space="preserve">) </w:t>
      </w:r>
      <w:r>
        <w:rPr>
          <w:rFonts w:ascii="Leelawadee UI" w:hAnsi="Leelawadee UI" w:eastAsia="Leelawadee UI" w:cs="Leelawadee UI"/>
        </w:rPr>
        <w:t>ដែលបានកំណត់សម្គាល់ការបំផ្លាញដែលនឹងមកដល់</w:t>
      </w:r>
      <w:r>
        <w:rPr>
          <w:rFonts w:ascii="Times New Roman" w:hAnsi="Times New Roman" w:eastAsia="Times New Roman" w:cs="Times New Roman"/>
        </w:rPr>
        <w:t xml:space="preserve"> </w:t>
      </w:r>
      <w:r>
        <w:rPr>
          <w:rFonts w:ascii="Leelawadee UI" w:hAnsi="Leelawadee UI" w:eastAsia="Leelawadee UI" w:cs="Leelawadee UI"/>
        </w:rPr>
        <w:t>មិនមែនជា</w:t>
      </w:r>
      <w:r>
        <w:rPr>
          <w:rFonts w:ascii="Times New Roman" w:hAnsi="Times New Roman" w:eastAsia="Times New Roman" w:cs="Times New Roman"/>
        </w:rPr>
        <w:t xml:space="preserve"> «</w:t>
      </w:r>
      <w:r>
        <w:rPr>
          <w:rFonts w:ascii="Leelawadee UI" w:hAnsi="Leelawadee UI" w:eastAsia="Leelawadee UI" w:cs="Leelawadee UI"/>
        </w:rPr>
        <w:t>ទីសម្គាល់</w:t>
      </w:r>
      <w:r>
        <w:rPr>
          <w:rFonts w:ascii="Times New Roman" w:hAnsi="Times New Roman" w:eastAsia="Times New Roman" w:cs="Times New Roman"/>
        </w:rPr>
        <w:t xml:space="preserve">» </w:t>
      </w:r>
      <w:r>
        <w:rPr>
          <w:rFonts w:ascii="Leelawadee UI" w:hAnsi="Leelawadee UI" w:eastAsia="Leelawadee UI" w:cs="Leelawadee UI"/>
        </w:rPr>
        <w:t>នៃការព្រមានឲ្យរត់ភៀសខ្លួនទេ</w:t>
      </w:r>
      <w:r>
        <w:rPr>
          <w:rFonts w:ascii="Times New Roman" w:hAnsi="Times New Roman" w:eastAsia="Times New Roman" w:cs="Times New Roman"/>
        </w:rPr>
        <w:t xml:space="preserve"> </w:t>
      </w:r>
      <w:r>
        <w:rPr>
          <w:rFonts w:ascii="Leelawadee UI" w:hAnsi="Leelawadee UI" w:eastAsia="Leelawadee UI" w:cs="Leelawadee UI"/>
        </w:rPr>
        <w:t>ប៉ុន្តែជាការប្រកាសថា</w:t>
      </w:r>
      <w:r>
        <w:rPr>
          <w:rFonts w:ascii="Times New Roman" w:hAnsi="Times New Roman" w:eastAsia="Times New Roman" w:cs="Times New Roman"/>
        </w:rPr>
        <w:t xml:space="preserve"> </w:t>
      </w:r>
      <w:r>
        <w:rPr>
          <w:rFonts w:ascii="Leelawadee UI" w:hAnsi="Leelawadee UI" w:eastAsia="Leelawadee UI" w:cs="Leelawadee UI"/>
        </w:rPr>
        <w:t>ពេលវេលានៃការសាកល្បងកំពុងឈានដល់ទីបញ្ចប់យ៉ាងជិតមកដល់។</w:t>
      </w:r>
    </w:p>
    <w:p>
      <w:pPr>
        <w:pStyle w:val="ArticleBody"/>
        <w:jc w:val="left"/>
      </w:pPr>
      <w:r>
        <w:rPr>
          <w:rFonts w:ascii="Times New Roman" w:hAnsi="Times New Roman" w:eastAsia="Times New Roman" w:cs="Times New Roman"/>
        </w:rPr>
        <w:t>Sa pangyuyurak sa espirituwal na Jerusalem mula 538 hanggang 1798, ang “tanda” ng babala upang tumakas ay nang ang karumaldumal na paninira ay nang “ang taong iyon ng kasalanan” ay “mahayag,” bilang “ang anak ng kapahamakan; na sumasalungat at nagmamataas sa kanyang sarili higit sa lahat ng tinatawag na Diyos, o sinasamba; anupat siya, bilang Diyos, ay nauupo sa templo ng Diyos, na ipinakikita ang kanyang sarili na siya ay Diyos.”</w:t>
      </w:r>
    </w:p>
    <w:p>
      <w:pPr>
        <w:pStyle w:val="ArticleScripture"/>
        <w:jc w:val="left"/>
      </w:pPr>
      <w:r>
        <w:rPr>
          <w:rFonts w:ascii="Times New Roman" w:hAnsi="Times New Roman" w:eastAsia="Times New Roman" w:cs="Times New Roman"/>
        </w:rPr>
        <w:t>Nítorí náà, nígbà tí ẹ̀yin bá rí ìríra ìdahoro náà, tí a ti sọ nípa rẹ̀ láti ẹnu Dáníẹ́lì wòlíì, tí ó dúró ní ibi mímọ́, (ẹnikẹ́ni tí ó bá kà á, kí ó lóye.) Mátíù 24:15.</w:t>
      </w:r>
    </w:p>
    <w:p>
      <w:pPr>
        <w:pStyle w:val="ArticleBody"/>
        <w:jc w:val="left"/>
      </w:pPr>
      <w:r>
        <w:rPr>
          <w:rFonts w:ascii="Microsoft YaHei" w:hAnsi="Microsoft YaHei" w:eastAsia="Microsoft YaHei" w:cs="Microsoft YaHei"/>
        </w:rPr>
        <w:t>当时历史中的基督徒一认出那个</w:t>
      </w:r>
      <w:r>
        <w:rPr>
          <w:rFonts w:ascii="Times New Roman" w:hAnsi="Times New Roman" w:eastAsia="Times New Roman" w:cs="Times New Roman"/>
        </w:rPr>
        <w:t>“</w:t>
      </w:r>
      <w:r>
        <w:rPr>
          <w:rFonts w:ascii="Microsoft YaHei" w:hAnsi="Microsoft YaHei" w:eastAsia="Microsoft YaHei" w:cs="Microsoft YaHei"/>
        </w:rPr>
        <w:t>兆头</w:t>
      </w:r>
      <w:r>
        <w:rPr>
          <w:rFonts w:ascii="Times New Roman" w:hAnsi="Times New Roman" w:eastAsia="Times New Roman" w:cs="Times New Roman"/>
        </w:rPr>
        <w:t>”,</w:t>
      </w:r>
      <w:r>
        <w:rPr>
          <w:rFonts w:ascii="Microsoft YaHei" w:hAnsi="Microsoft YaHei" w:eastAsia="Microsoft YaHei" w:cs="Microsoft YaHei"/>
        </w:rPr>
        <w:t>就逃到旷野去了一千二百六十年</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«Ті, хто прагнув зберегти вірність, мусили вести відчайдушну боротьбу, щоб твердо встояти проти обманів і гидот, замаскованих у священицькі шати й упроваджених до церкви. Біблію не приймали як мірило віри. Учення про релігійну свободу називали єрессю, а його прихильників ненавиділи й переслідували.</w:t>
      </w:r>
    </w:p>
    <w:p>
      <w:pPr>
        <w:pStyle w:val="ArticleScripture"/>
        <w:jc w:val="left"/>
      </w:pPr>
      <w:r>
        <w:rPr>
          <w:rFonts w:ascii="Times New Roman" w:hAnsi="Times New Roman" w:eastAsia="Times New Roman" w:cs="Times New Roman"/>
        </w:rPr>
        <w:t>«Après un long et rude conflit, le petit nombre des fidèles décida de rompre toute union avec l’Église apostate si celle-ci refusait encore de se libérer de l’erreur et de l’idolâtrie. Ils voyaient que la séparation était une nécessité absolue s’ils voulaient obéir à la parole de Dieu. Ils n’osaient tolérer des erreurs fatales à leurs propres âmes, ni donner un exemple qui mettrait en péril la foi de leurs enfants et des enfants de leurs enfants. Pour assurer la paix et l’unité, ils étaient prêts à faire toute concession compatible avec la fidélité à Dieu; mais ils estimaient que même la paix serait achetée trop cher au prix du sacrifice du principe. Si l’unité ne pouvait être assurée qu’au moyen d’un compromis avec la vérité et la justice, alors qu’il y ait divergence, et même guerre.» The Great Controversy, 45.</w:t>
      </w:r>
    </w:p>
    <w:p>
      <w:pPr>
        <w:pStyle w:val="ArticleBody"/>
        <w:jc w:val="left"/>
      </w:pPr>
      <w:r>
        <w:rPr>
          <w:rFonts w:ascii="Times New Roman" w:hAnsi="Times New Roman" w:eastAsia="Times New Roman" w:cs="Times New Roman"/>
        </w:rPr>
        <w:t>Au moment d’approcher la fin des mille deux cent soixante années de persécution papale, il y eut des « signes » (au pluriel), et, comme pour les « signes » à la fin des mille deux cent soixante jours pendant lesquels la Rome païenne foula aux pieds la Jérusalem littérale, ces « signes » n’étaient pas des signes pour fuir.</w:t>
      </w:r>
    </w:p>
    <w:p>
      <w:pPr>
        <w:pStyle w:val="ArticleScripture"/>
        <w:jc w:val="left"/>
      </w:pPr>
      <w:r>
        <w:rPr>
          <w:rFonts w:ascii="Times New Roman" w:hAnsi="Times New Roman" w:eastAsia="Times New Roman" w:cs="Times New Roman"/>
        </w:rPr>
        <w:t>“Uwiteka Umukiza atanga ibimenyetso by’ukuza kwe, kandi ibirenze ibyo, agaragaza igihe ikimenyetso cya mbere muri ibyo kizabonekera: ‘Ako kanya, hanyuma y’umubabaro w’iyo minsi, izuba rizijima, ukwezi ntikuzatanga umucyo wako, inyenyeri zizahanuka zive mu ijuru, kandi imbaraga zo mu ijuru zizanyeganyezwa; maze ni bwo ikimenyetso cy’Umwana w’umuntu kizabonekera mu ijuru; kandi ni bwo imiryango yose yo mu isi izaboroga, kandi bazabona Umwana w’umuntu aza ku bicu byo mu ijuru afite imbaraga n’ubwiza bwinshi. Kandi azatuma abamarayika be bazana ijwi rikomeye ry’impanda, maze bateranye intore ze baturutse mu muyaga ine, uhereye impera imwe y’ijuru ukageza ku yindi.’”</w:t>
      </w:r>
    </w:p>
    <w:p>
      <w:pPr>
        <w:pStyle w:val="ArticleScripture"/>
        <w:jc w:val="left"/>
      </w:pPr>
      <w:r>
        <w:rPr>
          <w:rFonts w:ascii="Times New Roman" w:hAnsi="Times New Roman" w:eastAsia="Times New Roman" w:cs="Times New Roman"/>
        </w:rPr>
        <w:t>«Ահեղ պապական հալածանքի ավարտին, Քրիստոսը հայտարարեց, արևը պիտի խավարվի, և լուսինը չպիտի տա իր լույսը։ Այնուհետև աստղերը պիտի ընկնեն երկնքից։ Եվ Նա ասում է. «Թզենու առակը սովրեցե՛ք. երբ նրա ոստը դեռ քնքուշ է և տերևներ է արձակում, գիտեք, թե ամառը մոտ է. այդպես էլ դուք, երբ այս ամենը տեսնեք, իմացե՛ք, որ Նա մոտ է, հենց դռների առաջ»։ Մատթեոս 24:32, 33, ծանոթագրություն։»</w:t>
      </w:r>
    </w:p>
    <w:p>
      <w:pPr>
        <w:pStyle w:val="ArticleScripture"/>
        <w:jc w:val="left"/>
      </w:pPr>
      <w:r>
        <w:rPr>
          <w:rFonts w:ascii="Times New Roman" w:hAnsi="Times New Roman" w:eastAsia="Times New Roman" w:cs="Times New Roman"/>
        </w:rPr>
        <w:t>«Քրիստոսը տվել է Իր գալստյան նշանները։ Նա հայտարարում է, որ մենք կարող ենք իմանալ, թե երբ է Նա մոտ, նույնիսկ դռների առջև։ Նա ասում է նրանց մասին, ովքեր տեսնում են այս նշանները. «Այս սերունդը չի անցնի, մինչև որ այս բոլոր բաները կատարվեն»։ Այս նշանները հայտնվել են։ Այժմ մենք հաստատ գիտենք, որ Տիրոջ գալուստը մոտ է։ «Երկինքն ու երկիրը պիտի անցնեն,— ասում է Նա,— բայց Իմ խոսքերը չեն անցնի»։ The Desire of Ages, 631, 632.</w:t>
      </w:r>
    </w:p>
    <w:p>
      <w:pPr>
        <w:pStyle w:val="ArticleBody"/>
        <w:jc w:val="left"/>
      </w:pPr>
      <w:r>
        <w:rPr>
          <w:rFonts w:ascii="Times New Roman" w:hAnsi="Times New Roman" w:eastAsia="Times New Roman" w:cs="Times New Roman"/>
        </w:rPr>
        <w:t>حين كانت «السنوات الثلاث والنصف من دَوْسِ أورشليم» على يد روما البابوية توشك أن تنتهي، ظهرت سلسلة من «العلامات» عرَّفت بمجيء المسيح ودشَّنت تاريخ الميلريين. وإن تاريخ الميلريين سيتكرر حرفيًا تمامًا في الأيام الأخيرة. وتلك «العلامات» التي ظهرت «عند ختام الاضطهاد البابوي العظيم» كانت قد رُمِز إليها مسبقًا بـ«علامات» ظهرت عند ختام السنوات الثلاث والنصف من دَوْسِ أورشليم من السنة 66 إلى 70 على يد روما الوثنية. ولذلك، وبناءً على شاهديْن، ستكون هناك «علامة» للراية المرفوعة في ساعة الزلزلة العظيمة، وهي علامة التحذير بالهرب في تاريخ روما الحديثة، وستكون أيضًا «علامات» بصيغة الجمع تقع عند ختام فترة اضطهاد روما الحديثة في الأيام الأخيرة.</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“Lisez le vingt et unième chapitre de Luc. Dans ce chapitre, le Christ donne cet avertissement : « Prenez garde à vous-mêmes, de peur que vos cœurs ne s’appesantissent à aucun moment par les excès du manger et du boire, l’ivrognerie et les soucis de cette vie, et que ce jour-là ne vienne sur vous à l’improviste. Car il viendra comme un piège sur tous ceux qui habitent sur la face de toute la terre. Veillez donc et priez en tout temps, afin que vous soyez jugés dignes d’échapper à toutes ces choses et de paraître debout devant le Fils de l’homme » (Luc 21:34–36).”</w:t>
      </w:r>
    </w:p>
    <w:p>
      <w:pPr>
        <w:pStyle w:val="ArticleScripture"/>
        <w:jc w:val="left"/>
      </w:pPr>
      <w:r>
        <w:rPr>
          <w:rFonts w:ascii="Times New Roman" w:hAnsi="Times New Roman" w:eastAsia="Times New Roman" w:cs="Times New Roman"/>
        </w:rPr>
        <w:t>« Les signes des temps s’accomplissent dans notre monde, et pourtant les Églises sont généralement représentées comme sommeillant. Ne prendrons-nous pas avertissement de l’expérience des vierges folles, qui, lorsque le cri retentit : “Voici, l’époux vient ; sortez à sa rencontre”, découvrirent qu’elles n’avaient point d’huile dans leurs lampes ? Et pendant qu’elles allaient acheter de l’huile, l’époux entra aux noces avec les vierges sages, et la porte fut fermée. Lorsque les vierges folles parvinrent à la salle du festin, elles reçurent un refus inattendu. Le maître du festin déclara : “Je ne vous connais pas.” Elles furent laissées dehors, dans la rue déserte, au sein des ténèbres de la nuit. »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هفده</dc:title>
  <dc:subject>Dévoiler la loi dominicale imminente : une analyse typologique du signe appelant à fuir</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