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vingt</w:t>
      </w:r>
    </w:p>
    <w:p>
      <w:pPr>
        <w:pStyle w:val="ArticleSubtitle"/>
        <w:jc w:val="left"/>
      </w:pPr>
      <w:r>
        <w:rPr>
          <w:rFonts w:ascii="Arial" w:hAnsi="Arial" w:eastAsia="Arial" w:cs="Arial"/>
        </w:rPr>
        <w:t>Odhalování prorockých znamení: Porozumění naplnění biblických proroctví</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Nirmala UI" w:hAnsi="Nirmala UI" w:eastAsia="Nirmala UI" w:cs="Nirmala UI"/>
        </w:rPr>
        <w:t>सूर्य</w:t>
      </w:r>
      <w:r>
        <w:rPr>
          <w:rFonts w:ascii="Times New Roman" w:hAnsi="Times New Roman" w:eastAsia="Times New Roman" w:cs="Times New Roman"/>
        </w:rPr>
        <w:t xml:space="preserve">, </w:t>
      </w:r>
      <w:r>
        <w:rPr>
          <w:rFonts w:ascii="Nirmala UI" w:hAnsi="Nirmala UI" w:eastAsia="Nirmala UI" w:cs="Nirmala UI"/>
        </w:rPr>
        <w:t>चंद्रमा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पर्याप्त</w:t>
      </w:r>
      <w:r>
        <w:rPr>
          <w:rFonts w:ascii="Times New Roman" w:hAnsi="Times New Roman" w:eastAsia="Times New Roman" w:cs="Times New Roman"/>
        </w:rPr>
        <w:t xml:space="preserve"> </w:t>
      </w:r>
      <w:r>
        <w:rPr>
          <w:rFonts w:ascii="Nirmala UI" w:hAnsi="Nirmala UI" w:eastAsia="Nirmala UI" w:cs="Nirmala UI"/>
        </w:rPr>
        <w:t>विवेचन</w:t>
      </w:r>
      <w:r>
        <w:rPr>
          <w:rFonts w:ascii="Times New Roman" w:hAnsi="Times New Roman" w:eastAsia="Times New Roman" w:cs="Times New Roman"/>
        </w:rPr>
        <w:t xml:space="preserve"> </w:t>
      </w:r>
      <w:r>
        <w:rPr>
          <w:rFonts w:ascii="Nirmala UI" w:hAnsi="Nirmala UI" w:eastAsia="Nirmala UI" w:cs="Nirmala UI"/>
        </w:rPr>
        <w:t>इतिहासकारों</w:t>
      </w:r>
      <w:r>
        <w:rPr>
          <w:rFonts w:ascii="Times New Roman" w:hAnsi="Times New Roman" w:eastAsia="Times New Roman" w:cs="Times New Roman"/>
        </w:rPr>
        <w:t xml:space="preserve">, </w:t>
      </w:r>
      <w:r>
        <w:rPr>
          <w:rFonts w:ascii="Nirmala UI" w:hAnsi="Nirmala UI" w:eastAsia="Nirmala UI" w:cs="Nirmala UI"/>
        </w:rPr>
        <w:t>ऐडवेंटवाद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अग्रदूतों</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रचनाओं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परिचित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व्याकुलता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हिलाए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दर्शाता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विशेषतः</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हिलाए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विपरीत।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लाओदीकियाई</w:t>
      </w:r>
      <w:r>
        <w:rPr>
          <w:rFonts w:ascii="Times New Roman" w:hAnsi="Times New Roman" w:eastAsia="Times New Roman" w:cs="Times New Roman"/>
        </w:rPr>
        <w:t xml:space="preserve"> </w:t>
      </w:r>
      <w:r>
        <w:rPr>
          <w:rFonts w:ascii="Nirmala UI" w:hAnsi="Nirmala UI" w:eastAsia="Nirmala UI" w:cs="Nirmala UI"/>
        </w:rPr>
        <w:t>ऐडवेंटवादी</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p>
    <w:p>
      <w:pPr>
        <w:pStyle w:val="ArticleScripture"/>
        <w:jc w:val="left"/>
      </w:pPr>
      <w:r>
        <w:rPr>
          <w:rFonts w:ascii="Times New Roman" w:hAnsi="Times New Roman" w:eastAsia="Times New Roman" w:cs="Times New Roman"/>
        </w:rPr>
        <w:t>«Siku na saa kamili ya kuja kwa Kristo hazijafunuliwa. Mwokozi aliwaambia wanafunzi wake kwamba yeye mwenyewe hangeweza kuujulisha wakati wa kutokea kwake mara ya pili. Lakini alitaja matukio fulani ambayo kwa hayo wangeweza kujua ya kuwa kuja kwake kumekaribia. “Kutakuwapo ishara,” akasema, “katika jua, na katika mwezi, na katika nyota.” “Jua litatiwa giza, na mwezi hautatoa nuru yake, na nyota za mbinguni zitaanguka.” Juu ya nchi, alisema, kutakuwako “dhiki ya mataifa, huku yakiwa katika fadhaa; bahari na mawimbi vikivuma; watu wakizimia mioyo kwa hofu na kwa kutazamia mambo yale yajayo juu ya nchi.”»</w:t>
      </w:r>
    </w:p>
    <w:p>
      <w:pPr>
        <w:pStyle w:val="ArticleScripture"/>
        <w:jc w:val="left"/>
      </w:pPr>
      <w:r>
        <w:rPr>
          <w:rFonts w:ascii="Times New Roman" w:hAnsi="Times New Roman" w:eastAsia="Times New Roman" w:cs="Times New Roman"/>
        </w:rPr>
        <w:t>« Et ils verront le Fils de l’homme venant sur les nuées du ciel avec puissance et une grande gloire. Et il enverra ses anges avec un grand son de trompette, et ils rassembleront ses élus des quatre vents, d’une extrémité des cieux à l’autre. »</w:t>
      </w:r>
    </w:p>
    <w:p>
      <w:pPr>
        <w:pStyle w:val="ArticleScripture"/>
        <w:jc w:val="left"/>
      </w:pPr>
      <w:r>
        <w:rPr>
          <w:rFonts w:ascii="Times New Roman" w:hAnsi="Times New Roman" w:eastAsia="Times New Roman" w:cs="Times New Roman"/>
        </w:rPr>
        <w:t>“Les signes dans le soleil, la lune et les étoiles se sont accomplis. Depuis ce temps, les tremblements de terre, les tempêtes, les raz-de-marée, la peste et la famine se sont multipliés. Les destructions les plus effroyables, par le feu et par les eaux, se succèdent rapidement les unes aux autres. Les terribles catastrophes qui se produisent de semaine en semaine nous parlent en des accents solennels d’avertissement, déclarant que la fin est proche, et que quelque chose de grand et de décisif doit bientôt nécessairement avoir lieu.</w:t>
      </w:r>
    </w:p>
    <w:p>
      <w:pPr>
        <w:pStyle w:val="ArticleScripture"/>
        <w:jc w:val="left"/>
      </w:pPr>
      <w:r>
        <w:rPr>
          <w:rFonts w:ascii="Times New Roman" w:hAnsi="Times New Roman" w:eastAsia="Times New Roman" w:cs="Times New Roman"/>
        </w:rPr>
        <w:t>“La période de probation ne se prolongera plus longtemps. À présent, Dieu retire de la terre sa main qui retenait. Depuis longtemps, il parlait aux hommes et aux femmes par l’intermédiaire de son Saint-Esprit; mais ils n’ont pas tenu compte de l’appel. Maintenant, il parle à son peuple, et au monde, par ses jugements. Le temps de ces jugements est un temps de miséricorde pour ceux qui n’ont pas encore eu l’occasion d’apprendre ce qu’est la vérité. Le Seigneur les regardera avec tendresse. Son cœur de miséricorde est ému; sa main est encore étendue pour sauver. Un grand nombre seront admis dans l’enclos de la sécurité, eux qui, en ces derniers jours, entendront la vérité pour la première fois.” Review and Herald, 22 novembre 1906.</w:t>
      </w:r>
    </w:p>
    <w:p>
      <w:pPr>
        <w:pStyle w:val="ArticleBody"/>
        <w:jc w:val="left"/>
      </w:pPr>
      <w:r>
        <w:rPr>
          <w:rFonts w:ascii="Times New Roman" w:hAnsi="Times New Roman" w:eastAsia="Times New Roman" w:cs="Times New Roman"/>
        </w:rPr>
        <w:t>L’histoire millérite se répète à la lettre dans les derniers jours. Les « signes » qui marquèrent l’arrivée et l’histoire du premier ange préfigurent les « signes » qui marquent l’arrivée et l’histoire du troisième ange. Tous les mouvements sacrés de réforme sont parallèles au mouvement du troisième ange dans les derniers jours.</w:t>
      </w:r>
    </w:p>
    <w:p>
      <w:pPr>
        <w:pStyle w:val="ArticleScripture"/>
        <w:jc w:val="left"/>
      </w:pPr>
      <w:r>
        <w:rPr>
          <w:rFonts w:ascii="Times New Roman" w:hAnsi="Times New Roman" w:eastAsia="Times New Roman" w:cs="Times New Roman"/>
        </w:rPr>
        <w:t>“Худо ер юзида амалга ошираётган иш, асрдан асргача, ҳар бир буюк ислоҳот ёки диний ҳаракатда ҳайратланарли даражадаги ўхшашликни намоён этади. Худонинг инсонлар билан муомала қилиш тамойиллари ҳамиша бир хилдир. Ҳозирги замоннинг муҳим ҳаракатлари ўтмишдагиларда ўзининг ўхшашини топади, ва илгариги асрлардаги жамоат тажрибаси бизнинг замонимиз учун беқиёс қимматга эга сабоқларни беради.” The Great Controversy, 343.</w:t>
      </w:r>
    </w:p>
    <w:p>
      <w:pPr>
        <w:pStyle w:val="ArticleBody"/>
        <w:jc w:val="left"/>
      </w:pPr>
      <w:r>
        <w:rPr>
          <w:rFonts w:ascii="Times New Roman" w:hAnsi="Times New Roman" w:eastAsia="Times New Roman" w:cs="Times New Roman"/>
        </w:rPr>
        <w:t>L’histoire représentée par le puissant ange d’Apocalypse dix-huit est celle du troisième ange, et l’histoire représentée par le troisième ange se déroule parallèlement à l’histoire des premier et deuxième anges de l’histoire millérite.</w:t>
      </w:r>
    </w:p>
    <w:p>
      <w:pPr>
        <w:pStyle w:val="ArticleScripture"/>
        <w:jc w:val="left"/>
      </w:pPr>
      <w:r>
        <w:rPr>
          <w:rFonts w:ascii="Times New Roman" w:hAnsi="Times New Roman" w:eastAsia="Times New Roman" w:cs="Times New Roman"/>
        </w:rPr>
        <w:t>“Tanrı, Vahiy 14’ün mesajlarına peygamberlik çizgisinde yerlerini vermiştir; ve onların işi, bu dünyanın tarihinin sonuna dek sona ermeyecektir. Birinci ve ikinci meleğin mesajları hâlâ bu zaman için gerçektir ve bunlar, ardından gelen bu mesajla paralel ilerlemelidir. Üçüncü melek uyarısını yüksek bir sesle ilan eder. Yuhanna, ‘Bunlardan sonra,’ dedi, ‘gökten büyük yetkiye sahip başka bir meleğin indiğini gördüm; ve yeryüzü onun görkemiyle aydınlandı.’ Bu aydınlatmada, üç mesajın tümünün ışığı birleşmiştir.” The 1888 Materials, 803, 804.</w:t>
      </w:r>
    </w:p>
    <w:p>
      <w:pPr>
        <w:pStyle w:val="ArticleBody"/>
        <w:jc w:val="left"/>
      </w:pPr>
      <w:r>
        <w:rPr>
          <w:rFonts w:ascii="Times New Roman" w:hAnsi="Times New Roman" w:eastAsia="Times New Roman" w:cs="Times New Roman"/>
        </w:rPr>
        <w:t>Ụzọ ọrụ nke mmụọ ozi mbụ na nke abụọ, nke e ji ya tụnyere ọrụ nke mmụọ ozi nke atọ, ka e gosikwara n’ihe atụ nke ụmụ agbọghọ iri ahụ.</w:t>
      </w:r>
    </w:p>
    <w:p>
      <w:pPr>
        <w:pStyle w:val="ArticleScripture"/>
        <w:jc w:val="left"/>
      </w:pPr>
      <w:r>
        <w:rPr>
          <w:rFonts w:ascii="Times New Roman" w:hAnsi="Times New Roman" w:eastAsia="Times New Roman" w:cs="Times New Roman"/>
        </w:rPr>
        <w:t>«Omukwano gwange gusinga kumpita ku lugero lw’abawala kkumi, bataano ku bo nga bagezi, era bataano nga basirusiru. Olugero luno lwatuukirira era lunaatuukirizibwa ddala nga bwe luli mu buli kisoko, kubanga lulina okukozesebwa okw’enjawulo ku biro bino, era, ng’obubaka bwa malayika ow’okusatu, lwatuukirira era lunaasigala nga mazima agaliwo mu kiseera kino okutuusa ku nkomerero y’ebiseera.» Review and Herald, August 19, 1890.</w:t>
      </w:r>
    </w:p>
    <w:p>
      <w:pPr>
        <w:pStyle w:val="ArticleBody"/>
        <w:jc w:val="left"/>
      </w:pPr>
      <w:r>
        <w:rPr>
          <w:rFonts w:ascii="Times New Roman" w:hAnsi="Times New Roman" w:eastAsia="Times New Roman" w:cs="Times New Roman"/>
        </w:rPr>
        <w:t>Ang kasaysayang inilalarawan sa ika-sampung kabanata ng Pahayag ay kinakatawan bilang ang pitong kulog, at ang pitong kulog ay kumakatawan sa mga pangyayaring naganap sa panahon ng kasaysayan ng mga Millerita, na siyang kasaysayan ng mga mensahe ng una at ikalawang anghel. Ang pitong kulog ay kumakatawan din sa “mga pangyayari sa hinaharap” na magaganap sa mga huling araw, at ang mga ito ay natutupad sa gayunding “pagkakasunod-sunod” gaya ng nangyari sa kasaysayan ng mga Millerita.</w:t>
      </w:r>
    </w:p>
    <w:p>
      <w:pPr>
        <w:pStyle w:val="ArticleScripture"/>
        <w:jc w:val="left"/>
      </w:pPr>
      <w:r>
        <w:rPr>
          <w:rFonts w:ascii="Times New Roman" w:hAnsi="Times New Roman" w:eastAsia="Times New Roman" w:cs="Times New Roman"/>
        </w:rPr>
        <w:t>«Լոյսը, որ առանձնայատուկ կերպով տրուած էր Յովհաննէսին եւ որ արտայայտուեցաւ եօթը որոտներու մէջ, առաջին եւ երկրորդ հրեշտակներու պատգամներուն ներքեւ տեղի ունենալու դէպքերու մէկ պատկերացումն էր։ …»</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បន្ទាប់ពីផ្គររន្ទះទាំងប្រាំពីរនេះបានបន្លឺសំឡេងរបស់វាហើយ</w:t>
      </w:r>
      <w:r>
        <w:rPr>
          <w:rFonts w:ascii="Times New Roman" w:hAnsi="Times New Roman" w:eastAsia="Times New Roman" w:cs="Times New Roman"/>
        </w:rPr>
        <w:t xml:space="preserve"> </w:t>
      </w:r>
      <w:r>
        <w:rPr>
          <w:rFonts w:ascii="Leelawadee UI" w:hAnsi="Leelawadee UI" w:eastAsia="Leelawadee UI" w:cs="Leelawadee UI"/>
        </w:rPr>
        <w:t>បទបញ្ជាក៏មកដល់យ៉ូហាន</w:t>
      </w:r>
      <w:r>
        <w:rPr>
          <w:rFonts w:ascii="Times New Roman" w:hAnsi="Times New Roman" w:eastAsia="Times New Roman" w:cs="Times New Roman"/>
        </w:rPr>
        <w:t xml:space="preserve"> </w:t>
      </w:r>
      <w:r>
        <w:rPr>
          <w:rFonts w:ascii="Leelawadee UI" w:hAnsi="Leelawadee UI" w:eastAsia="Leelawadee UI" w:cs="Leelawadee UI"/>
        </w:rPr>
        <w:t>ដូចជាដល់ដានីយ៉ែល</w:t>
      </w:r>
      <w:r>
        <w:rPr>
          <w:rFonts w:ascii="Times New Roman" w:hAnsi="Times New Roman" w:eastAsia="Times New Roman" w:cs="Times New Roman"/>
        </w:rPr>
        <w:t xml:space="preserve"> </w:t>
      </w:r>
      <w:r>
        <w:rPr>
          <w:rFonts w:ascii="Leelawadee UI" w:hAnsi="Leelawadee UI" w:eastAsia="Leelawadee UI" w:cs="Leelawadee UI"/>
        </w:rPr>
        <w:t>ទាក់ទងនឹងសៀវភៅតូចនោះថា៖</w:t>
      </w:r>
      <w:r>
        <w:rPr>
          <w:rFonts w:ascii="Times New Roman" w:hAnsi="Times New Roman" w:eastAsia="Times New Roman" w:cs="Times New Roman"/>
        </w:rPr>
        <w:t xml:space="preserve"> “</w:t>
      </w:r>
      <w:r>
        <w:rPr>
          <w:rFonts w:ascii="Leelawadee UI" w:hAnsi="Leelawadee UI" w:eastAsia="Leelawadee UI" w:cs="Leelawadee UI"/>
        </w:rPr>
        <w:t>ចូរបិទត្រាសេចក្ដីទាំងនោះ</w:t>
      </w:r>
      <w:r>
        <w:rPr>
          <w:rFonts w:ascii="Times New Roman" w:hAnsi="Times New Roman" w:eastAsia="Times New Roman" w:cs="Times New Roman"/>
        </w:rPr>
        <w:t xml:space="preserve"> </w:t>
      </w:r>
      <w:r>
        <w:rPr>
          <w:rFonts w:ascii="Leelawadee UI" w:hAnsi="Leelawadee UI" w:eastAsia="Leelawadee UI" w:cs="Leelawadee UI"/>
        </w:rPr>
        <w:t>ដែលផ្គររន្ទះទាំងប្រាំពីរបានបន្លឺចេញមក</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សេចក្ដីទាំងនេះទាក់ទងនឹងព្រឹត្តិការណ៍អនាគត</w:t>
      </w:r>
      <w:r>
        <w:rPr>
          <w:rFonts w:ascii="Times New Roman" w:hAnsi="Times New Roman" w:eastAsia="Times New Roman" w:cs="Times New Roman"/>
        </w:rPr>
        <w:t xml:space="preserve"> </w:t>
      </w:r>
      <w:r>
        <w:rPr>
          <w:rFonts w:ascii="Leelawadee UI" w:hAnsi="Leelawadee UI" w:eastAsia="Leelawadee UI" w:cs="Leelawadee UI"/>
        </w:rPr>
        <w:t>ដែលនឹងត្រូវបានបើកសម្ដែងតាមលំដាប់របស់វា</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The Seventh-day Adventist Bible Commentary, volume 7, 971.</w:t>
      </w:r>
    </w:p>
    <w:p>
      <w:pPr>
        <w:pStyle w:val="ArticleBody"/>
        <w:jc w:val="left"/>
      </w:pPr>
      <w:r>
        <w:rPr>
          <w:rFonts w:ascii="Times New Roman" w:hAnsi="Times New Roman" w:eastAsia="Times New Roman" w:cs="Times New Roman"/>
        </w:rPr>
        <w:t>Gbogbo awọn iṣipopada atunṣe n bá ara wọn lọ ní ìbámu, a sì gbọdọ̀ mú wọn jọ “laini lórí laini,” kí a lè fi ṣàfihàn iṣipopada atunṣe ìkẹyìn ti ẹgbẹ̀rún lọ́nà ọgọ́rùn-ún mẹ́rìnlélógójì. Òwe àwọn wúńdíá mẹ́wàá ń ṣàfihàn ìrírí inú àwọn ènìyàn Ọlọ́run nínú iṣipopada Millerite àti nínú iṣipopada ẹgbẹ̀rún lọ́nà ọgọ́rùn-ún mẹ́rìnlélógójì.</w:t>
      </w:r>
    </w:p>
    <w:p>
      <w:pPr>
        <w:pStyle w:val="ArticleScripture"/>
        <w:jc w:val="left"/>
      </w:pPr>
      <w:r>
        <w:rPr>
          <w:rFonts w:ascii="Times New Roman" w:hAnsi="Times New Roman" w:eastAsia="Times New Roman" w:cs="Times New Roman"/>
        </w:rPr>
        <w:t>„Podoaba celor zece fecioare din Matei 25 ilustrează, de asemenea, experiența poporului adventist.” Tragedia veacurilor, 393.</w:t>
      </w:r>
    </w:p>
    <w:p>
      <w:pPr>
        <w:pStyle w:val="ArticleBody"/>
        <w:jc w:val="left"/>
      </w:pPr>
      <w:r>
        <w:rPr>
          <w:rFonts w:ascii="Nirmala UI" w:hAnsi="Nirmala UI" w:eastAsia="Nirmala UI" w:cs="Nirmala UI"/>
        </w:rPr>
        <w:t>కాబట్టి</w:t>
      </w:r>
      <w:r>
        <w:rPr>
          <w:rFonts w:ascii="Times New Roman" w:hAnsi="Times New Roman" w:eastAsia="Times New Roman" w:cs="Times New Roman"/>
        </w:rPr>
        <w:t xml:space="preserve">, </w:t>
      </w:r>
      <w:r>
        <w:rPr>
          <w:rFonts w:ascii="Nirmala UI" w:hAnsi="Nirmala UI" w:eastAsia="Nirmala UI" w:cs="Nirmala UI"/>
        </w:rPr>
        <w:t>మిల్లెరైట్</w:t>
      </w:r>
      <w:r>
        <w:rPr>
          <w:rFonts w:ascii="Times New Roman" w:hAnsi="Times New Roman" w:eastAsia="Times New Roman" w:cs="Times New Roman"/>
        </w:rPr>
        <w:t>‌</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పనియు</w:t>
      </w:r>
      <w:r>
        <w:rPr>
          <w:rFonts w:ascii="Times New Roman" w:hAnsi="Times New Roman" w:eastAsia="Times New Roman" w:cs="Times New Roman"/>
        </w:rPr>
        <w:t xml:space="preserve"> </w:t>
      </w:r>
      <w:r>
        <w:rPr>
          <w:rFonts w:ascii="Nirmala UI" w:hAnsi="Nirmala UI" w:eastAsia="Nirmala UI" w:cs="Nirmala UI"/>
        </w:rPr>
        <w:t>సందేశమును</w:t>
      </w:r>
      <w:r>
        <w:rPr>
          <w:rFonts w:ascii="Times New Roman" w:hAnsi="Times New Roman" w:eastAsia="Times New Roman" w:cs="Times New Roman"/>
        </w:rPr>
        <w:t xml:space="preserve">, </w:t>
      </w:r>
      <w:r>
        <w:rPr>
          <w:rFonts w:ascii="Nirmala UI" w:hAnsi="Nirmala UI" w:eastAsia="Nirmala UI" w:cs="Nirmala UI"/>
        </w:rPr>
        <w:t>అలాగే</w:t>
      </w:r>
      <w:r>
        <w:rPr>
          <w:rFonts w:ascii="Times New Roman" w:hAnsi="Times New Roman" w:eastAsia="Times New Roman" w:cs="Times New Roman"/>
        </w:rPr>
        <w:t xml:space="preserve"> </w:t>
      </w:r>
      <w:r>
        <w:rPr>
          <w:rFonts w:ascii="Nirmala UI" w:hAnsi="Nirmala UI" w:eastAsia="Nirmala UI" w:cs="Nirmala UI"/>
        </w:rPr>
        <w:t>నూట</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వేలమందియొక్క</w:t>
      </w:r>
      <w:r>
        <w:rPr>
          <w:rFonts w:ascii="Times New Roman" w:hAnsi="Times New Roman" w:eastAsia="Times New Roman" w:cs="Times New Roman"/>
        </w:rPr>
        <w:t xml:space="preserve"> </w:t>
      </w:r>
      <w:r>
        <w:rPr>
          <w:rFonts w:ascii="Nirmala UI" w:hAnsi="Nirmala UI" w:eastAsia="Nirmala UI" w:cs="Nirmala UI"/>
        </w:rPr>
        <w:t>పనియు</w:t>
      </w:r>
      <w:r>
        <w:rPr>
          <w:rFonts w:ascii="Times New Roman" w:hAnsi="Times New Roman" w:eastAsia="Times New Roman" w:cs="Times New Roman"/>
        </w:rPr>
        <w:t xml:space="preserve"> </w:t>
      </w:r>
      <w:r>
        <w:rPr>
          <w:rFonts w:ascii="Nirmala UI" w:hAnsi="Nirmala UI" w:eastAsia="Nirmala UI" w:cs="Nirmala UI"/>
        </w:rPr>
        <w:t>సందేశమును</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పద్నాలుగవ</w:t>
      </w:r>
      <w:r>
        <w:rPr>
          <w:rFonts w:ascii="Times New Roman" w:hAnsi="Times New Roman" w:eastAsia="Times New Roman" w:cs="Times New Roman"/>
        </w:rPr>
        <w:t xml:space="preserve"> </w:t>
      </w:r>
      <w:r>
        <w:rPr>
          <w:rFonts w:ascii="Nirmala UI" w:hAnsi="Nirmala UI" w:eastAsia="Nirmala UI" w:cs="Nirmala UI"/>
        </w:rPr>
        <w:t>అధ్యాయంలోని</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దూతలు</w:t>
      </w:r>
      <w:r>
        <w:rPr>
          <w:rFonts w:ascii="Times New Roman" w:hAnsi="Times New Roman" w:eastAsia="Times New Roman" w:cs="Times New Roman"/>
        </w:rPr>
        <w:t xml:space="preserve"> </w:t>
      </w:r>
      <w:r>
        <w:rPr>
          <w:rFonts w:ascii="Nirmala UI" w:hAnsi="Nirmala UI" w:eastAsia="Nirmala UI" w:cs="Nirmala UI"/>
        </w:rPr>
        <w:t>సూచించుచున్నారు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J’ai eu de précieuses occasions d’acquérir une expérience. J’ai eu une expérience dans les messages du premier, du deuxième et du troisième ange. Les anges sont représentés comme volant au milieu du ciel, proclamant au monde un message d’avertissement, et ayant un rapport direct avec le peuple qui vit dans les derniers jours de l’histoire de cette terre. Personne n’entend la voix de ces anges, car ils sont un symbole représentant le peuple de Dieu qui œuvre en harmonie avec l’univers du ciel. Des hommes et des femmes, éclairés par l’Esprit de Dieu et sanctifiés par la vérité, proclament les trois messages dans leur ordre. » Life Sketches, 429.</w:t>
      </w:r>
    </w:p>
    <w:p>
      <w:pPr>
        <w:pStyle w:val="ArticleBody"/>
        <w:jc w:val="left"/>
      </w:pPr>
      <w:r>
        <w:rPr>
          <w:rFonts w:ascii="Times New Roman" w:hAnsi="Times New Roman" w:eastAsia="Times New Roman" w:cs="Times New Roman"/>
        </w:rPr>
        <w:t>Les événements prophétiques représentés dans le chapitre dix de l’Apocalypse sont figurés par les sept tonnerres. Ces événements marquent le point où le divin est uni à l’humain. Les « signes » identifiés par le Christ dans Matthieu chapitre vingt-quatre, Marc treize et Luc vingt et un représentent les « signes » qui ont inauguré le mouvement millérite et constituent un témoignage parallèle au mouvement des cent quarante-quatre mille. Les cent quarante-quatre mille ne goûtent pas la mort, comme le représentent Énoch et Élie. Le 11 septembre 2001, le « signe » que le Christ a identifié comme marquant l’arrivée de la dernière génération de l’histoire de la terre, est identifié dans Luc chapitre vingt et un. Faire partie de ce groupe représenté par Énoch et Élie, appelé les cent quarante-quatre mille, exige que le « signe » et tout ce qu’il représente soient reconnus.</w:t>
      </w:r>
    </w:p>
    <w:p>
      <w:pPr>
        <w:pStyle w:val="ArticleBody"/>
        <w:jc w:val="left"/>
      </w:pPr>
      <w:r>
        <w:rPr>
          <w:rFonts w:ascii="Times New Roman" w:hAnsi="Times New Roman" w:eastAsia="Times New Roman" w:cs="Times New Roman"/>
        </w:rPr>
        <w:t>Après avoir conduit Ses disciples à travers l’histoire des « signes » qui inaugurèrent le mouvement millérite, Jésus reprit ensuite et développa Son témoignage historique en y incluant une parabole qui représentait cette même histoire.</w:t>
      </w:r>
    </w:p>
    <w:p>
      <w:pPr>
        <w:pStyle w:val="ArticleScripture"/>
        <w:jc w:val="left"/>
      </w:pPr>
      <w:r>
        <w:rPr>
          <w:rFonts w:ascii="Times New Roman" w:hAnsi="Times New Roman" w:eastAsia="Times New Roman" w:cs="Times New Roman"/>
        </w:rPr>
        <w:t>E lui disse loro una parabola: «Guardate il fico e tutti gli alberi; quando già germogliano, voi vedete e riconoscete da voi stessi che l’estate è ormai vicina. Così anche voi, quando vedrete avvenire queste cose, sappiate che il regno di Dio è vicino. In verità vi dico: questa generazione non passerà finché tutte queste cose siano adempiute. Il cielo e la terra passeranno, ma le mie parole non passeranno». Luca 21:29–33.</w:t>
      </w:r>
    </w:p>
    <w:p>
      <w:pPr>
        <w:pStyle w:val="ArticleBody"/>
        <w:jc w:val="left"/>
      </w:pPr>
      <w:r>
        <w:rPr>
          <w:rFonts w:ascii="Times New Roman" w:hAnsi="Times New Roman" w:eastAsia="Times New Roman" w:cs="Times New Roman"/>
        </w:rPr>
        <w:t>Jésu o bẹrẹ owe náà nípa fífi ìyàtọ̀ hàn láàárín “igi ọ̀pọ̀tọ́,” ní ẹyọkan, àti “gbogbo àwọn igi.” “Igi ọ̀pọ̀tọ́” náà ni àwọn ènìyàn májẹ̀mú, tí ní àwọn ọjọ́ ìkẹyìn jẹ́ Adventismu Laodicea, tí wọ́n jẹ́wọ́ pé àwọn ni àwọn ènìyàn ìyókù Ọlọ́run. Àwọn “igi” yòókù sì ni àwọn Kèfèrí.</w:t>
      </w:r>
    </w:p>
    <w:p>
      <w:pPr>
        <w:pStyle w:val="ArticleScripture"/>
        <w:jc w:val="left"/>
      </w:pPr>
      <w:r>
        <w:rPr>
          <w:rFonts w:ascii="Times New Roman" w:hAnsi="Times New Roman" w:eastAsia="Times New Roman" w:cs="Times New Roman"/>
        </w:rPr>
        <w:t>«باز هم به درخت انجیر که نماد قوم یهود است توجه کنید؛ قومی که با برگ‌های ادعا پوشیده شده بود، اما هیچ ثمری بر آن یافت نمی‌شد. لعنت بر درخت انجیر اعلام می‌شود، درختی که نمایانگر عامل اخلاقی، اندیشنده و زنده است؛ از سوی خدا ملعون، و همان‌گونه که یهودیان پس از این واقعه چهل سال زیستند، با این‌همه مرده بود. توجه کنید که درختان دیگر، که نمایانگر امّت‌ها هستند، پوشیده از برگ نبودند. آنان بی‌برگ بودند و هیچ تظاهری به داشتن معرفت خدا نداشتند. زمان بارآوری ایشان هنوز فرا نرسیده بود.» Special Testimonies for Ministers and Workers, number 7, 59–61.</w:t>
      </w:r>
    </w:p>
    <w:p>
      <w:pPr>
        <w:pStyle w:val="ArticleBody"/>
        <w:jc w:val="left"/>
      </w:pPr>
      <w:r>
        <w:rPr>
          <w:rFonts w:ascii="Times New Roman" w:hAnsi="Times New Roman" w:eastAsia="Times New Roman" w:cs="Times New Roman"/>
        </w:rPr>
        <w:t>Adventisme Laodikia pada hari-hari terakhir berada di bawah kutuk, karena meskipun mengaku sebagai umat sisa Allah, pengakuannya itu tidak menghasilkan buah. Yesus sedang menyatakan dua pokok yang saling berkaitan, namun berbeda, dalam bagian tersebut. Ia sedang menegaskan pembedaan antara umat Allah yang mengaku percaya dan bangsa-bangsa bukan Yahudi, yang tidak mengaku menjunjung hukum Allah ataupun memiliki Roh Nubuat, yang merupakan ciri-ciri umat sisa pada akhir zaman, yang oleh Adventisme Laodikia diakui dijunjung. Daun-daun pada hari-hari terakhir melambangkan pengakuan yang diklaim sebagai umat sisa yang diidentifikasi oleh Yohanes dalam kitab Wahyu.</w:t>
      </w:r>
    </w:p>
    <w:p>
      <w:pPr>
        <w:pStyle w:val="ArticleScripture"/>
        <w:jc w:val="left"/>
      </w:pPr>
      <w:r>
        <w:rPr>
          <w:rFonts w:ascii="Times New Roman" w:hAnsi="Times New Roman" w:eastAsia="Times New Roman" w:cs="Times New Roman"/>
        </w:rPr>
        <w:t>«Әлемдегі басқа халықтар жапырақсыз, жеміссіз інжір ағаштарымен бейнеленді. Басқа халықтар да, яһудилер сияқты, тақуалықтан мақұрым еді, бірақ олар Құдайдың ықыласына ие екендерін мәлімдемеген. Олар асқақ руханилықпен мақтанбаған. Олар Құдайдың жолдары мен істеріне қатысты барлық жағынан соқыр еді. Олар үшін інжір пісетін уақыт әлі келген жоқ еді. Олар өздеріне нұр мен үміт әкелетін бір күнді әлі де күтіп тұрған еді». Signs of the Times, February 15, 1899.</w:t>
      </w:r>
    </w:p>
    <w:p>
      <w:pPr>
        <w:pStyle w:val="ArticleBody"/>
        <w:jc w:val="left"/>
      </w:pPr>
      <w:r>
        <w:rPr>
          <w:rFonts w:ascii="Times New Roman" w:hAnsi="Times New Roman" w:eastAsia="Times New Roman" w:cs="Times New Roman"/>
        </w:rPr>
        <w:t>Ang kaibhan tali sa kahoyng igos ug sa ubang mga kahoy gihatagan pa ni Cristo ug usa pa ka laing pagkalahi. Ang panahon sa pagpamiyuk sa mga kahoy alang sa mga igos, lahi kaysa panahon sa pagpamiyuk sa mga kahoy sa mga Hentil. Sa katapusang mga adlaw, “duha ka managlahi nga mga pagtawag ang gihatag ngadto sa mga iglesia,” ug ang unang tingog gikan sa manulunda sa Pinadayag kapitulo dieciocho nagtimailhan sa panahon sa dihang mahitabo ang pagpamiyuk alang sa usa ka gatus ug kap-atan ug upat ka libo. Ang “ikaduhang tingog” sa Pinadayag dieciocho nagrepresentar sa panahon sa dihang ang ubang mga kahoy mamiyuk.</w:t>
      </w:r>
    </w:p>
    <w:p>
      <w:pPr>
        <w:pStyle w:val="ArticleBody"/>
        <w:jc w:val="left"/>
      </w:pPr>
      <w:r>
        <w:rPr>
          <w:rFonts w:ascii="Times New Roman" w:hAnsi="Times New Roman" w:eastAsia="Times New Roman" w:cs="Times New Roman"/>
        </w:rPr>
        <w:t>Na andú ya Klisto Bayuda bazalaki nzete ya figi, mpe Bapagano bazalaki banzete mosusu. Na lisolo ya Bamilerite, Baprotesta bazalaki nzete ya figi, mpe Bamilerite bazalaki banzete mosusu. Na mikolo ya nsuka, Adventisme ya Laodikia ezali nzete ya figi oyo ebotaka mbuma te, oyo elongolami na Yelusaleme (elanga ya vinyo), mpe nkoto nkama moko na ntuku minei na minei bazali banzete ya figi oyo ebotaka mbuma. Bana mosusu ya Nzambe oyo bazali naino na Babilone bazali komonisama lokola Bapagano.</w:t>
      </w:r>
    </w:p>
    <w:p>
      <w:pPr>
        <w:pStyle w:val="ArticleBody"/>
        <w:jc w:val="left"/>
      </w:pPr>
      <w:r>
        <w:rPr>
          <w:rFonts w:ascii="Microsoft YaHei" w:hAnsi="Microsoft YaHei" w:eastAsia="Microsoft YaHei" w:cs="Microsoft YaHei"/>
        </w:rPr>
        <w:t>行在定義上就是「外人」</w:t>
      </w:r>
      <w:r>
        <w:rPr>
          <w:rFonts w:ascii="Times New Roman" w:hAnsi="Times New Roman" w:eastAsia="Times New Roman" w:cs="Times New Roman"/>
        </w:rPr>
        <w:t>.</w:t>
      </w:r>
      <w:r>
        <w:rPr>
          <w:rFonts w:ascii="Microsoft YaHei" w:hAnsi="Microsoft YaHei" w:eastAsia="Microsoft YaHei" w:cs="Microsoft YaHei"/>
        </w:rPr>
        <w:t>當無花果樹發芽、復甦之時</w:t>
      </w:r>
      <w:r>
        <w:rPr>
          <w:rFonts w:ascii="Times New Roman" w:hAnsi="Times New Roman" w:eastAsia="Times New Roman" w:cs="Times New Roman"/>
        </w:rPr>
        <w:t>,</w:t>
      </w:r>
      <w:r>
        <w:rPr>
          <w:rFonts w:ascii="Microsoft YaHei" w:hAnsi="Microsoft YaHei" w:eastAsia="Microsoft YaHei" w:cs="Microsoft YaHei"/>
        </w:rPr>
        <w:t>外邦的樹木仍是休眠的（死的）</w:t>
      </w:r>
      <w:r>
        <w:rPr>
          <w:rFonts w:ascii="Times New Roman" w:hAnsi="Times New Roman" w:eastAsia="Times New Roman" w:cs="Times New Roman"/>
        </w:rPr>
        <w:t>,</w:t>
      </w:r>
      <w:r>
        <w:rPr>
          <w:rFonts w:ascii="Microsoft YaHei" w:hAnsi="Microsoft YaHei" w:eastAsia="Microsoft YaHei" w:cs="Microsoft YaHei"/>
        </w:rPr>
        <w:t>沒有萌芽</w:t>
      </w:r>
      <w:r>
        <w:rPr>
          <w:rFonts w:ascii="Times New Roman" w:hAnsi="Times New Roman" w:eastAsia="Times New Roman" w:cs="Times New Roman"/>
        </w:rPr>
        <w:t>,</w:t>
      </w:r>
      <w:r>
        <w:rPr>
          <w:rFonts w:ascii="Microsoft YaHei" w:hAnsi="Microsoft YaHei" w:eastAsia="Microsoft YaHei" w:cs="Microsoft YaHei"/>
        </w:rPr>
        <w:t>也不結果子</w:t>
      </w:r>
      <w:r>
        <w:rPr>
          <w:rFonts w:ascii="Times New Roman" w:hAnsi="Times New Roman" w:eastAsia="Times New Roman" w:cs="Times New Roman"/>
        </w:rPr>
        <w:t>.</w:t>
      </w:r>
      <w:r>
        <w:rPr>
          <w:rFonts w:ascii="Microsoft YaHei" w:hAnsi="Microsoft YaHei" w:eastAsia="Microsoft YaHei" w:cs="Microsoft YaHei"/>
        </w:rPr>
        <w:t>休眠的樹就是枯乾的樹</w:t>
      </w:r>
      <w:r>
        <w:rPr>
          <w:rFonts w:ascii="Times New Roman" w:hAnsi="Times New Roman" w:eastAsia="Times New Roman" w:cs="Times New Roman"/>
        </w:rPr>
        <w:t>;</w:t>
      </w:r>
      <w:r>
        <w:rPr>
          <w:rFonts w:ascii="Microsoft YaHei" w:hAnsi="Microsoft YaHei" w:eastAsia="Microsoft YaHei" w:cs="Microsoft YaHei"/>
        </w:rPr>
        <w:t>而當外邦人因</w:t>
      </w:r>
      <w:r>
        <w:rPr>
          <w:rFonts w:ascii="Times New Roman" w:hAnsi="Times New Roman" w:eastAsia="Times New Roman" w:cs="Times New Roman"/>
        </w:rPr>
        <w:t>«</w:t>
      </w:r>
      <w:r>
        <w:rPr>
          <w:rFonts w:ascii="Microsoft YaHei" w:hAnsi="Microsoft YaHei" w:eastAsia="Microsoft YaHei" w:cs="Microsoft YaHei"/>
        </w:rPr>
        <w:t>啟示錄</w:t>
      </w:r>
      <w:r>
        <w:rPr>
          <w:rFonts w:ascii="Times New Roman" w:hAnsi="Times New Roman" w:eastAsia="Times New Roman" w:cs="Times New Roman"/>
        </w:rPr>
        <w:t>»</w:t>
      </w:r>
      <w:r>
        <w:rPr>
          <w:rFonts w:ascii="Microsoft YaHei" w:hAnsi="Microsoft YaHei" w:eastAsia="Microsoft YaHei" w:cs="Microsoft YaHei"/>
        </w:rPr>
        <w:t>第十八章第二個聲音的呼召</w:t>
      </w:r>
      <w:r>
        <w:rPr>
          <w:rFonts w:ascii="Times New Roman" w:hAnsi="Times New Roman" w:eastAsia="Times New Roman" w:cs="Times New Roman"/>
        </w:rPr>
        <w:t>,</w:t>
      </w:r>
      <w:r>
        <w:rPr>
          <w:rFonts w:ascii="Microsoft YaHei" w:hAnsi="Microsoft YaHei" w:eastAsia="Microsoft YaHei" w:cs="Microsoft YaHei"/>
        </w:rPr>
        <w:t>被召出巴比倫之時</w:t>
      </w:r>
      <w:r>
        <w:rPr>
          <w:rFonts w:ascii="Times New Roman" w:hAnsi="Times New Roman" w:eastAsia="Times New Roman" w:cs="Times New Roman"/>
        </w:rPr>
        <w:t>,</w:t>
      </w:r>
      <w:r>
        <w:rPr>
          <w:rFonts w:ascii="Microsoft YaHei" w:hAnsi="Microsoft YaHei" w:eastAsia="Microsoft YaHei" w:cs="Microsoft YaHei"/>
        </w:rPr>
        <w:t>他們便要選擇遵守第七日安息日</w:t>
      </w:r>
      <w:r>
        <w:rPr>
          <w:rFonts w:ascii="Times New Roman" w:hAnsi="Times New Roman" w:eastAsia="Times New Roman" w:cs="Times New Roman"/>
        </w:rPr>
        <w:t>,</w:t>
      </w:r>
      <w:r>
        <w:rPr>
          <w:rFonts w:ascii="Microsoft YaHei" w:hAnsi="Microsoft YaHei" w:eastAsia="Microsoft YaHei" w:cs="Microsoft YaHei"/>
        </w:rPr>
        <w:t>並與主立約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Ngoahoáise an mac coimhthíoch, a cheangail é féin leis an Tiarna, ag rá, Tá an Tiarna tar éis mé a dheighilt go hiomlán óna phobal: ná habraídís na coilleáin ach an oiread, Féach, is crann tirim mé. Oir mar seo a deir an Tiarna leis na coilleánaigh a choimeádann mo shabóidí, agus a roghnaíonn na nithe is toil liom, agus a bheireann greim ar mo chonradh; dóibh sin tabharfaidh mé i mo theach agus laistigh de mo bhallaí ionad agus ainm is fearr ná mar atá ag mic agus ag iníonacha: tabharfaidh mé dóibh ainm síoraí, nach ngearrfar as. Agus mic na gcoimhthíoch, a cheanglaíonn iad féin leis an Tiarna, chun freastal air, agus chun ainm an Tiarna a ghrá, le bheith ina sheirbhísigh aige, gach aon duine a choimeádann an tsabóid óna truailliú, agus a bheireann greim ar mo chonradh; iad sin féin tabharfaidh mé go dtí mo shliabh naofa, agus déanfaidh mé lúcháireach iad i dteach mo phaidir: glacfar lena n-íobairtí dóite agus lena n-íobairtí ar m’altóir; óir tabharfar teach paidir do mo theach do na pobail uile. Isaiah 56:3–7.</w:t>
      </w:r>
    </w:p>
    <w:p>
      <w:pPr>
        <w:pStyle w:val="ArticleBody"/>
        <w:jc w:val="left"/>
      </w:pPr>
      <w:r>
        <w:rPr>
          <w:rFonts w:ascii="Times New Roman" w:hAnsi="Times New Roman" w:eastAsia="Times New Roman" w:cs="Times New Roman"/>
        </w:rPr>
        <w:t>Ɓanndu mo anndi ko “ŋentil,” e “honndu ɗiɗaɓru” noddiɓe yo ɓe ngurto e Baabilon, kadi ɓe naddaa ɗoo to hocceere seniinde nde Alla; ndee waɗan maa hocceere “seniinde” maako, ngam alkamaari e giɗɗe ndinnduɗe maa seerndam e golle ƴeewtere ɗen ɗum nandi e taariki “honndu arande”. So ɓe ngari to hocceere Joomiiraawo nde ñalawmaaji cakitiiɗi, ŋentilɓe maa ɓe wontataa koyɗe, walla leɗɗe yooruɗe.</w:t>
      </w:r>
    </w:p>
    <w:p>
      <w:pPr>
        <w:pStyle w:val="ArticleScripture"/>
        <w:jc w:val="left"/>
      </w:pPr>
      <w:r>
        <w:rPr>
          <w:rFonts w:ascii="Nirmala UI" w:hAnsi="Nirmala UI" w:eastAsia="Nirmala UI" w:cs="Nirmala UI"/>
        </w:rPr>
        <w:t>সূর্য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চন্দ্র</w:t>
      </w:r>
      <w:r>
        <w:rPr>
          <w:rFonts w:ascii="Times New Roman" w:hAnsi="Times New Roman" w:eastAsia="Times New Roman" w:cs="Times New Roman"/>
        </w:rPr>
        <w:t xml:space="preserve"> </w:t>
      </w:r>
      <w:r>
        <w:rPr>
          <w:rFonts w:ascii="Nirmala UI" w:hAnsi="Nirmala UI" w:eastAsia="Nirmala UI" w:cs="Nirmala UI"/>
        </w:rPr>
        <w:t>অন্ধকারাচ্ছন্ন</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নক্ষত্ররা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জ্যোতি</w:t>
      </w:r>
      <w:r>
        <w:rPr>
          <w:rFonts w:ascii="Times New Roman" w:hAnsi="Times New Roman" w:eastAsia="Times New Roman" w:cs="Times New Roman"/>
        </w:rPr>
        <w:t xml:space="preserve"> </w:t>
      </w:r>
      <w:r>
        <w:rPr>
          <w:rFonts w:ascii="Nirmala UI" w:hAnsi="Nirmala UI" w:eastAsia="Nirmala UI" w:cs="Nirmala UI"/>
        </w:rPr>
        <w:t>প্রত্যাহার</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সিয়োন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গর্জন</w:t>
      </w:r>
      <w:r>
        <w:rPr>
          <w:rFonts w:ascii="Times New Roman" w:hAnsi="Times New Roman" w:eastAsia="Times New Roman" w:cs="Times New Roman"/>
        </w:rPr>
        <w:t xml:space="preserve"> </w:t>
      </w:r>
      <w:r>
        <w:rPr>
          <w:rFonts w:ascii="Nirmala UI" w:hAnsi="Nirmala UI" w:eastAsia="Nirmala UI" w:cs="Nirmala UI"/>
        </w:rPr>
        <w:t>করবেন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যিরূশালেম</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স্বর</w:t>
      </w:r>
      <w:r>
        <w:rPr>
          <w:rFonts w:ascii="Times New Roman" w:hAnsi="Times New Roman" w:eastAsia="Times New Roman" w:cs="Times New Roman"/>
        </w:rPr>
        <w:t xml:space="preserve"> </w:t>
      </w:r>
      <w:r>
        <w:rPr>
          <w:rFonts w:ascii="Nirmala UI" w:hAnsi="Nirmala UI" w:eastAsia="Nirmala UI" w:cs="Nirmala UI"/>
        </w:rPr>
        <w:t>উচ্চারণ</w:t>
      </w:r>
      <w:r>
        <w:rPr>
          <w:rFonts w:ascii="Times New Roman" w:hAnsi="Times New Roman" w:eastAsia="Times New Roman" w:cs="Times New Roman"/>
        </w:rPr>
        <w:t xml:space="preserve"> </w:t>
      </w:r>
      <w:r>
        <w:rPr>
          <w:rFonts w:ascii="Nirmala UI" w:hAnsi="Nirmala UI" w:eastAsia="Nirmala UI" w:cs="Nirmala UI"/>
        </w:rPr>
        <w:t>করবেন</w:t>
      </w:r>
      <w:r>
        <w:rPr>
          <w:rFonts w:ascii="Times New Roman" w:hAnsi="Times New Roman" w:eastAsia="Times New Roman" w:cs="Times New Roman"/>
        </w:rPr>
        <w:t xml:space="preserve">; </w:t>
      </w:r>
      <w:r>
        <w:rPr>
          <w:rFonts w:ascii="Nirmala UI" w:hAnsi="Nirmala UI" w:eastAsia="Nirmala UI" w:cs="Nirmala UI"/>
        </w:rPr>
        <w:t>আকাশমণ্ডল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পৃথিবী</w:t>
      </w:r>
      <w:r>
        <w:rPr>
          <w:rFonts w:ascii="Times New Roman" w:hAnsi="Times New Roman" w:eastAsia="Times New Roman" w:cs="Times New Roman"/>
        </w:rPr>
        <w:t xml:space="preserve"> </w:t>
      </w:r>
      <w:r>
        <w:rPr>
          <w:rFonts w:ascii="Nirmala UI" w:hAnsi="Nirmala UI" w:eastAsia="Nirmala UI" w:cs="Nirmala UI"/>
        </w:rPr>
        <w:t>কেঁপে</w:t>
      </w:r>
      <w:r>
        <w:rPr>
          <w:rFonts w:ascii="Times New Roman" w:hAnsi="Times New Roman" w:eastAsia="Times New Roman" w:cs="Times New Roman"/>
        </w:rPr>
        <w:t xml:space="preserve"> </w:t>
      </w:r>
      <w:r>
        <w:rPr>
          <w:rFonts w:ascii="Nirmala UI" w:hAnsi="Nirmala UI" w:eastAsia="Nirmala UI" w:cs="Nirmala UI"/>
        </w:rPr>
        <w:t>উঠবে</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প্রজাদের</w:t>
      </w:r>
      <w:r>
        <w:rPr>
          <w:rFonts w:ascii="Times New Roman" w:hAnsi="Times New Roman" w:eastAsia="Times New Roman" w:cs="Times New Roman"/>
        </w:rPr>
        <w:t xml:space="preserve"> </w:t>
      </w:r>
      <w:r>
        <w:rPr>
          <w:rFonts w:ascii="Nirmala UI" w:hAnsi="Nirmala UI" w:eastAsia="Nirmala UI" w:cs="Nirmala UI"/>
        </w:rPr>
        <w:t>আশ্রয়</w:t>
      </w:r>
      <w:r>
        <w:rPr>
          <w:rFonts w:ascii="Times New Roman" w:hAnsi="Times New Roman" w:eastAsia="Times New Roman" w:cs="Times New Roman"/>
        </w:rPr>
        <w:t xml:space="preserve"> </w:t>
      </w:r>
      <w:r>
        <w:rPr>
          <w:rFonts w:ascii="Nirmala UI" w:hAnsi="Nirmala UI" w:eastAsia="Nirmala UI" w:cs="Nirmala UI"/>
        </w:rPr>
        <w:t>হবেন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সন্তানদের</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হবেন।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জানতে</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সিয়োনে</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পর্বতে</w:t>
      </w:r>
      <w:r>
        <w:rPr>
          <w:rFonts w:ascii="Times New Roman" w:hAnsi="Times New Roman" w:eastAsia="Times New Roman" w:cs="Times New Roman"/>
        </w:rPr>
        <w:t xml:space="preserve">, </w:t>
      </w:r>
      <w:r>
        <w:rPr>
          <w:rFonts w:ascii="Nirmala UI" w:hAnsi="Nirmala UI" w:eastAsia="Nirmala UI" w:cs="Nirmala UI"/>
        </w:rPr>
        <w:t>অধিষ্ঠানকারী</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যিরূশালেম</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বিদেশী</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অতিক্রম</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যোয়েল</w:t>
      </w:r>
      <w:r>
        <w:rPr>
          <w:rFonts w:ascii="Times New Roman" w:hAnsi="Times New Roman" w:eastAsia="Times New Roman" w:cs="Times New Roman"/>
        </w:rPr>
        <w:t xml:space="preserve"> </w:t>
      </w:r>
      <w:r>
        <w:rPr>
          <w:rFonts w:ascii="Nirmala UI" w:hAnsi="Nirmala UI" w:eastAsia="Nirmala UI" w:cs="Nirmala UI"/>
        </w:rPr>
        <w:t>৩</w:t>
      </w:r>
      <w:r>
        <w:rPr>
          <w:rFonts w:ascii="Times New Roman" w:hAnsi="Times New Roman" w:eastAsia="Times New Roman" w:cs="Times New Roman"/>
        </w:rPr>
        <w:t>:</w:t>
      </w:r>
      <w:r>
        <w:rPr>
          <w:rFonts w:ascii="Nirmala UI" w:hAnsi="Nirmala UI" w:eastAsia="Nirmala UI" w:cs="Nirmala UI"/>
        </w:rPr>
        <w:t>১৫</w:t>
      </w:r>
      <w:r>
        <w:rPr>
          <w:rFonts w:ascii="Times New Roman" w:hAnsi="Times New Roman" w:eastAsia="Times New Roman" w:cs="Times New Roman"/>
        </w:rPr>
        <w:t>–</w:t>
      </w:r>
      <w:r>
        <w:rPr>
          <w:rFonts w:ascii="Nirmala UI" w:hAnsi="Nirmala UI" w:eastAsia="Nirmala UI" w:cs="Nirmala UI"/>
        </w:rPr>
        <w:t>১৭।</w:t>
      </w:r>
    </w:p>
    <w:p>
      <w:pPr>
        <w:pStyle w:val="ArticleBody"/>
        <w:jc w:val="left"/>
      </w:pPr>
      <w:r>
        <w:rPr>
          <w:rFonts w:ascii="Times New Roman" w:hAnsi="Times New Roman" w:eastAsia="Times New Roman" w:cs="Times New Roman"/>
        </w:rPr>
        <w:t>L’entrée dans l’histoire où la « seconde voix » appelle l’autre troupeau de Dieu à sortir de Babylone comporte des « signes » qui furent préfigurés par les signes du mouvement millérite. Dans le chapitre vingt-quatre de Matthieu, le chapitre treize de Marc et le chapitre vingt et un de Luc est exposé le témoignage du Christ que nous considérons. Dans chacun de ces trois témoins, l’un des « signes » mentionnés est que les puissances des cieux seront ébranlées ; mais, dans la présentation que fait Joël des « signes » qui indiquent quand Jérusalem sera « sainte », « les cieux et la terre seront ébranlés » tous deux.</w:t>
      </w:r>
    </w:p>
    <w:p>
      <w:pPr>
        <w:pStyle w:val="ArticleBody"/>
        <w:jc w:val="left"/>
      </w:pPr>
      <w:r>
        <w:rPr>
          <w:rFonts w:ascii="Times New Roman" w:hAnsi="Times New Roman" w:eastAsia="Times New Roman" w:cs="Times New Roman"/>
        </w:rPr>
        <w:t>Yoeli anatambua utimilifu mkamilifu wa “ishara” zilizotabiriwa zinazotukia wakati Yerusalemu ni takatifu. Wakati huo ni pale Bwana ameondoa dhambi kutoka kwa wale mia moja na arobaini na nne elfu, na kanisa la Laodikia limehamia katika mwendo wa Filadelfia. Ndipo mwendo wa sita (Filadelfia) unapokuwa mwendo wa nane (Filadelfia), ambao watoka katika makanisa saba. Ndipo Kanisa Linalopigana linapokuwa Kanisa Linaloshinda. Kanisa Linalopigana ni jina la kanisa la Mungu ambalo limeundwa na ngano na magugu. Kanisa Linaloshinda ni mlima mtakatifu wa Mungu ulio “mtakatifu,” na “wageni hawatapita ndani yake tena kamwe.”</w:t>
      </w:r>
    </w:p>
    <w:p>
      <w:pPr>
        <w:pStyle w:val="ArticleBody"/>
        <w:jc w:val="left"/>
      </w:pPr>
      <w:r>
        <w:rPr>
          <w:rFonts w:ascii="Times New Roman" w:hAnsi="Times New Roman" w:eastAsia="Times New Roman" w:cs="Times New Roman"/>
        </w:rPr>
        <w:t>L’avènement de l’étendard élevé, qui est l’Église triomphante, qui est « le huitième issu des sept », qui correspond au moment où Jérusalem est « sainte », s’accompagne de « signes ». Afin que Jésus fournisse à Son peuple le point de repère lui permettant de reconnaître le « signe » de vie ou de mort, lequel identifie le scellement des cent quarante-quatre mille, Il a employé les arbres et le cycle naturel de la vie d’un arbre pour enseigner cette leçon de la plus haute importance.</w:t>
      </w:r>
    </w:p>
    <w:p>
      <w:pPr>
        <w:pStyle w:val="ArticleScripture"/>
        <w:jc w:val="left"/>
      </w:pPr>
      <w:r>
        <w:rPr>
          <w:rFonts w:ascii="Times New Roman" w:hAnsi="Times New Roman" w:eastAsia="Times New Roman" w:cs="Times New Roman"/>
        </w:rPr>
        <w:t>„</w:t>
      </w:r>
      <w:r>
        <w:rPr>
          <w:rFonts w:ascii="Sylfaen" w:hAnsi="Sylfaen" w:eastAsia="Sylfaen" w:cs="Sylfaen"/>
        </w:rPr>
        <w:t>ქრისტემ</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ხალხს</w:t>
      </w:r>
      <w:r>
        <w:rPr>
          <w:rFonts w:ascii="Times New Roman" w:hAnsi="Times New Roman" w:eastAsia="Times New Roman" w:cs="Times New Roman"/>
        </w:rPr>
        <w:t xml:space="preserve"> </w:t>
      </w:r>
      <w:r>
        <w:rPr>
          <w:rFonts w:ascii="Sylfaen" w:hAnsi="Sylfaen" w:eastAsia="Sylfaen" w:cs="Sylfaen"/>
        </w:rPr>
        <w:t>უბრძანა</w:t>
      </w:r>
      <w:r>
        <w:rPr>
          <w:rFonts w:ascii="Times New Roman" w:hAnsi="Times New Roman" w:eastAsia="Times New Roman" w:cs="Times New Roman"/>
        </w:rPr>
        <w:t xml:space="preserve">, </w:t>
      </w:r>
      <w:r>
        <w:rPr>
          <w:rFonts w:ascii="Sylfaen" w:hAnsi="Sylfaen" w:eastAsia="Sylfaen" w:cs="Sylfaen"/>
        </w:rPr>
        <w:t>ედარაჯათ</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მოსვლის</w:t>
      </w:r>
      <w:r>
        <w:rPr>
          <w:rFonts w:ascii="Times New Roman" w:hAnsi="Times New Roman" w:eastAsia="Times New Roman" w:cs="Times New Roman"/>
        </w:rPr>
        <w:t xml:space="preserve"> </w:t>
      </w:r>
      <w:r>
        <w:rPr>
          <w:rFonts w:ascii="Sylfaen" w:hAnsi="Sylfaen" w:eastAsia="Sylfaen" w:cs="Sylfaen"/>
        </w:rPr>
        <w:t>ნიშნებისთვის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გაეხარათ</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იხილავდნენ</w:t>
      </w:r>
      <w:r>
        <w:rPr>
          <w:rFonts w:ascii="Times New Roman" w:hAnsi="Times New Roman" w:eastAsia="Times New Roman" w:cs="Times New Roman"/>
        </w:rPr>
        <w:t xml:space="preserve"> </w:t>
      </w:r>
      <w:r>
        <w:rPr>
          <w:rFonts w:ascii="Sylfaen" w:hAnsi="Sylfaen" w:eastAsia="Sylfaen" w:cs="Sylfaen"/>
        </w:rPr>
        <w:t>თავიანთი</w:t>
      </w:r>
      <w:r>
        <w:rPr>
          <w:rFonts w:ascii="Times New Roman" w:hAnsi="Times New Roman" w:eastAsia="Times New Roman" w:cs="Times New Roman"/>
        </w:rPr>
        <w:t xml:space="preserve"> </w:t>
      </w:r>
      <w:r>
        <w:rPr>
          <w:rFonts w:ascii="Sylfaen" w:hAnsi="Sylfaen" w:eastAsia="Sylfaen" w:cs="Sylfaen"/>
        </w:rPr>
        <w:t>მომავალი</w:t>
      </w:r>
      <w:r>
        <w:rPr>
          <w:rFonts w:ascii="Times New Roman" w:hAnsi="Times New Roman" w:eastAsia="Times New Roman" w:cs="Times New Roman"/>
        </w:rPr>
        <w:t xml:space="preserve"> </w:t>
      </w:r>
      <w:r>
        <w:rPr>
          <w:rFonts w:ascii="Sylfaen" w:hAnsi="Sylfaen" w:eastAsia="Sylfaen" w:cs="Sylfaen"/>
        </w:rPr>
        <w:t>მეფის</w:t>
      </w:r>
      <w:r>
        <w:rPr>
          <w:rFonts w:ascii="Times New Roman" w:hAnsi="Times New Roman" w:eastAsia="Times New Roman" w:cs="Times New Roman"/>
        </w:rPr>
        <w:t xml:space="preserve"> </w:t>
      </w:r>
      <w:r>
        <w:rPr>
          <w:rFonts w:ascii="Sylfaen" w:hAnsi="Sylfaen" w:eastAsia="Sylfaen" w:cs="Sylfaen"/>
        </w:rPr>
        <w:t>ნიშანს</w:t>
      </w:r>
      <w:r>
        <w:rPr>
          <w:rFonts w:ascii="Times New Roman" w:hAnsi="Times New Roman" w:eastAsia="Times New Roman" w:cs="Times New Roman"/>
        </w:rPr>
        <w:t>. „</w:t>
      </w:r>
      <w:r>
        <w:rPr>
          <w:rFonts w:ascii="Sylfaen" w:hAnsi="Sylfaen" w:eastAsia="Sylfaen" w:cs="Sylfaen"/>
        </w:rPr>
        <w:t>როცა</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ამბები</w:t>
      </w:r>
      <w:r>
        <w:rPr>
          <w:rFonts w:ascii="Times New Roman" w:hAnsi="Times New Roman" w:eastAsia="Times New Roman" w:cs="Times New Roman"/>
        </w:rPr>
        <w:t xml:space="preserve"> </w:t>
      </w:r>
      <w:r>
        <w:rPr>
          <w:rFonts w:ascii="Sylfaen" w:hAnsi="Sylfaen" w:eastAsia="Sylfaen" w:cs="Sylfaen"/>
        </w:rPr>
        <w:t>დაიწყებს</w:t>
      </w:r>
      <w:r>
        <w:rPr>
          <w:rFonts w:ascii="Times New Roman" w:hAnsi="Times New Roman" w:eastAsia="Times New Roman" w:cs="Times New Roman"/>
        </w:rPr>
        <w:t xml:space="preserve"> </w:t>
      </w:r>
      <w:r>
        <w:rPr>
          <w:rFonts w:ascii="Sylfaen" w:hAnsi="Sylfaen" w:eastAsia="Sylfaen" w:cs="Sylfaen"/>
        </w:rPr>
        <w:t>ახდენას</w:t>
      </w:r>
      <w:r>
        <w:rPr>
          <w:rFonts w:ascii="Times New Roman" w:hAnsi="Times New Roman" w:eastAsia="Times New Roman" w:cs="Times New Roman"/>
        </w:rPr>
        <w:t xml:space="preserve">,“ </w:t>
      </w:r>
      <w:r>
        <w:rPr>
          <w:rFonts w:ascii="Sylfaen" w:hAnsi="Sylfaen" w:eastAsia="Sylfaen" w:cs="Sylfaen"/>
        </w:rPr>
        <w:t>თქვა</w:t>
      </w:r>
      <w:r>
        <w:rPr>
          <w:rFonts w:ascii="Times New Roman" w:hAnsi="Times New Roman" w:eastAsia="Times New Roman" w:cs="Times New Roman"/>
        </w:rPr>
        <w:t xml:space="preserve"> </w:t>
      </w:r>
      <w:r>
        <w:rPr>
          <w:rFonts w:ascii="Sylfaen" w:hAnsi="Sylfaen" w:eastAsia="Sylfaen" w:cs="Sylfaen"/>
        </w:rPr>
        <w:t>მან</w:t>
      </w:r>
      <w:r>
        <w:rPr>
          <w:rFonts w:ascii="Times New Roman" w:hAnsi="Times New Roman" w:eastAsia="Times New Roman" w:cs="Times New Roman"/>
        </w:rPr>
        <w:t>, „</w:t>
      </w:r>
      <w:r>
        <w:rPr>
          <w:rFonts w:ascii="Sylfaen" w:hAnsi="Sylfaen" w:eastAsia="Sylfaen" w:cs="Sylfaen"/>
        </w:rPr>
        <w:t>მაშინ</w:t>
      </w:r>
      <w:r>
        <w:rPr>
          <w:rFonts w:ascii="Times New Roman" w:hAnsi="Times New Roman" w:eastAsia="Times New Roman" w:cs="Times New Roman"/>
        </w:rPr>
        <w:t xml:space="preserve"> </w:t>
      </w:r>
      <w:r>
        <w:rPr>
          <w:rFonts w:ascii="Sylfaen" w:hAnsi="Sylfaen" w:eastAsia="Sylfaen" w:cs="Sylfaen"/>
        </w:rPr>
        <w:t>აღიმართეთ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აღაპყარით</w:t>
      </w:r>
      <w:r>
        <w:rPr>
          <w:rFonts w:ascii="Times New Roman" w:hAnsi="Times New Roman" w:eastAsia="Times New Roman" w:cs="Times New Roman"/>
        </w:rPr>
        <w:t xml:space="preserve"> </w:t>
      </w:r>
      <w:r>
        <w:rPr>
          <w:rFonts w:ascii="Sylfaen" w:hAnsi="Sylfaen" w:eastAsia="Sylfaen" w:cs="Sylfaen"/>
        </w:rPr>
        <w:t>თქვენი</w:t>
      </w:r>
      <w:r>
        <w:rPr>
          <w:rFonts w:ascii="Times New Roman" w:hAnsi="Times New Roman" w:eastAsia="Times New Roman" w:cs="Times New Roman"/>
        </w:rPr>
        <w:t xml:space="preserve"> </w:t>
      </w:r>
      <w:r>
        <w:rPr>
          <w:rFonts w:ascii="Sylfaen" w:hAnsi="Sylfaen" w:eastAsia="Sylfaen" w:cs="Sylfaen"/>
        </w:rPr>
        <w:t>თავები</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თქვენი</w:t>
      </w:r>
      <w:r>
        <w:rPr>
          <w:rFonts w:ascii="Times New Roman" w:hAnsi="Times New Roman" w:eastAsia="Times New Roman" w:cs="Times New Roman"/>
        </w:rPr>
        <w:t xml:space="preserve"> </w:t>
      </w:r>
      <w:r>
        <w:rPr>
          <w:rFonts w:ascii="Sylfaen" w:hAnsi="Sylfaen" w:eastAsia="Sylfaen" w:cs="Sylfaen"/>
        </w:rPr>
        <w:t>გამოსყიდვა</w:t>
      </w:r>
      <w:r>
        <w:rPr>
          <w:rFonts w:ascii="Times New Roman" w:hAnsi="Times New Roman" w:eastAsia="Times New Roman" w:cs="Times New Roman"/>
        </w:rPr>
        <w:t xml:space="preserve"> </w:t>
      </w:r>
      <w:r>
        <w:rPr>
          <w:rFonts w:ascii="Sylfaen" w:hAnsi="Sylfaen" w:eastAsia="Sylfaen" w:cs="Sylfaen"/>
        </w:rPr>
        <w:t>მოახლოებულია</w:t>
      </w:r>
      <w:r>
        <w:rPr>
          <w:rFonts w:ascii="Times New Roman" w:hAnsi="Times New Roman" w:eastAsia="Times New Roman" w:cs="Times New Roman"/>
        </w:rPr>
        <w:t xml:space="preserve">.“ </w:t>
      </w:r>
      <w:r>
        <w:rPr>
          <w:rFonts w:ascii="Sylfaen" w:hAnsi="Sylfaen" w:eastAsia="Sylfaen" w:cs="Sylfaen"/>
        </w:rPr>
        <w:t>მან</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მიმდევრებს</w:t>
      </w:r>
      <w:r>
        <w:rPr>
          <w:rFonts w:ascii="Times New Roman" w:hAnsi="Times New Roman" w:eastAsia="Times New Roman" w:cs="Times New Roman"/>
        </w:rPr>
        <w:t xml:space="preserve"> </w:t>
      </w:r>
      <w:r>
        <w:rPr>
          <w:rFonts w:ascii="Sylfaen" w:hAnsi="Sylfaen" w:eastAsia="Sylfaen" w:cs="Sylfaen"/>
        </w:rPr>
        <w:t>მიუთითა</w:t>
      </w:r>
      <w:r>
        <w:rPr>
          <w:rFonts w:ascii="Times New Roman" w:hAnsi="Times New Roman" w:eastAsia="Times New Roman" w:cs="Times New Roman"/>
        </w:rPr>
        <w:t xml:space="preserve"> </w:t>
      </w:r>
      <w:r>
        <w:rPr>
          <w:rFonts w:ascii="Sylfaen" w:hAnsi="Sylfaen" w:eastAsia="Sylfaen" w:cs="Sylfaen"/>
        </w:rPr>
        <w:t>გაზაფხულზე</w:t>
      </w:r>
      <w:r>
        <w:rPr>
          <w:rFonts w:ascii="Times New Roman" w:hAnsi="Times New Roman" w:eastAsia="Times New Roman" w:cs="Times New Roman"/>
        </w:rPr>
        <w:t xml:space="preserve"> </w:t>
      </w:r>
      <w:r>
        <w:rPr>
          <w:rFonts w:ascii="Sylfaen" w:hAnsi="Sylfaen" w:eastAsia="Sylfaen" w:cs="Sylfaen"/>
        </w:rPr>
        <w:t>კვირტგამოსულ</w:t>
      </w:r>
      <w:r>
        <w:rPr>
          <w:rFonts w:ascii="Times New Roman" w:hAnsi="Times New Roman" w:eastAsia="Times New Roman" w:cs="Times New Roman"/>
        </w:rPr>
        <w:t xml:space="preserve"> </w:t>
      </w:r>
      <w:r>
        <w:rPr>
          <w:rFonts w:ascii="Sylfaen" w:hAnsi="Sylfaen" w:eastAsia="Sylfaen" w:cs="Sylfaen"/>
        </w:rPr>
        <w:t>ხეებზე</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თქვა</w:t>
      </w:r>
      <w:r>
        <w:rPr>
          <w:rFonts w:ascii="Times New Roman" w:hAnsi="Times New Roman" w:eastAsia="Times New Roman" w:cs="Times New Roman"/>
        </w:rPr>
        <w:t>: „</w:t>
      </w:r>
      <w:r>
        <w:rPr>
          <w:rFonts w:ascii="Sylfaen" w:hAnsi="Sylfaen" w:eastAsia="Sylfaen" w:cs="Sylfaen"/>
        </w:rPr>
        <w:t>როცა</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უკვე</w:t>
      </w:r>
      <w:r>
        <w:rPr>
          <w:rFonts w:ascii="Times New Roman" w:hAnsi="Times New Roman" w:eastAsia="Times New Roman" w:cs="Times New Roman"/>
        </w:rPr>
        <w:t xml:space="preserve"> </w:t>
      </w:r>
      <w:r>
        <w:rPr>
          <w:rFonts w:ascii="Sylfaen" w:hAnsi="Sylfaen" w:eastAsia="Sylfaen" w:cs="Sylfaen"/>
        </w:rPr>
        <w:t>აყვავდებიან</w:t>
      </w:r>
      <w:r>
        <w:rPr>
          <w:rFonts w:ascii="Times New Roman" w:hAnsi="Times New Roman" w:eastAsia="Times New Roman" w:cs="Times New Roman"/>
        </w:rPr>
        <w:t xml:space="preserve">, </w:t>
      </w:r>
      <w:r>
        <w:rPr>
          <w:rFonts w:ascii="Sylfaen" w:hAnsi="Sylfaen" w:eastAsia="Sylfaen" w:cs="Sylfaen"/>
        </w:rPr>
        <w:t>თქვენ</w:t>
      </w:r>
      <w:r>
        <w:rPr>
          <w:rFonts w:ascii="Times New Roman" w:hAnsi="Times New Roman" w:eastAsia="Times New Roman" w:cs="Times New Roman"/>
        </w:rPr>
        <w:t xml:space="preserve"> </w:t>
      </w:r>
      <w:r>
        <w:rPr>
          <w:rFonts w:ascii="Sylfaen" w:hAnsi="Sylfaen" w:eastAsia="Sylfaen" w:cs="Sylfaen"/>
        </w:rPr>
        <w:t>ხედავთ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თვითონვე</w:t>
      </w:r>
      <w:r>
        <w:rPr>
          <w:rFonts w:ascii="Times New Roman" w:hAnsi="Times New Roman" w:eastAsia="Times New Roman" w:cs="Times New Roman"/>
        </w:rPr>
        <w:t xml:space="preserve"> </w:t>
      </w:r>
      <w:r>
        <w:rPr>
          <w:rFonts w:ascii="Sylfaen" w:hAnsi="Sylfaen" w:eastAsia="Sylfaen" w:cs="Sylfaen"/>
        </w:rPr>
        <w:t>იცით</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ზაფხული</w:t>
      </w:r>
      <w:r>
        <w:rPr>
          <w:rFonts w:ascii="Times New Roman" w:hAnsi="Times New Roman" w:eastAsia="Times New Roman" w:cs="Times New Roman"/>
        </w:rPr>
        <w:t xml:space="preserve"> </w:t>
      </w:r>
      <w:r>
        <w:rPr>
          <w:rFonts w:ascii="Sylfaen" w:hAnsi="Sylfaen" w:eastAsia="Sylfaen" w:cs="Sylfaen"/>
        </w:rPr>
        <w:t>უკვე</w:t>
      </w:r>
      <w:r>
        <w:rPr>
          <w:rFonts w:ascii="Times New Roman" w:hAnsi="Times New Roman" w:eastAsia="Times New Roman" w:cs="Times New Roman"/>
        </w:rPr>
        <w:t xml:space="preserve"> </w:t>
      </w:r>
      <w:r>
        <w:rPr>
          <w:rFonts w:ascii="Sylfaen" w:hAnsi="Sylfaen" w:eastAsia="Sylfaen" w:cs="Sylfaen"/>
        </w:rPr>
        <w:t>ახლოს</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ასევე</w:t>
      </w:r>
      <w:r>
        <w:rPr>
          <w:rFonts w:ascii="Times New Roman" w:hAnsi="Times New Roman" w:eastAsia="Times New Roman" w:cs="Times New Roman"/>
        </w:rPr>
        <w:t xml:space="preserve"> </w:t>
      </w:r>
      <w:r>
        <w:rPr>
          <w:rFonts w:ascii="Sylfaen" w:hAnsi="Sylfaen" w:eastAsia="Sylfaen" w:cs="Sylfaen"/>
        </w:rPr>
        <w:t>თქვენც</w:t>
      </w:r>
      <w:r>
        <w:rPr>
          <w:rFonts w:ascii="Times New Roman" w:hAnsi="Times New Roman" w:eastAsia="Times New Roman" w:cs="Times New Roman"/>
        </w:rPr>
        <w:t xml:space="preserve">, </w:t>
      </w:r>
      <w:r>
        <w:rPr>
          <w:rFonts w:ascii="Sylfaen" w:hAnsi="Sylfaen" w:eastAsia="Sylfaen" w:cs="Sylfaen"/>
        </w:rPr>
        <w:t>როცა</w:t>
      </w:r>
      <w:r>
        <w:rPr>
          <w:rFonts w:ascii="Times New Roman" w:hAnsi="Times New Roman" w:eastAsia="Times New Roman" w:cs="Times New Roman"/>
        </w:rPr>
        <w:t xml:space="preserve"> </w:t>
      </w:r>
      <w:r>
        <w:rPr>
          <w:rFonts w:ascii="Sylfaen" w:hAnsi="Sylfaen" w:eastAsia="Sylfaen" w:cs="Sylfaen"/>
        </w:rPr>
        <w:t>იხილავთ</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ამბები</w:t>
      </w:r>
      <w:r>
        <w:rPr>
          <w:rFonts w:ascii="Times New Roman" w:hAnsi="Times New Roman" w:eastAsia="Times New Roman" w:cs="Times New Roman"/>
        </w:rPr>
        <w:t xml:space="preserve"> </w:t>
      </w:r>
      <w:r>
        <w:rPr>
          <w:rFonts w:ascii="Sylfaen" w:hAnsi="Sylfaen" w:eastAsia="Sylfaen" w:cs="Sylfaen"/>
        </w:rPr>
        <w:t>ხდება</w:t>
      </w:r>
      <w:r>
        <w:rPr>
          <w:rFonts w:ascii="Times New Roman" w:hAnsi="Times New Roman" w:eastAsia="Times New Roman" w:cs="Times New Roman"/>
        </w:rPr>
        <w:t xml:space="preserve">, </w:t>
      </w:r>
      <w:r>
        <w:rPr>
          <w:rFonts w:ascii="Sylfaen" w:hAnsi="Sylfaen" w:eastAsia="Sylfaen" w:cs="Sylfaen"/>
        </w:rPr>
        <w:t>იცოდეთ</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სასუფეველი</w:t>
      </w:r>
      <w:r>
        <w:rPr>
          <w:rFonts w:ascii="Times New Roman" w:hAnsi="Times New Roman" w:eastAsia="Times New Roman" w:cs="Times New Roman"/>
        </w:rPr>
        <w:t xml:space="preserve"> </w:t>
      </w:r>
      <w:r>
        <w:rPr>
          <w:rFonts w:ascii="Sylfaen" w:hAnsi="Sylfaen" w:eastAsia="Sylfaen" w:cs="Sylfaen"/>
        </w:rPr>
        <w:t>ახლოს</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ლუკა</w:t>
      </w:r>
      <w:r>
        <w:rPr>
          <w:rFonts w:ascii="Times New Roman" w:hAnsi="Times New Roman" w:eastAsia="Times New Roman" w:cs="Times New Roman"/>
        </w:rPr>
        <w:t xml:space="preserve"> 21:28, 30, 31.“ </w:t>
      </w:r>
      <w:r>
        <w:rPr>
          <w:rFonts w:ascii="Sylfaen" w:hAnsi="Sylfaen" w:eastAsia="Sylfaen" w:cs="Sylfaen"/>
        </w:rPr>
        <w:t>დიადი</w:t>
      </w:r>
      <w:r>
        <w:rPr>
          <w:rFonts w:ascii="Times New Roman" w:hAnsi="Times New Roman" w:eastAsia="Times New Roman" w:cs="Times New Roman"/>
        </w:rPr>
        <w:t xml:space="preserve"> </w:t>
      </w:r>
      <w:r>
        <w:rPr>
          <w:rFonts w:ascii="Sylfaen" w:hAnsi="Sylfaen" w:eastAsia="Sylfaen" w:cs="Sylfaen"/>
        </w:rPr>
        <w:t>ბრძოლა</w:t>
      </w:r>
      <w:r>
        <w:rPr>
          <w:rFonts w:ascii="Times New Roman" w:hAnsi="Times New Roman" w:eastAsia="Times New Roman" w:cs="Times New Roman"/>
        </w:rPr>
        <w:t>, 308.</w:t>
      </w:r>
    </w:p>
    <w:p>
      <w:pPr>
        <w:pStyle w:val="ArticleBody"/>
        <w:jc w:val="left"/>
      </w:pPr>
      <w:r>
        <w:rPr>
          <w:rFonts w:ascii="Times New Roman" w:hAnsi="Times New Roman" w:eastAsia="Times New Roman" w:cs="Times New Roman"/>
        </w:rPr>
        <w:t>When the trees of Spring begin to bud out, Summer is near.</w:t>
      </w:r>
    </w:p>
    <w:p>
      <w:pPr>
        <w:pStyle w:val="ArticleScripture"/>
        <w:jc w:val="left"/>
      </w:pPr>
      <w:r>
        <w:rPr>
          <w:rFonts w:ascii="Times New Roman" w:hAnsi="Times New Roman" w:eastAsia="Times New Roman" w:cs="Times New Roman"/>
        </w:rPr>
        <w:t>Uvuno umepita, kiangazi kimekwisha, nasi hatujaokolewa. Yeremia 8:20.</w:t>
      </w:r>
    </w:p>
    <w:p>
      <w:pPr>
        <w:pStyle w:val="ArticleBody"/>
        <w:jc w:val="left"/>
      </w:pPr>
      <w:r>
        <w:rPr>
          <w:rFonts w:ascii="Times New Roman" w:hAnsi="Times New Roman" w:eastAsia="Times New Roman" w:cs="Times New Roman"/>
        </w:rPr>
        <w:t>Le bourgeonnement des arbres indique que c’est le printemps; nous savons alors que l’été est proche, et c’est en été que la moisson est rentrée.</w:t>
      </w:r>
    </w:p>
    <w:p>
      <w:pPr>
        <w:pStyle w:val="ArticleScripture"/>
        <w:jc w:val="left"/>
      </w:pPr>
      <w:r>
        <w:rPr>
          <w:rFonts w:ascii="Leelawadee UI" w:hAnsi="Leelawadee UI" w:eastAsia="Leelawadee UI" w:cs="Leelawadee UI"/>
        </w:rPr>
        <w:t>អត់សត្រូវដែលបានព្រោះពួកវាគឺអារក្ស</w:t>
      </w:r>
      <w:r>
        <w:rPr>
          <w:rFonts w:ascii="Times New Roman" w:hAnsi="Times New Roman" w:eastAsia="Times New Roman" w:cs="Times New Roman"/>
        </w:rPr>
        <w:t xml:space="preserve">; </w:t>
      </w:r>
      <w:r>
        <w:rPr>
          <w:rFonts w:ascii="Leelawadee UI" w:hAnsi="Leelawadee UI" w:eastAsia="Leelawadee UI" w:cs="Leelawadee UI"/>
        </w:rPr>
        <w:t>រដូវច្រូតគឺជាទីបញ្ចប់នៃលោកិយ</w:t>
      </w:r>
      <w:r>
        <w:rPr>
          <w:rFonts w:ascii="Times New Roman" w:hAnsi="Times New Roman" w:eastAsia="Times New Roman" w:cs="Times New Roman"/>
        </w:rPr>
        <w:t xml:space="preserve">; </w:t>
      </w:r>
      <w:r>
        <w:rPr>
          <w:rFonts w:ascii="Leelawadee UI" w:hAnsi="Leelawadee UI" w:eastAsia="Leelawadee UI" w:cs="Leelawadee UI"/>
        </w:rPr>
        <w:t>ហើយអ្នកច្រូតគឺពួកទេវតា។</w:t>
      </w:r>
      <w:r>
        <w:rPr>
          <w:rFonts w:ascii="Times New Roman" w:hAnsi="Times New Roman" w:eastAsia="Times New Roman" w:cs="Times New Roman"/>
        </w:rPr>
        <w:t xml:space="preserve"> </w:t>
      </w:r>
      <w:r>
        <w:rPr>
          <w:rFonts w:ascii="Leelawadee UI" w:hAnsi="Leelawadee UI" w:eastAsia="Leelawadee UI" w:cs="Leelawadee UI"/>
        </w:rPr>
        <w:t>ម៉ាថាយ</w:t>
      </w:r>
      <w:r>
        <w:rPr>
          <w:rFonts w:ascii="Times New Roman" w:hAnsi="Times New Roman" w:eastAsia="Times New Roman" w:cs="Times New Roman"/>
        </w:rPr>
        <w:t xml:space="preserve"> 13:39</w:t>
      </w:r>
      <w:r>
        <w:rPr>
          <w:rFonts w:ascii="Leelawadee UI" w:hAnsi="Leelawadee UI" w:eastAsia="Leelawadee UI" w:cs="Leelawadee UI"/>
        </w:rPr>
        <w:t>។</w:t>
      </w:r>
    </w:p>
    <w:p>
      <w:pPr>
        <w:pStyle w:val="ArticleBody"/>
        <w:jc w:val="left"/>
      </w:pPr>
      <w:r>
        <w:rPr>
          <w:rFonts w:ascii="Times New Roman" w:hAnsi="Times New Roman" w:eastAsia="Times New Roman" w:cs="Times New Roman"/>
        </w:rPr>
        <w:t>La moisson a lieu à la fin du monde. Lorsque les arbres commencent à bourgeonner, vous devez savoir que la fin du monde est imminente.</w:t>
      </w:r>
    </w:p>
    <w:p>
      <w:pPr>
        <w:pStyle w:val="ArticleScripture"/>
        <w:jc w:val="left"/>
      </w:pPr>
      <w:r>
        <w:rPr>
          <w:rFonts w:ascii="Times New Roman" w:hAnsi="Times New Roman" w:eastAsia="Times New Roman" w:cs="Times New Roman"/>
        </w:rPr>
        <w:t>« Une parole du Sauveur ne doit pas être utilisée pour en détruire une autre. Bien que nul ne connaisse ni le jour ni l’heure de son avènement, il nous est enseigné, et il nous est demandé, de savoir quand il est proche. Il nous est en outre enseigné que mépriser son avertissement, et refuser ou négliger de savoir quand son avènement est proche, sera pour nous aussi fatal que ce le fut pour ceux qui vivaient aux jours de Noé de ne pas savoir quand le déluge allait venir. » The Great Controversy, 371.</w:t>
      </w:r>
    </w:p>
    <w:p>
      <w:pPr>
        <w:pStyle w:val="ArticleBody"/>
        <w:jc w:val="left"/>
      </w:pPr>
      <w:r>
        <w:rPr>
          <w:rFonts w:ascii="Times New Roman" w:hAnsi="Times New Roman" w:eastAsia="Times New Roman" w:cs="Times New Roman"/>
        </w:rPr>
        <w:t>Gelecek makalede Luka yirmi birinci bölüm üzerindeki incelememize devam edeceğiz.</w:t>
      </w:r>
    </w:p>
    <w:p>
      <w:pPr>
        <w:pStyle w:val="ArticleScripture"/>
        <w:jc w:val="left"/>
      </w:pPr>
      <w:r>
        <w:rPr>
          <w:rFonts w:ascii="Times New Roman" w:hAnsi="Times New Roman" w:eastAsia="Times New Roman" w:cs="Times New Roman"/>
        </w:rPr>
        <w:t>“Naona kwamba mamlaka za dunia sasa zinatikiswa na kwamba matukio yanakuja kwa mpangilio. Vita, na habari za vita, upanga, njaa, na tauni ndiyo ya kwanza kuitikisa mamlaka ya dunia; kisha sauti ya Mungu itatikisa jua, mwezi, na nyota, na dunia hii pia. Nikaona kwamba kutikiswa kwa mamlaka katika Ulaya siyo, kama wengine wanavyofundisha, kutikiswa kwa mamlaka za mbingu, bali ni kutikiswa kwa mataifa yenye ghadhabu.”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vingt</dc:title>
  <dc:subject>Odhalování prorockých znamení: Porozumění naplnění biblických proroctví</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