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vingt et un</w:t>
      </w:r>
    </w:p>
    <w:p>
      <w:pPr>
        <w:pStyle w:val="ArticleSubtitle"/>
        <w:jc w:val="left"/>
      </w:pPr>
      <w:r>
        <w:rPr>
          <w:rFonts w:ascii="Segoe UI" w:hAnsi="Segoe UI" w:eastAsia="Segoe UI" w:cs="Segoe UI"/>
        </w:rPr>
        <w:t>فهم</w:t>
      </w:r>
      <w:r>
        <w:rPr>
          <w:rFonts w:ascii="Arial" w:hAnsi="Arial" w:eastAsia="Arial" w:cs="Arial"/>
        </w:rPr>
        <w:t xml:space="preserve"> </w:t>
      </w:r>
      <w:r>
        <w:rPr>
          <w:rFonts w:ascii="Segoe UI" w:hAnsi="Segoe UI" w:eastAsia="Segoe UI" w:cs="Segoe UI"/>
        </w:rPr>
        <w:t>علامات</w:t>
      </w:r>
      <w:r>
        <w:rPr>
          <w:rFonts w:ascii="Arial" w:hAnsi="Arial" w:eastAsia="Arial" w:cs="Arial"/>
        </w:rPr>
        <w:t xml:space="preserve"> </w:t>
      </w:r>
      <w:r>
        <w:rPr>
          <w:rFonts w:ascii="Segoe UI" w:hAnsi="Segoe UI" w:eastAsia="Segoe UI" w:cs="Segoe UI"/>
        </w:rPr>
        <w:t>الأيام</w:t>
      </w:r>
      <w:r>
        <w:rPr>
          <w:rFonts w:ascii="Arial" w:hAnsi="Arial" w:eastAsia="Arial" w:cs="Arial"/>
        </w:rPr>
        <w:t xml:space="preserve"> </w:t>
      </w:r>
      <w:r>
        <w:rPr>
          <w:rFonts w:ascii="Segoe UI" w:hAnsi="Segoe UI" w:eastAsia="Segoe UI" w:cs="Segoe UI"/>
        </w:rPr>
        <w:t>الأخيرة</w:t>
      </w:r>
      <w:r>
        <w:rPr>
          <w:rFonts w:ascii="Arial" w:hAnsi="Arial" w:eastAsia="Arial" w:cs="Arial"/>
        </w:rPr>
        <w:t xml:space="preserve">: </w:t>
      </w:r>
      <w:r>
        <w:rPr>
          <w:rFonts w:ascii="Segoe UI" w:hAnsi="Segoe UI" w:eastAsia="Segoe UI" w:cs="Segoe UI"/>
        </w:rPr>
        <w:t>إدراك</w:t>
      </w:r>
      <w:r>
        <w:rPr>
          <w:rFonts w:ascii="Arial" w:hAnsi="Arial" w:eastAsia="Arial" w:cs="Arial"/>
        </w:rPr>
        <w:t xml:space="preserve"> </w:t>
      </w:r>
      <w:r>
        <w:rPr>
          <w:rFonts w:ascii="Segoe UI" w:hAnsi="Segoe UI" w:eastAsia="Segoe UI" w:cs="Segoe UI"/>
        </w:rPr>
        <w:t>إشارات</w:t>
      </w:r>
      <w:r>
        <w:rPr>
          <w:rFonts w:ascii="Arial" w:hAnsi="Arial" w:eastAsia="Arial" w:cs="Arial"/>
        </w:rPr>
        <w:t xml:space="preserve"> </w:t>
      </w:r>
      <w:r>
        <w:rPr>
          <w:rFonts w:ascii="Segoe UI" w:hAnsi="Segoe UI" w:eastAsia="Segoe UI" w:cs="Segoe UI"/>
        </w:rPr>
        <w:t>المسيح</w:t>
      </w:r>
      <w:r>
        <w:rPr>
          <w:rFonts w:ascii="Arial" w:hAnsi="Arial" w:eastAsia="Arial" w:cs="Arial"/>
        </w:rPr>
        <w:t xml:space="preserve"> </w:t>
      </w:r>
      <w:r>
        <w:rPr>
          <w:rFonts w:ascii="Segoe UI" w:hAnsi="Segoe UI" w:eastAsia="Segoe UI" w:cs="Segoe UI"/>
        </w:rPr>
        <w:t>إلى</w:t>
      </w:r>
      <w:r>
        <w:rPr>
          <w:rFonts w:ascii="Arial" w:hAnsi="Arial" w:eastAsia="Arial" w:cs="Arial"/>
        </w:rPr>
        <w:t xml:space="preserve"> </w:t>
      </w:r>
      <w:r>
        <w:rPr>
          <w:rFonts w:ascii="Segoe UI" w:hAnsi="Segoe UI" w:eastAsia="Segoe UI" w:cs="Segoe UI"/>
        </w:rPr>
        <w:t>الأشجار</w:t>
      </w:r>
      <w:r>
        <w:rPr>
          <w:rFonts w:ascii="Arial" w:hAnsi="Arial" w:eastAsia="Arial" w:cs="Arial"/>
        </w:rPr>
        <w:t xml:space="preserve"> </w:t>
      </w:r>
      <w:r>
        <w:rPr>
          <w:rFonts w:ascii="Segoe UI" w:hAnsi="Segoe UI" w:eastAsia="Segoe UI" w:cs="Segoe UI"/>
        </w:rPr>
        <w:t>المتبرعمة</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الربيع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Krist te wijst Zijn volk op de ontluikende bomen van de lente, opdat zij de “tekenen” en de betekenis van de “tekenen” van de laatste dagen zouden begrijpen.</w:t>
      </w:r>
    </w:p>
    <w:p>
      <w:pPr>
        <w:pStyle w:val="ArticleScripture"/>
        <w:jc w:val="left"/>
      </w:pPr>
      <w:r>
        <w:rPr>
          <w:rFonts w:ascii="Times New Roman" w:hAnsi="Times New Roman" w:eastAsia="Times New Roman" w:cs="Times New Roman"/>
        </w:rPr>
        <w:t>«Քրիստոսը պատվիրել էր Իր ժողովրդին հսկել Իր գալստյան նշաններին և ցնծալ, երբ պիտի տեսնեին իրենց եկող Թագավորի նշանները։ «Երբ այս բաները սկսեն կատարվել,— ասաց Նա,— այն ժամանակ վեր նայեցե՛ք և ձեր գլուխները բարձրացրե՛ք, որովհետև ձեր փրկությունը մոտեցել է»։ Նա Իր հետևորդների ուշադրությունը դարձրեց գարնան բողբոջող ծառերին և ասաց. «Երբ դրանք այժմ ընձյուղեն, դուք ինքներդ տեսնում և իմանում եք, որ ամառը արդեն մոտ է։ Նույնպես և դուք, երբ տեսնեք, որ այս բաները կատարվում են, իմացե՛ք, որ Աստծո արքայությունը մոտ է»։ Ղուկաս 21:28, 30, 31»։ Մեծ պայքարը, 308։</w:t>
      </w:r>
    </w:p>
    <w:p>
      <w:pPr>
        <w:pStyle w:val="ArticleBody"/>
        <w:jc w:val="left"/>
      </w:pPr>
      <w:r>
        <w:rPr>
          <w:rFonts w:ascii="Times New Roman" w:hAnsi="Times New Roman" w:eastAsia="Times New Roman" w:cs="Times New Roman"/>
        </w:rPr>
        <w:t>“</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දවස්වල</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චලනය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කරවූ</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පූර්වරූපිත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ස්වර්ගයන්ගේ</w:t>
      </w:r>
      <w:r>
        <w:rPr>
          <w:rFonts w:ascii="Times New Roman" w:hAnsi="Times New Roman" w:eastAsia="Times New Roman" w:cs="Times New Roman"/>
        </w:rPr>
        <w:t xml:space="preserve"> </w:t>
      </w:r>
      <w:r>
        <w:rPr>
          <w:rFonts w:ascii="Nirmala UI" w:hAnsi="Nirmala UI" w:eastAsia="Nirmala UI" w:cs="Nirmala UI"/>
        </w:rPr>
        <w:t>කම්පා</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යෝවෙල්</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දෙන්නේ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දවස්වල</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දවස්වල</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රායෙල්ගේ</w:t>
      </w:r>
      <w:r>
        <w:rPr>
          <w:rFonts w:ascii="Times New Roman" w:hAnsi="Times New Roman" w:eastAsia="Times New Roman" w:cs="Times New Roman"/>
        </w:rPr>
        <w:t xml:space="preserve"> </w:t>
      </w:r>
      <w:r>
        <w:rPr>
          <w:rFonts w:ascii="Nirmala UI" w:hAnsi="Nirmala UI" w:eastAsia="Nirmala UI" w:cs="Nirmala UI"/>
        </w:rPr>
        <w:t>අපරාධය</w:t>
      </w:r>
      <w:r>
        <w:rPr>
          <w:rFonts w:ascii="Times New Roman" w:hAnsi="Times New Roman" w:eastAsia="Times New Roman" w:cs="Times New Roman"/>
        </w:rPr>
        <w:t xml:space="preserve"> </w:t>
      </w:r>
      <w:r>
        <w:rPr>
          <w:rFonts w:ascii="Nirmala UI" w:hAnsi="Nirmala UI" w:eastAsia="Nirmala UI" w:cs="Nirmala UI"/>
        </w:rPr>
        <w:t>සොයනු</w:t>
      </w:r>
      <w:r>
        <w:rPr>
          <w:rFonts w:ascii="Times New Roman" w:hAnsi="Times New Roman" w:eastAsia="Times New Roman" w:cs="Times New Roman"/>
        </w:rPr>
        <w:t xml:space="preserve"> </w:t>
      </w:r>
      <w:r>
        <w:rPr>
          <w:rFonts w:ascii="Nirmala UI" w:hAnsi="Nirmala UI" w:eastAsia="Nirmala UI" w:cs="Nirmala UI"/>
        </w:rPr>
        <w:t>ලැබුවද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නොලැබෙන</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කන්ද</w:t>
      </w:r>
      <w:r>
        <w:rPr>
          <w:rFonts w:ascii="Times New Roman" w:hAnsi="Times New Roman" w:eastAsia="Times New Roman" w:cs="Times New Roman"/>
        </w:rPr>
        <w:t xml:space="preserve"> </w:t>
      </w:r>
      <w:r>
        <w:rPr>
          <w:rFonts w:ascii="Nirmala UI" w:hAnsi="Nirmala UI" w:eastAsia="Nirmala UI" w:cs="Nirmala UI"/>
        </w:rPr>
        <w:t>සදාකාලයට</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ආගන්තුකයෝ</w:t>
      </w:r>
      <w:r>
        <w:rPr>
          <w:rFonts w:ascii="Times New Roman" w:hAnsi="Times New Roman" w:eastAsia="Times New Roman" w:cs="Times New Roman"/>
        </w:rPr>
        <w:t xml:space="preserve"> </w:t>
      </w:r>
      <w:r>
        <w:rPr>
          <w:rFonts w:ascii="Nirmala UI" w:hAnsi="Nirmala UI" w:eastAsia="Nirmala UI" w:cs="Nirmala UI"/>
        </w:rPr>
        <w:t>තවදුරටත්</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කලෙකත්</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තුළින්</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නොකරන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බලයන්ගේ</w:t>
      </w:r>
      <w:r>
        <w:rPr>
          <w:rFonts w:ascii="Times New Roman" w:hAnsi="Times New Roman" w:eastAsia="Times New Roman" w:cs="Times New Roman"/>
        </w:rPr>
        <w:t xml:space="preserve"> </w:t>
      </w:r>
      <w:r>
        <w:rPr>
          <w:rFonts w:ascii="Nirmala UI" w:hAnsi="Nirmala UI" w:eastAsia="Nirmala UI" w:cs="Nirmala UI"/>
        </w:rPr>
        <w:t>කම්පා</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පෘථිවියේ</w:t>
      </w:r>
      <w:r>
        <w:rPr>
          <w:rFonts w:ascii="Times New Roman" w:hAnsi="Times New Roman" w:eastAsia="Times New Roman" w:cs="Times New Roman"/>
        </w:rPr>
        <w:t xml:space="preserve"> </w:t>
      </w:r>
      <w:r>
        <w:rPr>
          <w:rFonts w:ascii="Nirmala UI" w:hAnsi="Nirmala UI" w:eastAsia="Nirmala UI" w:cs="Nirmala UI"/>
        </w:rPr>
        <w:t>බලයන්ගේ</w:t>
      </w:r>
      <w:r>
        <w:rPr>
          <w:rFonts w:ascii="Times New Roman" w:hAnsi="Times New Roman" w:eastAsia="Times New Roman" w:cs="Times New Roman"/>
        </w:rPr>
        <w:t xml:space="preserve"> </w:t>
      </w:r>
      <w:r>
        <w:rPr>
          <w:rFonts w:ascii="Nirmala UI" w:hAnsi="Nirmala UI" w:eastAsia="Nirmala UI" w:cs="Nirmala UI"/>
        </w:rPr>
        <w:t>කම්පා</w:t>
      </w:r>
      <w:r>
        <w:rPr>
          <w:rFonts w:ascii="Times New Roman" w:hAnsi="Times New Roman" w:eastAsia="Times New Roman" w:cs="Times New Roman"/>
        </w:rPr>
        <w:t xml:space="preserve"> </w:t>
      </w:r>
      <w:r>
        <w:rPr>
          <w:rFonts w:ascii="Nirmala UI" w:hAnsi="Nirmala UI" w:eastAsia="Nirmala UI" w:cs="Nirmala UI"/>
        </w:rPr>
        <w:t>වීමද</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බවය</w:t>
      </w:r>
      <w:r>
        <w:rPr>
          <w:rFonts w:ascii="Times New Roman" w:hAnsi="Times New Roman" w:eastAsia="Times New Roman" w:cs="Times New Roman"/>
        </w:rPr>
        <w:t xml:space="preserve">. </w:t>
      </w:r>
      <w:r>
        <w:rPr>
          <w:rFonts w:ascii="Nirmala UI" w:hAnsi="Nirmala UI" w:eastAsia="Nirmala UI" w:cs="Nirmala UI"/>
        </w:rPr>
        <w:t>සොහොයුරිය</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බලයන්ගේ</w:t>
      </w:r>
      <w:r>
        <w:rPr>
          <w:rFonts w:ascii="Times New Roman" w:hAnsi="Times New Roman" w:eastAsia="Times New Roman" w:cs="Times New Roman"/>
        </w:rPr>
        <w:t xml:space="preserve"> </w:t>
      </w:r>
      <w:r>
        <w:rPr>
          <w:rFonts w:ascii="Nirmala UI" w:hAnsi="Nirmala UI" w:eastAsia="Nirmala UI" w:cs="Nirmala UI"/>
        </w:rPr>
        <w:t>කම්පා</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පෘථිවියේ</w:t>
      </w:r>
      <w:r>
        <w:rPr>
          <w:rFonts w:ascii="Times New Roman" w:hAnsi="Times New Roman" w:eastAsia="Times New Roman" w:cs="Times New Roman"/>
        </w:rPr>
        <w:t xml:space="preserve"> </w:t>
      </w:r>
      <w:r>
        <w:rPr>
          <w:rFonts w:ascii="Nirmala UI" w:hAnsi="Nirmala UI" w:eastAsia="Nirmala UI" w:cs="Nirmala UI"/>
        </w:rPr>
        <w:t>බලයන්ගේ</w:t>
      </w:r>
      <w:r>
        <w:rPr>
          <w:rFonts w:ascii="Times New Roman" w:hAnsi="Times New Roman" w:eastAsia="Times New Roman" w:cs="Times New Roman"/>
        </w:rPr>
        <w:t xml:space="preserve"> </w:t>
      </w:r>
      <w:r>
        <w:rPr>
          <w:rFonts w:ascii="Nirmala UI" w:hAnsi="Nirmala UI" w:eastAsia="Nirmala UI" w:cs="Nirmala UI"/>
        </w:rPr>
        <w:t>කම්පා</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වෙනස</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 16 décembre 1848, le Seigneur me donna une vision de l’ébranlement des puissances des cieux. Je vis que, lorsque le Seigneur disait “ciel”, en donnant les signes rapportés par Matthieu, Marc et Luc, Il entendait le ciel, et lorsqu’Il disait “terre”, Il entendait la terre. Les puissances du ciel sont le soleil, la lune et les étoiles. Elles dominent dans les cieux. Les puissances de la terre sont celles qui dominent sur la terre. Les puissances des cieux seront ébranlées à la voix de Dieu. Alors le soleil, la lune et les étoiles seront déplacés de leurs places. Ils ne disparaîtront pas, mais seront ébranlés par la voix de Dieu.</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អព្ទខ្មៅក្រាស់ធ្ងន់ៗបានឡើងមក</w:t>
      </w:r>
      <w:r>
        <w:rPr>
          <w:rFonts w:ascii="Times New Roman" w:hAnsi="Times New Roman" w:eastAsia="Times New Roman" w:cs="Times New Roman"/>
        </w:rPr>
        <w:t xml:space="preserve"> </w:t>
      </w:r>
      <w:r>
        <w:rPr>
          <w:rFonts w:ascii="Leelawadee UI" w:hAnsi="Leelawadee UI" w:eastAsia="Leelawadee UI" w:cs="Leelawadee UI"/>
        </w:rPr>
        <w:t>ហើយបុកទង្គិចគ្នា។</w:t>
      </w:r>
      <w:r>
        <w:rPr>
          <w:rFonts w:ascii="Times New Roman" w:hAnsi="Times New Roman" w:eastAsia="Times New Roman" w:cs="Times New Roman"/>
        </w:rPr>
        <w:t xml:space="preserve"> </w:t>
      </w:r>
      <w:r>
        <w:rPr>
          <w:rFonts w:ascii="Leelawadee UI" w:hAnsi="Leelawadee UI" w:eastAsia="Leelawadee UI" w:cs="Leelawadee UI"/>
        </w:rPr>
        <w:t>បរិយាកាសបានបែកចេញ</w:t>
      </w:r>
      <w:r>
        <w:rPr>
          <w:rFonts w:ascii="Times New Roman" w:hAnsi="Times New Roman" w:eastAsia="Times New Roman" w:cs="Times New Roman"/>
        </w:rPr>
        <w:t xml:space="preserve"> </w:t>
      </w:r>
      <w:r>
        <w:rPr>
          <w:rFonts w:ascii="Leelawadee UI" w:hAnsi="Leelawadee UI" w:eastAsia="Leelawadee UI" w:cs="Leelawadee UI"/>
        </w:rPr>
        <w:t>ហើយរមៀលថយក្រោយ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យើងអាចមើលឡើងទៅតាមចន្លោះបើកចំហក្នុង</w:t>
      </w:r>
      <w:r>
        <w:rPr>
          <w:rFonts w:ascii="Times New Roman" w:hAnsi="Times New Roman" w:eastAsia="Times New Roman" w:cs="Times New Roman"/>
        </w:rPr>
        <w:t xml:space="preserve"> Orion </w:t>
      </w:r>
      <w:r>
        <w:rPr>
          <w:rFonts w:ascii="Leelawadee UI" w:hAnsi="Leelawadee UI" w:eastAsia="Leelawadee UI" w:cs="Leelawadee UI"/>
        </w:rPr>
        <w:t>ដែលជាទីកន្លែងដែលសំឡេងរបស់ព្រះបានចេញមក។</w:t>
      </w:r>
      <w:r>
        <w:rPr>
          <w:rFonts w:ascii="Times New Roman" w:hAnsi="Times New Roman" w:eastAsia="Times New Roman" w:cs="Times New Roman"/>
        </w:rPr>
        <w:t xml:space="preserve"> </w:t>
      </w:r>
      <w:r>
        <w:rPr>
          <w:rFonts w:ascii="Leelawadee UI" w:hAnsi="Leelawadee UI" w:eastAsia="Leelawadee UI" w:cs="Leelawadee UI"/>
        </w:rPr>
        <w:t>ទីក្រុងបរិសុទ្ធនឹងចុះមកតាមចន្លោះបើកចំហនោះ។</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អំណាចទាំងឡាយនៃផែនដីឥឡូវនេះកំពុងត្រូវបានកក្រើក</w:t>
      </w:r>
      <w:r>
        <w:rPr>
          <w:rFonts w:ascii="Times New Roman" w:hAnsi="Times New Roman" w:eastAsia="Times New Roman" w:cs="Times New Roman"/>
        </w:rPr>
        <w:t xml:space="preserve"> </w:t>
      </w:r>
      <w:r>
        <w:rPr>
          <w:rFonts w:ascii="Leelawadee UI" w:hAnsi="Leelawadee UI" w:eastAsia="Leelawadee UI" w:cs="Leelawadee UI"/>
        </w:rPr>
        <w:t>ហើយព្រឹត្តិការណ៍ទាំងឡាយកើតឡើងតាមលំដាប់។</w:t>
      </w:r>
      <w:r>
        <w:rPr>
          <w:rFonts w:ascii="Times New Roman" w:hAnsi="Times New Roman" w:eastAsia="Times New Roman" w:cs="Times New Roman"/>
        </w:rPr>
        <w:t xml:space="preserve"> </w:t>
      </w:r>
      <w:r>
        <w:rPr>
          <w:rFonts w:ascii="Leelawadee UI" w:hAnsi="Leelawadee UI" w:eastAsia="Leelawadee UI" w:cs="Leelawadee UI"/>
        </w:rPr>
        <w:t>សង្គ្រាម</w:t>
      </w:r>
      <w:r>
        <w:rPr>
          <w:rFonts w:ascii="Times New Roman" w:hAnsi="Times New Roman" w:eastAsia="Times New Roman" w:cs="Times New Roman"/>
        </w:rPr>
        <w:t xml:space="preserve"> </w:t>
      </w:r>
      <w:r>
        <w:rPr>
          <w:rFonts w:ascii="Leelawadee UI" w:hAnsi="Leelawadee UI" w:eastAsia="Leelawadee UI" w:cs="Leelawadee UI"/>
        </w:rPr>
        <w:t>និងពាក្យចចាមអារ៉ាមអំពីសង្គ្រាម</w:t>
      </w:r>
      <w:r>
        <w:rPr>
          <w:rFonts w:ascii="Times New Roman" w:hAnsi="Times New Roman" w:eastAsia="Times New Roman" w:cs="Times New Roman"/>
        </w:rPr>
        <w:t xml:space="preserve"> </w:t>
      </w:r>
      <w:r>
        <w:rPr>
          <w:rFonts w:ascii="Leelawadee UI" w:hAnsi="Leelawadee UI" w:eastAsia="Leelawadee UI" w:cs="Leelawadee UI"/>
        </w:rPr>
        <w:t>ដាវ</w:t>
      </w:r>
      <w:r>
        <w:rPr>
          <w:rFonts w:ascii="Times New Roman" w:hAnsi="Times New Roman" w:eastAsia="Times New Roman" w:cs="Times New Roman"/>
        </w:rPr>
        <w:t xml:space="preserve"> </w:t>
      </w:r>
      <w:r>
        <w:rPr>
          <w:rFonts w:ascii="Leelawadee UI" w:hAnsi="Leelawadee UI" w:eastAsia="Leelawadee UI" w:cs="Leelawadee UI"/>
        </w:rPr>
        <w:t>ទុរ្ភិក្ស</w:t>
      </w:r>
      <w:r>
        <w:rPr>
          <w:rFonts w:ascii="Times New Roman" w:hAnsi="Times New Roman" w:eastAsia="Times New Roman" w:cs="Times New Roman"/>
        </w:rPr>
        <w:t xml:space="preserve"> </w:t>
      </w:r>
      <w:r>
        <w:rPr>
          <w:rFonts w:ascii="Leelawadee UI" w:hAnsi="Leelawadee UI" w:eastAsia="Leelawadee UI" w:cs="Leelawadee UI"/>
        </w:rPr>
        <w:t>និងរោគរាតត្បាត</w:t>
      </w:r>
      <w:r>
        <w:rPr>
          <w:rFonts w:ascii="Times New Roman" w:hAnsi="Times New Roman" w:eastAsia="Times New Roman" w:cs="Times New Roman"/>
        </w:rPr>
        <w:t xml:space="preserve"> </w:t>
      </w:r>
      <w:r>
        <w:rPr>
          <w:rFonts w:ascii="Leelawadee UI" w:hAnsi="Leelawadee UI" w:eastAsia="Leelawadee UI" w:cs="Leelawadee UI"/>
        </w:rPr>
        <w:t>ជាដំបូងនឹងកក្រើកអំណាចទាំងឡាយនៃផែនដី</w:t>
      </w:r>
      <w:r>
        <w:rPr>
          <w:rFonts w:ascii="Times New Roman" w:hAnsi="Times New Roman" w:eastAsia="Times New Roman" w:cs="Times New Roman"/>
        </w:rPr>
        <w:t xml:space="preserve"> </w:t>
      </w:r>
      <w:r>
        <w:rPr>
          <w:rFonts w:ascii="Leelawadee UI" w:hAnsi="Leelawadee UI" w:eastAsia="Leelawadee UI" w:cs="Leelawadee UI"/>
        </w:rPr>
        <w:t>បន្ទាប់មកសំឡេងរបស់ព្រះនឹងកក្រើកព្រះអាទិត្យ</w:t>
      </w:r>
      <w:r>
        <w:rPr>
          <w:rFonts w:ascii="Times New Roman" w:hAnsi="Times New Roman" w:eastAsia="Times New Roman" w:cs="Times New Roman"/>
        </w:rPr>
        <w:t xml:space="preserve"> </w:t>
      </w:r>
      <w:r>
        <w:rPr>
          <w:rFonts w:ascii="Leelawadee UI" w:hAnsi="Leelawadee UI" w:eastAsia="Leelawadee UI" w:cs="Leelawadee UI"/>
        </w:rPr>
        <w:t>ព្រះចន្ទ</w:t>
      </w:r>
      <w:r>
        <w:rPr>
          <w:rFonts w:ascii="Times New Roman" w:hAnsi="Times New Roman" w:eastAsia="Times New Roman" w:cs="Times New Roman"/>
        </w:rPr>
        <w:t xml:space="preserve"> </w:t>
      </w:r>
      <w:r>
        <w:rPr>
          <w:rFonts w:ascii="Leelawadee UI" w:hAnsi="Leelawadee UI" w:eastAsia="Leelawadee UI" w:cs="Leelawadee UI"/>
        </w:rPr>
        <w:t>និងផ្កាយទាំងឡាយ</w:t>
      </w:r>
      <w:r>
        <w:rPr>
          <w:rFonts w:ascii="Times New Roman" w:hAnsi="Times New Roman" w:eastAsia="Times New Roman" w:cs="Times New Roman"/>
        </w:rPr>
        <w:t xml:space="preserve"> </w:t>
      </w:r>
      <w:r>
        <w:rPr>
          <w:rFonts w:ascii="Leelawadee UI" w:hAnsi="Leelawadee UI" w:eastAsia="Leelawadee UI" w:cs="Leelawadee UI"/>
        </w:rPr>
        <w:t>ហើយផែនដីនេះផងដែរ។</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ការកក្រើកនៃអំណាចទាំងឡាយនៅអឺរ៉ុប</w:t>
      </w:r>
      <w:r>
        <w:rPr>
          <w:rFonts w:ascii="Times New Roman" w:hAnsi="Times New Roman" w:eastAsia="Times New Roman" w:cs="Times New Roman"/>
        </w:rPr>
        <w:t xml:space="preserve"> </w:t>
      </w:r>
      <w:r>
        <w:rPr>
          <w:rFonts w:ascii="Leelawadee UI" w:hAnsi="Leelawadee UI" w:eastAsia="Leelawadee UI" w:cs="Leelawadee UI"/>
        </w:rPr>
        <w:t>មិនមែនដូចដែលអ្នកខ្លះបង្រៀនថា</w:t>
      </w:r>
      <w:r>
        <w:rPr>
          <w:rFonts w:ascii="Times New Roman" w:hAnsi="Times New Roman" w:eastAsia="Times New Roman" w:cs="Times New Roman"/>
        </w:rPr>
        <w:t xml:space="preserve"> </w:t>
      </w:r>
      <w:r>
        <w:rPr>
          <w:rFonts w:ascii="Leelawadee UI" w:hAnsi="Leelawadee UI" w:eastAsia="Leelawadee UI" w:cs="Leelawadee UI"/>
        </w:rPr>
        <w:t>ជាការកក្រើកនៃអំណាចទាំងឡាយនៃស្ថានសួគ៌ទេ</w:t>
      </w:r>
      <w:r>
        <w:rPr>
          <w:rFonts w:ascii="Times New Roman" w:hAnsi="Times New Roman" w:eastAsia="Times New Roman" w:cs="Times New Roman"/>
        </w:rPr>
        <w:t xml:space="preserve"> </w:t>
      </w:r>
      <w:r>
        <w:rPr>
          <w:rFonts w:ascii="Leelawadee UI" w:hAnsi="Leelawadee UI" w:eastAsia="Leelawadee UI" w:cs="Leelawadee UI"/>
        </w:rPr>
        <w:t>ប៉ុន្តែវាជាការកក្រើកនៃប្រជាជាតិទាំងឡាយដែលកំពុងខឹងក្រោធ។</w:t>
      </w:r>
      <w:r>
        <w:rPr>
          <w:rFonts w:ascii="Times New Roman" w:hAnsi="Times New Roman" w:eastAsia="Times New Roman" w:cs="Times New Roman"/>
        </w:rPr>
        <w:t>» Early Writings, 41.</w:t>
      </w:r>
    </w:p>
    <w:p>
      <w:pPr>
        <w:pStyle w:val="ArticleBody"/>
        <w:jc w:val="left"/>
      </w:pPr>
      <w:r>
        <w:rPr>
          <w:rFonts w:ascii="Times New Roman" w:hAnsi="Times New Roman" w:eastAsia="Times New Roman" w:cs="Times New Roman"/>
        </w:rPr>
        <w:t>En Matthieu, Marc et Luc, l’ébranlement des cieux représente l’ébranlement des puissances qui gouvernent les cieux, telles qu’elles sont représentées par le soleil, la lune et les étoiles. Toutes ces puissances célestes furent ébranlées et produisirent les « signes », qui introduisirent et annoncèrent le mouvement du premier ange. Ces puissances célestes seront de nouveau ébranlées durant le mouvement du troisième ange. Mais, dans le mouvement du troisième ange, les puissances de la terre seront également ébranlées. Les puissances de la terre sont les puissances qui gouvernent la terre. Le 11 septembre 2001, ce furent les puissances de la terre, et non celles du ciel, qui furent ébranlées.</w:t>
      </w:r>
    </w:p>
    <w:p>
      <w:pPr>
        <w:pStyle w:val="ArticleScripture"/>
        <w:jc w:val="left"/>
      </w:pPr>
      <w:r>
        <w:rPr>
          <w:rFonts w:ascii="Times New Roman" w:hAnsi="Times New Roman" w:eastAsia="Times New Roman" w:cs="Times New Roman"/>
        </w:rPr>
        <w:t>“</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फैलाई</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न्यूयॉर्क</w:t>
      </w:r>
      <w:r>
        <w:rPr>
          <w:rFonts w:ascii="Times New Roman" w:hAnsi="Times New Roman" w:eastAsia="Times New Roman" w:cs="Times New Roman"/>
        </w:rPr>
        <w:t xml:space="preserve"> </w:t>
      </w:r>
      <w:r>
        <w:rPr>
          <w:rFonts w:ascii="Nirmala UI" w:hAnsi="Nirmala UI" w:eastAsia="Nirmala UI" w:cs="Nirmala UI"/>
        </w:rPr>
        <w:t>ज्वारीय</w:t>
      </w:r>
      <w:r>
        <w:rPr>
          <w:rFonts w:ascii="Times New Roman" w:hAnsi="Times New Roman" w:eastAsia="Times New Roman" w:cs="Times New Roman"/>
        </w:rPr>
        <w:t xml:space="preserve"> </w:t>
      </w:r>
      <w:r>
        <w:rPr>
          <w:rFonts w:ascii="Nirmala UI" w:hAnsi="Nirmala UI" w:eastAsia="Nirmala UI" w:cs="Nirmala UI"/>
        </w:rPr>
        <w:t>लहर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विशाल</w:t>
      </w:r>
      <w:r>
        <w:rPr>
          <w:rFonts w:ascii="Times New Roman" w:hAnsi="Times New Roman" w:eastAsia="Times New Roman" w:cs="Times New Roman"/>
        </w:rPr>
        <w:t xml:space="preserve"> </w:t>
      </w:r>
      <w:r>
        <w:rPr>
          <w:rFonts w:ascii="Nirmala UI" w:hAnsi="Nirmala UI" w:eastAsia="Nirmala UI" w:cs="Nirmala UI"/>
        </w:rPr>
        <w:t>इमारतों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भयावह</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18:1–3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अठारहवाँ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संपूर्ण</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न्यूयॉर्क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इमारतें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उलटने</w:t>
      </w:r>
      <w:r>
        <w:rPr>
          <w:rFonts w:ascii="Times New Roman" w:hAnsi="Times New Roman" w:eastAsia="Times New Roman" w:cs="Times New Roman"/>
        </w:rPr>
        <w:t>-</w:t>
      </w:r>
      <w:r>
        <w:rPr>
          <w:rFonts w:ascii="Nirmala UI" w:hAnsi="Nirmala UI" w:eastAsia="Nirmala UI" w:cs="Nirmala UI"/>
        </w:rPr>
        <w:t>पलटने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ढहा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स्पर्श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विशाल</w:t>
      </w:r>
      <w:r>
        <w:rPr>
          <w:rFonts w:ascii="Times New Roman" w:hAnsi="Times New Roman" w:eastAsia="Times New Roman" w:cs="Times New Roman"/>
        </w:rPr>
        <w:t xml:space="preserve"> </w:t>
      </w:r>
      <w:r>
        <w:rPr>
          <w:rFonts w:ascii="Nirmala UI" w:hAnsi="Nirmala UI" w:eastAsia="Nirmala UI" w:cs="Nirmala UI"/>
        </w:rPr>
        <w:t>संरचनाएँ</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भयावहता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कल्पना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Review and Herald, July 5, 1906.</w:t>
      </w:r>
    </w:p>
    <w:p>
      <w:pPr>
        <w:pStyle w:val="ArticleBody"/>
        <w:jc w:val="left"/>
      </w:pPr>
      <w:r>
        <w:rPr>
          <w:rFonts w:ascii="Times New Roman" w:hAnsi="Times New Roman" w:eastAsia="Times New Roman" w:cs="Times New Roman"/>
        </w:rPr>
        <w:t>نین ملەرایتەکاندا، یەکێک لەو نیشانانەی لۆقا تۆماری کردووە «تەنگانەی نەتەوەکان» بوو. نەتەوەکان هێزەکانی ئەو دەسەڵاتانەن کە زەوی حوکم دەکەن، و لە یازدەی سێپتەمبەری 2001دا هەموو نەتەوەیەک لەسەر زەوی هەژاندرا، کاتێک وای سێهەم هاتە ناو مێژووی پێغەمبەرییەوە. ئەو هەژانەی زەمینییە لە لۆقا بیست و یەکدا نیشان دراوە، بەڵام نە بە دەربڕینی ئینجیلییِ هەژاندنی هێزەکانی زەوی. بەڵکو بەو وتەیە نیشان دراوە: «تەنگانەی نەتەوەکان»، وەک ئەوەی بەسەر نەتەوەکانی جیهاندا هات کاتێک بیناکانە گەورەکانی نیویۆرک رووخێندرایە خوارەوە. «تەنگانەی نەتەوەکان» لە لۆقادا هەمان هەژاندنی هێزەکانی زەوییە، و لە مێژووی ملەرایتەکاندا هاتە دی.</w:t>
      </w:r>
    </w:p>
    <w:p>
      <w:pPr>
        <w:pStyle w:val="ArticleScripture"/>
        <w:jc w:val="left"/>
      </w:pPr>
      <w:r>
        <w:rPr>
          <w:rFonts w:ascii="Times New Roman" w:hAnsi="Times New Roman" w:eastAsia="Times New Roman" w:cs="Times New Roman"/>
        </w:rPr>
        <w:t>« Di kompran ki puisansté latè-la ka soukwé atjela, épi ki bann évènman ka vini an lòd. Lagè, épi bri lagè, zéklé, grangou, épi maladi kontajyé sé prémyé bagay-la pou soukwé puisansté latè; apré sa, vwa Bondyé kay soukwé soley-la, lalin-lan, épi zétwal-yo, épi latè tala osi. Di wè ki soukwaj puisansté an Ewòp pa, kon kèk moun ka anségné, soukwaj puisansté syèl-la; mé sé soukwaj nasyon an kolè yo. » Early Writings, 41.</w:t>
      </w:r>
    </w:p>
    <w:p>
      <w:pPr>
        <w:pStyle w:val="ArticleBody"/>
        <w:jc w:val="left"/>
      </w:pPr>
      <w:r>
        <w:rPr>
          <w:rFonts w:ascii="Times New Roman" w:hAnsi="Times New Roman" w:eastAsia="Times New Roman" w:cs="Times New Roman"/>
        </w:rPr>
        <w:t>Ang “pagyanig ng mga kapangyarihan ng mga nagagalit na bansa” ay ang pagyanig ng “mga kapangyarihan ng lupa,” gaya ng inilarawan sa maagang kasaysayan ng Adventismo sa pamamagitan ng pagyanig ng “mga kapangyarihan sa Europa.” Tinukoy ni Uriah Smith kung ano ang nagpapayanig sa mga kapangyarihan sa Europa noong 1838.</w:t>
      </w:r>
    </w:p>
    <w:p>
      <w:pPr>
        <w:pStyle w:val="ArticleScripture"/>
        <w:jc w:val="left"/>
      </w:pPr>
      <w:r>
        <w:rPr>
          <w:rFonts w:ascii="Times New Roman" w:hAnsi="Times New Roman" w:eastAsia="Times New Roman" w:cs="Times New Roman"/>
        </w:rPr>
        <w:t>„Wie die prophetische Zeit dieser [6.] Posaune mit der freiwilligen Übergabe der Macht in die Hände der Türken durch den christlichen Kaiser des Ostens begann, so dürfen wir mit Recht schlussfolgern, dass ihr Ende durch die freiwillige Übergabe eben dieser Macht durch den türkischen Sultan wiederum in die Hände der Christen gekennzeichnet sein würde. Im Jahr 1838 wurde die Türkei in einen Krieg mit Ägypten verwickelt. Die Ägypter schienen im Begriff zu sein, die türkische Macht zu stürzen. Um dies zu verhindern, griffen die vier Großmächte Europas – England, Russland, Österreich und Preußen – ein, um die türkische Regierung zu stützen. Die Türkei nahm ihr Eingreifen an. In London wurde eine Konferenz abgehalten, auf der ein Ultimatum ausgearbeitet wurde, das Mehemet Ali, dem Pascha von Ägypten, vorgelegt werden sollte. Es ist offensichtlich, dass in dem Augenblick, da dieses Ultimatum in die Hände Mehemets gelegt wurde, das Schicksal des Osmanischen Reiches tatsächlich in die Hände der christlichen Mächte Europas gelegt war. Dieses Ultimatum wurde Mehemet am 11. August 1840 übergeben! Und an ebendiesem Tag richtete der Sultan eine Note an die Botschafter der vier Mächte und erkundigte sich, was im Falle zu tun sei, dass Mehemet sich weigere, den von ihnen vorgeschlagenen Bedingungen nachzukommen. Die Antwort lautete, er brauche sich über keinen etwa eintretenden Fall zu beunruhigen; denn sie hätten dafür Vorsorge getroffen. Die prophetische Zeit endete, und an eben jenem Tag ging die Kontrolle über die mohammedanischen Angelegenheiten in die Hände der Christen über, so wie die Kontrolle über die christlichen Angelegenheiten 391 Jahre und 15 Tage zuvor in die Hände der Mohammedaner übergegangen war. So endete das zweite Wehe, und die sechste Posaune hörte auf zu erschallen.“ Uriah Smith, Synopsis of Present Truth, 218.</w:t>
      </w:r>
    </w:p>
    <w:p>
      <w:pPr>
        <w:pStyle w:val="ArticleBody"/>
        <w:jc w:val="left"/>
      </w:pPr>
      <w:r>
        <w:rPr>
          <w:rFonts w:ascii="Times New Roman" w:hAnsi="Times New Roman" w:eastAsia="Times New Roman" w:cs="Times New Roman"/>
        </w:rPr>
        <w:t>L’islam du second Malheur avait dépassé le zénith de sa puissance, laquelle, selon la parole de Dieu, devait durer trois cent quatre-vingt-onze ans et quinze jours. Pourtant, dans les années 1830, l’Égypte tentait de rétablir un califat en Égypte afin de poursuivre le second grand jihad de l’histoire musulmane. La possibilité de nouvelles guerres islamiques faisait trembler de peur les puissances européennes. Pendant des décennies, la crise d’un islam rallumant sa guerre fut désignée par les historiens et les journalistes de ces années-là comme la « Question d’Orient ». La guerre des fils de l’orient avait été menée pendant des siècles contre les nations de l’Europe, qui tenaient leur religion de l’Église romaine. En 1838, « la détresse des nations », mentionnée par le Christ, représentait l’ébranlement des nations irritées produit par la guerre portée contre l’ancien Empire romain par l’islam.</w:t>
      </w:r>
    </w:p>
    <w:p>
      <w:pPr>
        <w:pStyle w:val="ArticleScripture"/>
        <w:jc w:val="left"/>
      </w:pPr>
      <w:r>
        <w:rPr>
          <w:rFonts w:ascii="Times New Roman" w:hAnsi="Times New Roman" w:eastAsia="Times New Roman" w:cs="Times New Roman"/>
        </w:rPr>
        <w:t>« Par le fait de [délier] les quatre anges qui sont liés sur le grand fleuve Euphrate, j’entends que Dieu allait alors permettre aux quatre principales nations dont se composait l’empire ottoman, lesquelles avaient vainement tenté de soumettre l’Empire d’Orient à Constantinople et n’avaient fait que peu de progrès dans la conquête de l’Europe, de prendre maintenant Constantinople, et d’envahir et de subjuguer le tiers de l’Europe, ce qui fut en effet le cas vers le milieu du quinzième siècle. » Works of William Miller, Volume 2, 121.</w:t>
      </w:r>
    </w:p>
    <w:p>
      <w:pPr>
        <w:pStyle w:val="ArticleBody"/>
        <w:jc w:val="left"/>
      </w:pPr>
      <w:r>
        <w:rPr>
          <w:rFonts w:ascii="Times New Roman" w:hAnsi="Times New Roman" w:eastAsia="Times New Roman" w:cs="Times New Roman"/>
        </w:rPr>
        <w:t xml:space="preserve">“ff”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ലക്ഷ്യഭാഷ</w:t>
      </w:r>
      <w:r>
        <w:rPr>
          <w:rFonts w:ascii="Times New Roman" w:hAnsi="Times New Roman" w:eastAsia="Times New Roman" w:cs="Times New Roman"/>
        </w:rPr>
        <w:t xml:space="preserve"> </w:t>
      </w:r>
      <w:r>
        <w:rPr>
          <w:rFonts w:ascii="Nirmala UI" w:hAnsi="Nirmala UI" w:eastAsia="Nirmala UI" w:cs="Nirmala UI"/>
        </w:rPr>
        <w:t>വ്യക്തമല്ല</w:t>
      </w:r>
      <w:r>
        <w:rPr>
          <w:rFonts w:ascii="Times New Roman" w:hAnsi="Times New Roman" w:eastAsia="Times New Roman" w:cs="Times New Roman"/>
        </w:rPr>
        <w:t xml:space="preserve">. </w:t>
      </w:r>
      <w:r>
        <w:rPr>
          <w:rFonts w:ascii="Nirmala UI" w:hAnsi="Nirmala UI" w:eastAsia="Nirmala UI" w:cs="Nirmala UI"/>
        </w:rPr>
        <w:t>വിവർത്തനം</w:t>
      </w:r>
      <w:r>
        <w:rPr>
          <w:rFonts w:ascii="Times New Roman" w:hAnsi="Times New Roman" w:eastAsia="Times New Roman" w:cs="Times New Roman"/>
        </w:rPr>
        <w:t xml:space="preserve"> </w:t>
      </w:r>
      <w:r>
        <w:rPr>
          <w:rFonts w:ascii="Nirmala UI" w:hAnsi="Nirmala UI" w:eastAsia="Nirmala UI" w:cs="Nirmala UI"/>
        </w:rPr>
        <w:t>ചെയ്യേണ്ട</w:t>
      </w:r>
      <w:r>
        <w:rPr>
          <w:rFonts w:ascii="Times New Roman" w:hAnsi="Times New Roman" w:eastAsia="Times New Roman" w:cs="Times New Roman"/>
        </w:rPr>
        <w:t xml:space="preserve"> </w:t>
      </w:r>
      <w:r>
        <w:rPr>
          <w:rFonts w:ascii="Nirmala UI" w:hAnsi="Nirmala UI" w:eastAsia="Nirmala UI" w:cs="Nirmala UI"/>
        </w:rPr>
        <w:t>ഭാഷ</w:t>
      </w:r>
      <w:r>
        <w:rPr>
          <w:rFonts w:ascii="Times New Roman" w:hAnsi="Times New Roman" w:eastAsia="Times New Roman" w:cs="Times New Roman"/>
        </w:rPr>
        <w:t xml:space="preserve"> </w:t>
      </w:r>
      <w:r>
        <w:rPr>
          <w:rFonts w:ascii="Nirmala UI" w:hAnsi="Nirmala UI" w:eastAsia="Nirmala UI" w:cs="Nirmala UI"/>
        </w:rPr>
        <w:t>ഏതാണ്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«Bunların Allah’ın kullarının mühürlenmesi, Hezekiel’e görümlerde gösterilenin aynısıdır. Yuhanna da bu son derece sarsıcı vahye tanıklık etmişti. Denizin ve dalgaların kükrediğini, insanların yüreklerinin korkudan bayıldığını gördü. Yerin sarsıldığını ve dağların denizin ortasına taşındığını (ki bu, sözün tam anlamıyla gerçekleşmektedir), sularının kükreyip çalkalandığını ve dağların kabarmasıyla sarsıldığını müşahede etti. Ona, korkunç görevlerini yerine getiren belâlar, salgın hastalık, kıtlık ve ölüm gösterildi.» Testimonies to Ministers, 445.</w:t>
      </w:r>
    </w:p>
    <w:p>
      <w:pPr>
        <w:pStyle w:val="ArticleBody"/>
        <w:jc w:val="left"/>
      </w:pPr>
      <w:r>
        <w:rPr>
          <w:rFonts w:ascii="Times New Roman" w:hAnsi="Times New Roman" w:eastAsia="Times New Roman" w:cs="Times New Roman"/>
        </w:rPr>
        <w:t>Ngai dangkuai John rang∙ko branini songgimin wak bea man∙na chisolskaahaon, ua songsarek saksa hajal bri cha∙dongna songgimin sealing-ko nikaha; aro sagalrang aro dokrang cho∙cho∙e ring∙anichi mesokgimin jatrarangni duk, aro manderangni ka∙tongrang kenanichi ga∙akna re∙angako nikaha; aro ian Ezekiel-ko chapter nine-o mesokgimin sealing apsan ong∙a. Ezekiel-ko sealing-ni ning∙tugipa bakrang mesokaha, aro John-ko sealing baksa nangrimgimin a∙gilsakni a∙bachenggipa bakrang mesokaha. John nikaha je, jatrarangni ka∙namani, songsarek saksa hajal bri cha∙dongna sealing baksa nangrimgrikgipa ong∙a; aro jatrarangni ka∙namani an∙tang Luke-ni “distress of nations” ong∙a, jekon itihasni gita Eastern Question ine chanchiatako man∙aha. John-ko mesokaha je, third Woe-ni Islam, songsarek saksa hajal bri cha∙dongna sealing-ni a∙gilsakni sign ong∙a.</w:t>
      </w:r>
    </w:p>
    <w:p>
      <w:pPr>
        <w:pStyle w:val="ArticleScripture"/>
        <w:jc w:val="left"/>
      </w:pPr>
      <w:r>
        <w:rPr>
          <w:rFonts w:ascii="Times New Roman" w:hAnsi="Times New Roman" w:eastAsia="Times New Roman" w:cs="Times New Roman"/>
        </w:rPr>
        <w:t>« Le temps présent est, pour tous les vivants, une période d’un intérêt saisissant. Les dirigeants et les hommes d’État, ceux qui occupent des positions de confiance et d’autorité, les hommes et les femmes réfléchis de toutes les classes, ont l’attention fixée sur les événements qui se déroulent autour de nous. Ils observent les relations tendues et inquiètes qui existent parmi les nations. Ils voient l’intensité qui s’empare de chaque élément terrestre, et ils reconnaissent que quelque chose de grand et de décisif est sur le point de se produire, que le monde est à la veille d’une crise prodigieuse. »</w:t>
      </w:r>
    </w:p>
    <w:p>
      <w:pPr>
        <w:pStyle w:val="ArticleScripture"/>
        <w:jc w:val="left"/>
      </w:pPr>
      <w:r>
        <w:rPr>
          <w:rFonts w:ascii="Microsoft YaHei" w:hAnsi="Microsoft YaHei" w:eastAsia="Microsoft YaHei" w:cs="Microsoft YaHei"/>
        </w:rPr>
        <w:t>「現在、天使</w:t>
      </w:r>
      <w:r>
        <w:rPr>
          <w:rFonts w:ascii="MS Gothic" w:hAnsi="MS Gothic" w:eastAsia="MS Gothic" w:cs="MS Gothic"/>
        </w:rPr>
        <w:t>たちは</w:t>
      </w:r>
      <w:r>
        <w:rPr>
          <w:rFonts w:ascii="Microsoft YaHei" w:hAnsi="Microsoft YaHei" w:eastAsia="Microsoft YaHei" w:cs="Microsoft YaHei"/>
        </w:rPr>
        <w:t>争</w:t>
      </w:r>
      <w:r>
        <w:rPr>
          <w:rFonts w:ascii="MS Gothic" w:hAnsi="MS Gothic" w:eastAsia="MS Gothic" w:cs="MS Gothic"/>
        </w:rPr>
        <w:t>いの</w:t>
      </w:r>
      <w:r>
        <w:rPr>
          <w:rFonts w:ascii="Microsoft YaHei" w:hAnsi="Microsoft YaHei" w:eastAsia="Microsoft YaHei" w:cs="Microsoft YaHei"/>
        </w:rPr>
        <w:t>風</w:t>
      </w:r>
      <w:r>
        <w:rPr>
          <w:rFonts w:ascii="MS Gothic" w:hAnsi="MS Gothic" w:eastAsia="MS Gothic" w:cs="MS Gothic"/>
        </w:rPr>
        <w:t>を</w:t>
      </w:r>
      <w:r>
        <w:rPr>
          <w:rFonts w:ascii="Microsoft YaHei" w:hAnsi="Microsoft YaHei" w:eastAsia="Microsoft YaHei" w:cs="Microsoft YaHei"/>
        </w:rPr>
        <w:t>抑</w:t>
      </w:r>
      <w:r>
        <w:rPr>
          <w:rFonts w:ascii="MS Gothic" w:hAnsi="MS Gothic" w:eastAsia="MS Gothic" w:cs="MS Gothic"/>
        </w:rPr>
        <w:t>えている</w:t>
      </w:r>
      <w:r>
        <w:rPr>
          <w:rFonts w:ascii="Times New Roman" w:hAnsi="Times New Roman" w:eastAsia="Times New Roman" w:cs="Times New Roman"/>
        </w:rPr>
        <w:t>.</w:t>
      </w:r>
      <w:r>
        <w:rPr>
          <w:rFonts w:ascii="Microsoft YaHei" w:hAnsi="Microsoft YaHei" w:eastAsia="Microsoft YaHei" w:cs="Microsoft YaHei"/>
        </w:rPr>
        <w:t>来</w:t>
      </w:r>
      <w:r>
        <w:rPr>
          <w:rFonts w:ascii="MS Gothic" w:hAnsi="MS Gothic" w:eastAsia="MS Gothic" w:cs="MS Gothic"/>
        </w:rPr>
        <w:t>たるべき</w:t>
      </w:r>
      <w:r>
        <w:rPr>
          <w:rFonts w:ascii="Microsoft YaHei" w:hAnsi="Microsoft YaHei" w:eastAsia="Microsoft YaHei" w:cs="Microsoft YaHei"/>
        </w:rPr>
        <w:t>滅</w:t>
      </w:r>
      <w:r>
        <w:rPr>
          <w:rFonts w:ascii="MS Gothic" w:hAnsi="MS Gothic" w:eastAsia="MS Gothic" w:cs="MS Gothic"/>
        </w:rPr>
        <w:t>びについて</w:t>
      </w:r>
      <w:r>
        <w:rPr>
          <w:rFonts w:ascii="Microsoft YaHei" w:hAnsi="Microsoft YaHei" w:eastAsia="Microsoft YaHei" w:cs="Microsoft YaHei"/>
        </w:rPr>
        <w:t>世</w:t>
      </w:r>
      <w:r>
        <w:rPr>
          <w:rFonts w:ascii="MS Gothic" w:hAnsi="MS Gothic" w:eastAsia="MS Gothic" w:cs="MS Gothic"/>
        </w:rPr>
        <w:t>に</w:t>
      </w:r>
      <w:r>
        <w:rPr>
          <w:rFonts w:ascii="Microsoft YaHei" w:hAnsi="Microsoft YaHei" w:eastAsia="Microsoft YaHei" w:cs="Microsoft YaHei"/>
        </w:rPr>
        <w:t>警告</w:t>
      </w:r>
      <w:r>
        <w:rPr>
          <w:rFonts w:ascii="MS Gothic" w:hAnsi="MS Gothic" w:eastAsia="MS Gothic" w:cs="MS Gothic"/>
        </w:rPr>
        <w:t>が</w:t>
      </w:r>
      <w:r>
        <w:rPr>
          <w:rFonts w:ascii="Microsoft YaHei" w:hAnsi="Microsoft YaHei" w:eastAsia="Microsoft YaHei" w:cs="Microsoft YaHei"/>
        </w:rPr>
        <w:t>与</w:t>
      </w:r>
      <w:r>
        <w:rPr>
          <w:rFonts w:ascii="MS Gothic" w:hAnsi="MS Gothic" w:eastAsia="MS Gothic" w:cs="MS Gothic"/>
        </w:rPr>
        <w:t>えられるまでは</w:t>
      </w:r>
      <w:r>
        <w:rPr>
          <w:rFonts w:ascii="Microsoft YaHei" w:hAnsi="Microsoft YaHei" w:eastAsia="Microsoft YaHei" w:cs="Microsoft YaHei"/>
        </w:rPr>
        <w:t>、</w:t>
      </w:r>
      <w:r>
        <w:rPr>
          <w:rFonts w:ascii="MS Gothic" w:hAnsi="MS Gothic" w:eastAsia="MS Gothic" w:cs="MS Gothic"/>
        </w:rPr>
        <w:t>それが</w:t>
      </w:r>
      <w:r>
        <w:rPr>
          <w:rFonts w:ascii="Microsoft YaHei" w:hAnsi="Microsoft YaHei" w:eastAsia="Microsoft YaHei" w:cs="Microsoft YaHei"/>
        </w:rPr>
        <w:t>吹</w:t>
      </w:r>
      <w:r>
        <w:rPr>
          <w:rFonts w:ascii="MS Gothic" w:hAnsi="MS Gothic" w:eastAsia="MS Gothic" w:cs="MS Gothic"/>
        </w:rPr>
        <w:t>き</w:t>
      </w:r>
      <w:r>
        <w:rPr>
          <w:rFonts w:ascii="Microsoft YaHei" w:hAnsi="Microsoft YaHei" w:eastAsia="Microsoft YaHei" w:cs="Microsoft YaHei"/>
        </w:rPr>
        <w:t>荒</w:t>
      </w:r>
      <w:r>
        <w:rPr>
          <w:rFonts w:ascii="MS Gothic" w:hAnsi="MS Gothic" w:eastAsia="MS Gothic" w:cs="MS Gothic"/>
        </w:rPr>
        <w:t>れることのないようにするためである</w:t>
      </w:r>
      <w:r>
        <w:rPr>
          <w:rFonts w:ascii="Times New Roman" w:hAnsi="Times New Roman" w:eastAsia="Times New Roman" w:cs="Times New Roman"/>
        </w:rPr>
        <w:t>.</w:t>
      </w:r>
      <w:r>
        <w:rPr>
          <w:rFonts w:ascii="MS Gothic" w:hAnsi="MS Gothic" w:eastAsia="MS Gothic" w:cs="MS Gothic"/>
        </w:rPr>
        <w:t>だが</w:t>
      </w:r>
      <w:r>
        <w:rPr>
          <w:rFonts w:ascii="Microsoft YaHei" w:hAnsi="Microsoft YaHei" w:eastAsia="Microsoft YaHei" w:cs="Microsoft YaHei"/>
        </w:rPr>
        <w:t>、</w:t>
      </w:r>
      <w:r>
        <w:rPr>
          <w:rFonts w:ascii="MS Gothic" w:hAnsi="MS Gothic" w:eastAsia="MS Gothic" w:cs="MS Gothic"/>
        </w:rPr>
        <w:t>ひとたび</w:t>
      </w:r>
      <w:r>
        <w:rPr>
          <w:rFonts w:ascii="Microsoft YaHei" w:hAnsi="Microsoft YaHei" w:eastAsia="Microsoft YaHei" w:cs="Microsoft YaHei"/>
        </w:rPr>
        <w:t>地上</w:t>
      </w:r>
      <w:r>
        <w:rPr>
          <w:rFonts w:ascii="MS Gothic" w:hAnsi="MS Gothic" w:eastAsia="MS Gothic" w:cs="MS Gothic"/>
        </w:rPr>
        <w:t>に</w:t>
      </w:r>
      <w:r>
        <w:rPr>
          <w:rFonts w:ascii="Microsoft YaHei" w:hAnsi="Microsoft YaHei" w:eastAsia="Microsoft YaHei" w:cs="Microsoft YaHei"/>
        </w:rPr>
        <w:t>吹</w:t>
      </w:r>
      <w:r>
        <w:rPr>
          <w:rFonts w:ascii="MS Gothic" w:hAnsi="MS Gothic" w:eastAsia="MS Gothic" w:cs="MS Gothic"/>
        </w:rPr>
        <w:t>きつけようとして</w:t>
      </w:r>
      <w:r>
        <w:rPr>
          <w:rFonts w:ascii="Microsoft YaHei" w:hAnsi="Microsoft YaHei" w:eastAsia="Microsoft YaHei" w:cs="Microsoft YaHei"/>
        </w:rPr>
        <w:t>、今</w:t>
      </w:r>
      <w:r>
        <w:rPr>
          <w:rFonts w:ascii="MS Gothic" w:hAnsi="MS Gothic" w:eastAsia="MS Gothic" w:cs="MS Gothic"/>
        </w:rPr>
        <w:t>にも</w:t>
      </w:r>
      <w:r>
        <w:rPr>
          <w:rFonts w:ascii="Microsoft YaHei" w:hAnsi="Microsoft YaHei" w:eastAsia="Microsoft YaHei" w:cs="Microsoft YaHei"/>
        </w:rPr>
        <w:t>炸裂</w:t>
      </w:r>
      <w:r>
        <w:rPr>
          <w:rFonts w:ascii="MS Gothic" w:hAnsi="MS Gothic" w:eastAsia="MS Gothic" w:cs="MS Gothic"/>
        </w:rPr>
        <w:t>せんとする</w:t>
      </w:r>
      <w:r>
        <w:rPr>
          <w:rFonts w:ascii="Microsoft YaHei" w:hAnsi="Microsoft YaHei" w:eastAsia="Microsoft YaHei" w:cs="Microsoft YaHei"/>
        </w:rPr>
        <w:t>嵐</w:t>
      </w:r>
      <w:r>
        <w:rPr>
          <w:rFonts w:ascii="MS Gothic" w:hAnsi="MS Gothic" w:eastAsia="MS Gothic" w:cs="MS Gothic"/>
        </w:rPr>
        <w:t>が</w:t>
      </w:r>
      <w:r>
        <w:rPr>
          <w:rFonts w:ascii="Microsoft YaHei" w:hAnsi="Microsoft YaHei" w:eastAsia="Microsoft YaHei" w:cs="Microsoft YaHei"/>
        </w:rPr>
        <w:t>集</w:t>
      </w:r>
      <w:r>
        <w:rPr>
          <w:rFonts w:ascii="MS Gothic" w:hAnsi="MS Gothic" w:eastAsia="MS Gothic" w:cs="MS Gothic"/>
        </w:rPr>
        <w:t>まりつつある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、神</w:t>
      </w:r>
      <w:r>
        <w:rPr>
          <w:rFonts w:ascii="MS Gothic" w:hAnsi="MS Gothic" w:eastAsia="MS Gothic" w:cs="MS Gothic"/>
        </w:rPr>
        <w:t>が</w:t>
      </w:r>
      <w:r>
        <w:rPr>
          <w:rFonts w:ascii="Microsoft YaHei" w:hAnsi="Microsoft YaHei" w:eastAsia="Microsoft YaHei" w:cs="Microsoft YaHei"/>
        </w:rPr>
        <w:t>御使</w:t>
      </w:r>
      <w:r>
        <w:rPr>
          <w:rFonts w:ascii="MS Gothic" w:hAnsi="MS Gothic" w:eastAsia="MS Gothic" w:cs="MS Gothic"/>
        </w:rPr>
        <w:t>いたちにその</w:t>
      </w:r>
      <w:r>
        <w:rPr>
          <w:rFonts w:ascii="Microsoft YaHei" w:hAnsi="Microsoft YaHei" w:eastAsia="Microsoft YaHei" w:cs="Microsoft YaHei"/>
        </w:rPr>
        <w:t>風</w:t>
      </w:r>
      <w:r>
        <w:rPr>
          <w:rFonts w:ascii="MS Gothic" w:hAnsi="MS Gothic" w:eastAsia="MS Gothic" w:cs="MS Gothic"/>
        </w:rPr>
        <w:t>を</w:t>
      </w:r>
      <w:r>
        <w:rPr>
          <w:rFonts w:ascii="Microsoft YaHei" w:hAnsi="Microsoft YaHei" w:eastAsia="Microsoft YaHei" w:cs="Microsoft YaHei"/>
        </w:rPr>
        <w:t>解</w:t>
      </w:r>
      <w:r>
        <w:rPr>
          <w:rFonts w:ascii="MS Gothic" w:hAnsi="MS Gothic" w:eastAsia="MS Gothic" w:cs="MS Gothic"/>
        </w:rPr>
        <w:t>き</w:t>
      </w:r>
      <w:r>
        <w:rPr>
          <w:rFonts w:ascii="Microsoft YaHei" w:hAnsi="Microsoft YaHei" w:eastAsia="Microsoft YaHei" w:cs="Microsoft YaHei"/>
        </w:rPr>
        <w:t>放</w:t>
      </w:r>
      <w:r>
        <w:rPr>
          <w:rFonts w:ascii="MS Gothic" w:hAnsi="MS Gothic" w:eastAsia="MS Gothic" w:cs="MS Gothic"/>
        </w:rPr>
        <w:t>つよう</w:t>
      </w:r>
      <w:r>
        <w:rPr>
          <w:rFonts w:ascii="Microsoft YaHei" w:hAnsi="Microsoft YaHei" w:eastAsia="Microsoft YaHei" w:cs="Microsoft YaHei"/>
        </w:rPr>
        <w:t>命</w:t>
      </w:r>
      <w:r>
        <w:rPr>
          <w:rFonts w:ascii="MS Gothic" w:hAnsi="MS Gothic" w:eastAsia="MS Gothic" w:cs="MS Gothic"/>
        </w:rPr>
        <w:t>じられるとき</w:t>
      </w:r>
      <w:r>
        <w:rPr>
          <w:rFonts w:ascii="Microsoft YaHei" w:hAnsi="Microsoft YaHei" w:eastAsia="Microsoft YaHei" w:cs="Microsoft YaHei"/>
        </w:rPr>
        <w:t>、</w:t>
      </w:r>
      <w:r>
        <w:rPr>
          <w:rFonts w:ascii="MS Gothic" w:hAnsi="MS Gothic" w:eastAsia="MS Gothic" w:cs="MS Gothic"/>
        </w:rPr>
        <w:t>いかなる</w:t>
      </w:r>
      <w:r>
        <w:rPr>
          <w:rFonts w:ascii="Microsoft YaHei" w:hAnsi="Microsoft YaHei" w:eastAsia="Microsoft YaHei" w:cs="Microsoft YaHei"/>
        </w:rPr>
        <w:t>筆</w:t>
      </w:r>
      <w:r>
        <w:rPr>
          <w:rFonts w:ascii="MS Gothic" w:hAnsi="MS Gothic" w:eastAsia="MS Gothic" w:cs="MS Gothic"/>
        </w:rPr>
        <w:t>も</w:t>
      </w:r>
      <w:r>
        <w:rPr>
          <w:rFonts w:ascii="Microsoft YaHei" w:hAnsi="Microsoft YaHei" w:eastAsia="Microsoft YaHei" w:cs="Microsoft YaHei"/>
        </w:rPr>
        <w:t>描</w:t>
      </w:r>
      <w:r>
        <w:rPr>
          <w:rFonts w:ascii="MS Gothic" w:hAnsi="MS Gothic" w:eastAsia="MS Gothic" w:cs="MS Gothic"/>
        </w:rPr>
        <w:t>き</w:t>
      </w:r>
      <w:r>
        <w:rPr>
          <w:rFonts w:ascii="Microsoft YaHei" w:hAnsi="Microsoft YaHei" w:eastAsia="Microsoft YaHei" w:cs="Microsoft YaHei"/>
        </w:rPr>
        <w:t>尽</w:t>
      </w:r>
      <w:r>
        <w:rPr>
          <w:rFonts w:ascii="MS Gothic" w:hAnsi="MS Gothic" w:eastAsia="MS Gothic" w:cs="MS Gothic"/>
        </w:rPr>
        <w:t>くすことのできないほどの</w:t>
      </w:r>
      <w:r>
        <w:rPr>
          <w:rFonts w:ascii="Microsoft YaHei" w:hAnsi="Microsoft YaHei" w:eastAsia="Microsoft YaHei" w:cs="Microsoft YaHei"/>
        </w:rPr>
        <w:t>争乱</w:t>
      </w:r>
      <w:r>
        <w:rPr>
          <w:rFonts w:ascii="MS Gothic" w:hAnsi="MS Gothic" w:eastAsia="MS Gothic" w:cs="MS Gothic"/>
        </w:rPr>
        <w:t>の</w:t>
      </w:r>
      <w:r>
        <w:rPr>
          <w:rFonts w:ascii="Microsoft YaHei" w:hAnsi="Microsoft YaHei" w:eastAsia="Microsoft YaHei" w:cs="Microsoft YaHei"/>
        </w:rPr>
        <w:t>光景</w:t>
      </w:r>
      <w:r>
        <w:rPr>
          <w:rFonts w:ascii="MS Gothic" w:hAnsi="MS Gothic" w:eastAsia="MS Gothic" w:cs="MS Gothic"/>
        </w:rPr>
        <w:t>が</w:t>
      </w:r>
      <w:r>
        <w:rPr>
          <w:rFonts w:ascii="Microsoft YaHei" w:hAnsi="Microsoft YaHei" w:eastAsia="Microsoft YaHei" w:cs="Microsoft YaHei"/>
        </w:rPr>
        <w:t>現</w:t>
      </w:r>
      <w:r>
        <w:rPr>
          <w:rFonts w:ascii="MS Gothic" w:hAnsi="MS Gothic" w:eastAsia="MS Gothic" w:cs="MS Gothic"/>
        </w:rPr>
        <w:t>れるであろう</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“La Bible, et la Bible seule, donne une juste compréhension de ces choses. C’est là que sont révélées les grandes scènes finales de l’histoire de notre monde, des événements qui déjà projettent devant eux leurs ombres, dont l’approche fait trembler la terre et fait défaillir le cœur des hommes de peur.” Education, 179, 180.</w:t>
      </w:r>
    </w:p>
    <w:p>
      <w:pPr>
        <w:pStyle w:val="ArticleBody"/>
        <w:jc w:val="left"/>
      </w:pPr>
      <w:r>
        <w:rPr>
          <w:rFonts w:ascii="Times New Roman" w:hAnsi="Times New Roman" w:eastAsia="Times New Roman" w:cs="Times New Roman"/>
        </w:rPr>
        <w:t>تب لاوقا الإصحاح الحادي والعشرين حدَّد يسوع «العلامات» التي دشَّنت الحركة الميلرية، ووفقًا لما ذكرته الأخت وايت، فقد تمَّت جميع تلك «العلامات». فالزلزال الذي وقع في لشبونة، واليوم المظلم، وسقوط النجوم، وكرب الأمم، الذي مثَّل زعزعة قوى الأرض والذي تمَّ على يد الإسلام في الخوف الذي أحدثته المسألة الشرقية، قد تمَّت جميعها. وتشمل «العلامات» الميلرية أيضًا مجيء ابن الإنسان في سحابة، وقد تمَّ ذلك بحسب الترتيب الصحيح الذي أعطى به المسيح «العلامات»، لأنه بعد أن انتهى كرب الأمم بكبح السيادة العثمانية سنة 1840، جاء المسيح إلى قدس الأقداس في 22 أكتوبر 1844، وحين جاء، جاء مع سحب.</w:t>
      </w:r>
    </w:p>
    <w:p>
      <w:pPr>
        <w:pStyle w:val="ArticleScripture"/>
        <w:jc w:val="left"/>
      </w:pPr>
      <w:r>
        <w:rPr>
          <w:rFonts w:ascii="Times New Roman" w:hAnsi="Times New Roman" w:eastAsia="Times New Roman" w:cs="Times New Roman"/>
        </w:rPr>
        <w:t>“‘Et voici, quelqu’un de semblable au Fils de l’homme vint avec les nuées des cieux, et il s’avança vers l’Ancien des jours, et on le fit approcher de Lui. Et il lui fut donné la domination, la gloire et le règne, afin que tous les peuples, nations et langues le servent : sa domination est une domination éternelle, qui ne passera point.’ Daniel 7:13, 14. La venue de Christ décrite ici n’est pas sa seconde venue sur la terre. Il vient vers l’Ancien des jours dans le ciel pour recevoir la domination, la gloire et un royaume, qui lui seront donnés à la clôture de son œuvre de médiateur. C’est cette venue, et non son second avènement sur la terre, qui avait été annoncée dans la prophétie comme devant avoir lieu à l’expiration des 2300 jours en 1844. Accompagné des anges célestes, notre grand Souverain Sacrificateur entre dans le lieu très saint et là paraît en la présence de Dieu pour accomplir les derniers actes de son ministère en faveur de l’homme — accomplir l’œuvre du jugement d’instruction et faire l’expiation pour tous ceux qui seront reconnus avoir droit à ses bienfaits.” The Great Controversy, 479.</w:t>
      </w:r>
    </w:p>
    <w:p>
      <w:pPr>
        <w:pStyle w:val="ArticleBody"/>
        <w:jc w:val="left"/>
      </w:pPr>
      <w:r>
        <w:rPr>
          <w:rFonts w:ascii="Leelawadee UI" w:hAnsi="Leelawadee UI" w:eastAsia="Leelawadee UI" w:cs="Leelawadee UI"/>
        </w:rPr>
        <w:t>ບັນດາ</w:t>
      </w:r>
      <w:r>
        <w:rPr>
          <w:rFonts w:ascii="Times New Roman" w:hAnsi="Times New Roman" w:eastAsia="Times New Roman" w:cs="Times New Roman"/>
        </w:rPr>
        <w:t xml:space="preserve"> “</w:t>
      </w:r>
      <w:r>
        <w:rPr>
          <w:rFonts w:ascii="Leelawadee UI" w:hAnsi="Leelawadee UI" w:eastAsia="Leelawadee UI" w:cs="Leelawadee UI"/>
        </w:rPr>
        <w:t>ໝາຍສຳຄັນ</w:t>
      </w:r>
      <w:r>
        <w:rPr>
          <w:rFonts w:ascii="Times New Roman" w:hAnsi="Times New Roman" w:eastAsia="Times New Roman" w:cs="Times New Roman"/>
        </w:rPr>
        <w:t xml:space="preserve">” </w:t>
      </w:r>
      <w:r>
        <w:rPr>
          <w:rFonts w:ascii="Leelawadee UI" w:hAnsi="Leelawadee UI" w:eastAsia="Leelawadee UI" w:cs="Leelawadee UI"/>
        </w:rPr>
        <w:t>ທີ່ກ່ຽວພັນກັບປະຫວັດຂອງພວກມິນເລີໄຣຕ໌</w:t>
      </w:r>
      <w:r>
        <w:rPr>
          <w:rFonts w:ascii="Times New Roman" w:hAnsi="Times New Roman" w:eastAsia="Times New Roman" w:cs="Times New Roman"/>
        </w:rPr>
        <w:t xml:space="preserve"> </w:t>
      </w:r>
      <w:r>
        <w:rPr>
          <w:rFonts w:ascii="Leelawadee UI" w:hAnsi="Leelawadee UI" w:eastAsia="Leelawadee UI" w:cs="Leelawadee UI"/>
        </w:rPr>
        <w:t>ເປັນແບບຢ່າງລ່ວງໜ້າຂອງ</w:t>
      </w:r>
      <w:r>
        <w:rPr>
          <w:rFonts w:ascii="Times New Roman" w:hAnsi="Times New Roman" w:eastAsia="Times New Roman" w:cs="Times New Roman"/>
        </w:rPr>
        <w:t xml:space="preserve"> “</w:t>
      </w:r>
      <w:r>
        <w:rPr>
          <w:rFonts w:ascii="Leelawadee UI" w:hAnsi="Leelawadee UI" w:eastAsia="Leelawadee UI" w:cs="Leelawadee UI"/>
        </w:rPr>
        <w:t>ໝາຍສຳຄັນ</w:t>
      </w:r>
      <w:r>
        <w:rPr>
          <w:rFonts w:ascii="Times New Roman" w:hAnsi="Times New Roman" w:eastAsia="Times New Roman" w:cs="Times New Roman"/>
        </w:rPr>
        <w:t xml:space="preserve">” </w:t>
      </w:r>
      <w:r>
        <w:rPr>
          <w:rFonts w:ascii="Leelawadee UI" w:hAnsi="Leelawadee UI" w:eastAsia="Leelawadee UI" w:cs="Leelawadee UI"/>
        </w:rPr>
        <w:t>ທີ່ກ່ຽວພັນກັບປະຫວັດຂອງຜູ້ໜຶ່ງແສນສີ່ໝື່ນສີ່ພັນ</w:t>
      </w:r>
      <w:r>
        <w:rPr>
          <w:rFonts w:ascii="Times New Roman" w:hAnsi="Times New Roman" w:eastAsia="Times New Roman" w:cs="Times New Roman"/>
        </w:rPr>
        <w:t xml:space="preserve">. </w:t>
      </w:r>
      <w:r>
        <w:rPr>
          <w:rFonts w:ascii="Leelawadee UI" w:hAnsi="Leelawadee UI" w:eastAsia="Leelawadee UI" w:cs="Leelawadee UI"/>
        </w:rPr>
        <w:t>ເມື່ອພຣະຄຣິດປະທານພະຍານຄົນທີສອງແກ່ເລື່ອງລາວທາງປະຫວັດສາດດ້ວຍຄຳອຸປະມາ</w:t>
      </w:r>
      <w:r>
        <w:rPr>
          <w:rFonts w:ascii="Times New Roman" w:hAnsi="Times New Roman" w:eastAsia="Times New Roman" w:cs="Times New Roman"/>
        </w:rPr>
        <w:t xml:space="preserve">, </w:t>
      </w:r>
      <w:r>
        <w:rPr>
          <w:rFonts w:ascii="Leelawadee UI" w:hAnsi="Leelawadee UI" w:eastAsia="Leelawadee UI" w:cs="Leelawadee UI"/>
        </w:rPr>
        <w:t>ພຣະອົງໄດ້ຊີ້ນຳພວກສາວົກຂອງພຣະອົງໄປຫາ</w:t>
      </w:r>
      <w:r>
        <w:rPr>
          <w:rFonts w:ascii="Times New Roman" w:hAnsi="Times New Roman" w:eastAsia="Times New Roman" w:cs="Times New Roman"/>
        </w:rPr>
        <w:t xml:space="preserve"> “</w:t>
      </w:r>
      <w:r>
        <w:rPr>
          <w:rFonts w:ascii="Leelawadee UI" w:hAnsi="Leelawadee UI" w:eastAsia="Leelawadee UI" w:cs="Leelawadee UI"/>
        </w:rPr>
        <w:t>ຕົ້ນໄມ້ທີ່ຜຸດຕາໃນລະດູບ່ອນໄມ້ຜຸດ</w:t>
      </w:r>
      <w:r>
        <w:rPr>
          <w:rFonts w:ascii="Times New Roman" w:hAnsi="Times New Roman" w:eastAsia="Times New Roman" w:cs="Times New Roman"/>
        </w:rPr>
        <w:t xml:space="preserve">.” </w:t>
      </w:r>
      <w:r>
        <w:rPr>
          <w:rFonts w:ascii="Leelawadee UI" w:hAnsi="Leelawadee UI" w:eastAsia="Leelawadee UI" w:cs="Leelawadee UI"/>
        </w:rPr>
        <w:t>ພຣະອົງໄດ້ຊົງແຈ້ງແກ່ພວກເຂົາວ່າ</w:t>
      </w:r>
      <w:r>
        <w:rPr>
          <w:rFonts w:ascii="Times New Roman" w:hAnsi="Times New Roman" w:eastAsia="Times New Roman" w:cs="Times New Roman"/>
        </w:rPr>
        <w:t xml:space="preserve"> </w:t>
      </w:r>
      <w:r>
        <w:rPr>
          <w:rFonts w:ascii="Leelawadee UI" w:hAnsi="Leelawadee UI" w:eastAsia="Leelawadee UI" w:cs="Leelawadee UI"/>
        </w:rPr>
        <w:t>ເມື່ອຕົ້ນໄມ້ເລີ່ມແຕກຕາ</w:t>
      </w:r>
      <w:r>
        <w:rPr>
          <w:rFonts w:ascii="Times New Roman" w:hAnsi="Times New Roman" w:eastAsia="Times New Roman" w:cs="Times New Roman"/>
        </w:rPr>
        <w:t xml:space="preserve"> </w:t>
      </w:r>
      <w:r>
        <w:rPr>
          <w:rFonts w:ascii="Leelawadee UI" w:hAnsi="Leelawadee UI" w:eastAsia="Leelawadee UI" w:cs="Leelawadee UI"/>
        </w:rPr>
        <w:t>ພວກເຈົ້າກໍຮູ້ວ່າພວກເຈົ້າເຂົ້າໃກ້ອະວະສານຂອງໂລກແລ້ວ</w:t>
      </w:r>
      <w:r>
        <w:rPr>
          <w:rFonts w:ascii="Times New Roman" w:hAnsi="Times New Roman" w:eastAsia="Times New Roman" w:cs="Times New Roman"/>
        </w:rPr>
        <w:t xml:space="preserve">, </w:t>
      </w:r>
      <w:r>
        <w:rPr>
          <w:rFonts w:ascii="Leelawadee UI" w:hAnsi="Leelawadee UI" w:eastAsia="Leelawadee UI" w:cs="Leelawadee UI"/>
        </w:rPr>
        <w:t>ແລະວ່າຄົນຮຸ່ນທີ່ເຫັນຕົ້ນໄມ້ຜຸດຕາໃນລະດູບ່ອນໄມ້ຜຸດນັ້ນ</w:t>
      </w:r>
      <w:r>
        <w:rPr>
          <w:rFonts w:ascii="Times New Roman" w:hAnsi="Times New Roman" w:eastAsia="Times New Roman" w:cs="Times New Roman"/>
        </w:rPr>
        <w:t xml:space="preserve"> </w:t>
      </w:r>
      <w:r>
        <w:rPr>
          <w:rFonts w:ascii="Leelawadee UI" w:hAnsi="Leelawadee UI" w:eastAsia="Leelawadee UI" w:cs="Leelawadee UI"/>
        </w:rPr>
        <w:t>ຈະມີຊີວິດຢູ່ເພື່ອເຫັນຟ້າສະຫວັນແລະແຜ່ນດິນໂລກຜ່ານພົ້ນໄປ</w:t>
      </w:r>
      <w:r>
        <w:rPr>
          <w:rFonts w:ascii="Times New Roman" w:hAnsi="Times New Roman" w:eastAsia="Times New Roman" w:cs="Times New Roman"/>
        </w:rPr>
        <w:t xml:space="preserve"> </w:t>
      </w:r>
      <w:r>
        <w:rPr>
          <w:rFonts w:ascii="Leelawadee UI" w:hAnsi="Leelawadee UI" w:eastAsia="Leelawadee UI" w:cs="Leelawadee UI"/>
        </w:rPr>
        <w:t>ໃນແປວໄຟແຫ່ງການເສດັດມາຄັ້ງທີສອງຂອງພຣະອົງ</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Когда они уже распускаются, вы, видя это, сами по себе знаете, что лето уже близко. Так и вы, когда увидите, что это сбывается, знайте, что близко Царствие Божие. Истинно говорю вам: не прейдет род сей, как всё сие исполнится. Небо и земля прейдут, но слова Мои не прейдут. Луки 21:30–33.</w:t>
      </w:r>
    </w:p>
    <w:p>
      <w:pPr>
        <w:pStyle w:val="ArticleBody"/>
        <w:jc w:val="left"/>
      </w:pPr>
      <w:r>
        <w:rPr>
          <w:rFonts w:ascii="Microsoft YaHei" w:hAnsi="Microsoft YaHei" w:eastAsia="Microsoft YaHei" w:cs="Microsoft YaHei"/>
        </w:rPr>
        <w:t>按此</w:t>
      </w:r>
      <w:r>
        <w:rPr>
          <w:rFonts w:ascii="Times New Roman" w:hAnsi="Times New Roman" w:eastAsia="Times New Roman" w:cs="Times New Roman"/>
        </w:rPr>
        <w:t>,</w:t>
      </w:r>
      <w:r>
        <w:rPr>
          <w:rFonts w:ascii="Microsoft YaHei" w:hAnsi="Microsoft YaHei" w:eastAsia="Microsoft YaHei" w:cs="Microsoft YaHei"/>
        </w:rPr>
        <w:t>问题便成为：</w:t>
      </w:r>
      <w:r>
        <w:rPr>
          <w:rFonts w:ascii="Times New Roman" w:hAnsi="Times New Roman" w:eastAsia="Times New Roman" w:cs="Times New Roman"/>
        </w:rPr>
        <w:t>“</w:t>
      </w:r>
      <w:r>
        <w:rPr>
          <w:rFonts w:ascii="Microsoft YaHei" w:hAnsi="Microsoft YaHei" w:eastAsia="Microsoft YaHei" w:cs="Microsoft YaHei"/>
        </w:rPr>
        <w:t>树木是什么时候开始发芽的？</w:t>
      </w:r>
      <w:r>
        <w:rPr>
          <w:rFonts w:ascii="Times New Roman" w:hAnsi="Times New Roman" w:eastAsia="Times New Roman" w:cs="Times New Roman"/>
        </w:rPr>
        <w:t xml:space="preserve">” </w:t>
      </w:r>
      <w:r>
        <w:rPr>
          <w:rFonts w:ascii="Microsoft YaHei" w:hAnsi="Microsoft YaHei" w:eastAsia="Microsoft YaHei" w:cs="Microsoft YaHei"/>
        </w:rPr>
        <w:t>后雨开始洒落于</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Times New Roman" w:hAnsi="Times New Roman" w:eastAsia="Times New Roman" w:cs="Times New Roman"/>
        </w:rPr>
        <w:t>;</w:t>
      </w:r>
      <w:r>
        <w:rPr>
          <w:rFonts w:ascii="Microsoft YaHei" w:hAnsi="Microsoft YaHei" w:eastAsia="Microsoft YaHei" w:cs="Microsoft YaHei"/>
        </w:rPr>
        <w:t>照着以赛亚书所言</w:t>
      </w:r>
      <w:r>
        <w:rPr>
          <w:rFonts w:ascii="Times New Roman" w:hAnsi="Times New Roman" w:eastAsia="Times New Roman" w:cs="Times New Roman"/>
        </w:rPr>
        <w:t>,</w:t>
      </w:r>
      <w:r>
        <w:rPr>
          <w:rFonts w:ascii="Microsoft YaHei" w:hAnsi="Microsoft YaHei" w:eastAsia="Microsoft YaHei" w:cs="Microsoft YaHei"/>
        </w:rPr>
        <w:t>那就是神</w:t>
      </w:r>
      <w:r>
        <w:rPr>
          <w:rFonts w:ascii="Times New Roman" w:hAnsi="Times New Roman" w:eastAsia="Times New Roman" w:cs="Times New Roman"/>
        </w:rPr>
        <w:t>“</w:t>
      </w:r>
      <w:r>
        <w:rPr>
          <w:rFonts w:ascii="Microsoft YaHei" w:hAnsi="Microsoft YaHei" w:eastAsia="Microsoft YaHei" w:cs="Microsoft YaHei"/>
        </w:rPr>
        <w:t>在东风之日所发的暴风的那日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Paa nea ɛregye ahyɛ ne mu no, wobɛne no adi asɛm; ɔma ne mframa a ano yɛ den no gyina da a apuei mframa bɔ no. Enti eyi so na wɔde bɛtew Yakob amumɔyɛ ho; na eyi ne aba no nyinaa, sɛ wɔbeyi ne bɔne afi hɔ; bere a ɔde afɔremuka no abo nyinaa bɛyɛ sɛ kɔkɔɔbo a wɔabobɔ mu, nnua kronkron ne ahoni no rennyina bio. Nanso kurow a wɔabɔ ho ban no bɛda mpan, na atenae hɔ bɛda hɔ a wɔagyaw no, na wɔama no so te sɛ sare so; hɔ na nantwi ba no bedidi, na hɔ na ɔbɛda ase, na wadi ne mman no awe. Sɛ ne mman no ayow a, wobebu agu; mmea bɛba abɛhyew; efisɛ wɔyɛ ɔman a wonni ntease biara; enti nea ɔyɛɛ wɔn no renhu wɔn mmɔbɔ, na nea ɔbɔɔ wɔn no remfa adom nkyerɛ wɔn. Na ɛbɛba saa da no mu sɛ, Awurade bɛporow afi asubɔnten no ho akodu Misraim asuwa no so, na wɔbɛboaboa mo ano baako baako, O Israelfo mma. Na ɛbɛba saa da no mu sɛ, wɔbɛhyɛn torobɛnto kɛse no, na wɔn a na wɔrebɛyera wɔ Asiria asase so, ne wɔn a wɔatu wɔn agu wɔ Misraim asase so no bɛba, na wɔasom Awurade wɔ bepɔw kronkron no so wɔ Yerusalem. Yesaia 27:8–13.</w:t>
      </w:r>
    </w:p>
    <w:p>
      <w:pPr>
        <w:pStyle w:val="ArticleBody"/>
        <w:jc w:val="left"/>
      </w:pPr>
      <w:r>
        <w:rPr>
          <w:rFonts w:ascii="Times New Roman" w:hAnsi="Times New Roman" w:eastAsia="Times New Roman" w:cs="Times New Roman"/>
        </w:rPr>
        <w:t>mvula wa le ndzhaku wu sungule ku nela hi ku fafazela (hi mpimo) hi ti 11 ta Ndzati 2001, naswona mpfilumpfilu mayelana ni rungula ra mvula wa le ndzhaku ni rungula ra vuxisi ra ku rhula ni ku sirheleleka wu sungule. Matimu ya mpfilumpfilu wolowo hi wona laha ku homboloka ka Yakobo ku susiwaka kona (ku basisiwa, leswi vulaka ku rivaleriwa hi xitlhavelo). Matimu ya mpfilumpfilu wolowo, lowu nga mpfilumpfilu wa Habakuki, i nkarhi wa ku funghiwa ka gidi ra dzana ni mune-makume-mune wa magidi, lowu gimetaka hi Muadiventa wa Siku ra Vunkombo wa le Lawodikiya a hlantseriwa ehandle hi nomo wa Hosi, hikuva wona, tanihi “muti lowu sirheleriweke,” wu ta va rhumbi, hikuva a wu hundzuke muti wa vanhu lava nga riki na ku twisisa, lava nga kumiki tintswalo kumbe rirhandzu. Hi nkarhi wolowo “rito ra vumbirhi” ra Nhlavutelo 18, ri ta ba xipalapala lexikulu, lexi nga xipalapala xa vunkombo ni khombo ra vunharhu, kutani ntlhambi wun’wana wa Xikwembu wu ta ta wu gandzela e “Yerusalema”, leyi nga ta va yi hundzuke nhlangano wa kereke leyi hlulaka.</w:t>
      </w:r>
    </w:p>
    <w:p>
      <w:pPr>
        <w:pStyle w:val="ArticleBody"/>
        <w:jc w:val="left"/>
      </w:pPr>
      <w:r>
        <w:rPr>
          <w:rFonts w:ascii="Times New Roman" w:hAnsi="Times New Roman" w:eastAsia="Times New Roman" w:cs="Times New Roman"/>
        </w:rPr>
        <w:t>11 septembre 2001 identifie que la dernière génération de l’histoire de la terre est arrivée, et seuls ceux qui reconnaissent les arbres bourgeonnants du printemps recevront la pluie qui fait bourgeonner les arbres. Seuls ceux qui reconnaissent que l’islam du troisième malheur est ce qui marque l’arrivée de la pluie de l’arrière-saison et le scellement des cent quarante-quatre mille feront partie de ce groupe.</w:t>
      </w:r>
    </w:p>
    <w:p>
      <w:pPr>
        <w:pStyle w:val="ArticleScripture"/>
        <w:jc w:val="left"/>
      </w:pPr>
      <w:r>
        <w:rPr>
          <w:rFonts w:ascii="Times New Roman" w:hAnsi="Times New Roman" w:eastAsia="Times New Roman" w:cs="Times New Roman"/>
        </w:rPr>
        <w:t>«Seuls ceux qui vivent selon la lumière qu’ils ont recevront une lumière plus grande. À moins que nous n’avancions chaque jour dans la manifestation des vertus chrétiennes actives, nous ne reconnaîtrons pas les manifestations du Saint-Esprit dans la pluie de l’arrière-saison. Elle peut tomber sur les cœurs tout autour de nous, mais nous ne la discernerons ni ne la recevrons.» Testimonies to Ministers, 507.</w:t>
      </w:r>
    </w:p>
    <w:p>
      <w:pPr>
        <w:pStyle w:val="ArticleScripture"/>
        <w:jc w:val="left"/>
      </w:pPr>
      <w:r>
        <w:rPr>
          <w:rFonts w:ascii="Times New Roman" w:hAnsi="Times New Roman" w:eastAsia="Times New Roman" w:cs="Times New Roman"/>
        </w:rPr>
        <w:t>“Biz soňky ýagşa garaşmaly däldiris. Ol biziň üstümize inýän merhemetiň çygyna we ýagmurlaryna düşünip, olary kabul edýänleriň hemmesiniň üstüne geler. Biz ýagtylygyň böleklerini ýygnap alanymyzda, Özüne ynanmagymyzy isleýän Hudaýyň ynamdar rehimlerini gadyr bilen kabul edenimizde, onda her bir wada ýerine ýeter. ‘Çünki ýer öz pyntygyny çykaryşy ýaly, bag hem onda ekilen zatlary gögerdişi ýaly, Reb Hudaý hem ähli milletleriň öňünde dogrulygy we öwgüni gögerder’ (Işaýa 61:11). Bütin ýer ýüzi Hudaýyň şöhraty bilen dolmalydyr.” The Seventh-day Adventist Bible Commentary, volume 7, 984.</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“Se aqueles que podem ajudar em——não forem despertados para o senso do seu dever, não reconhecerão a obra de Deus quando se ouvir o alto clamor do terceiro anjo. Quando a luz sair para iluminar a Terra, em vez de virem em auxílio do Senhor, quererão restringir a Sua obra para que se conforme às suas ideias estreitas. Digo-vos que o Senhor há de operar nesta última obra de um modo grandemente fora da ordem comum das coisas, e de uma maneira contrária a qualquer planejamento humano. Haverá entre nós os que sempre quererão controlar a obra de Deus, ditando até mesmo que movimentos se deverão fazer quando a obra avançar sob a direção do anjo que se une ao terceiro anjo na mensagem a ser dada ao mundo. Deus usará caminhos e meios pelos quais se verá que Ele está tomando as rédeas em Suas próprias mãos. Os obreiros se surpreenderão com os meios simples que Ele usará para realizar e aperfeiçoar Sua obra de justiça.” Testemunhos para Ministros,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vingt et un</dc:title>
  <dc:subject>فهم علامات الأيام الأخيرة: إدراك إشارات المسيح إلى الأشجار المتبرعمة في الربيع</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