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Mia Moja na Ishirini na Mbili</w:t>
      </w:r>
    </w:p>
    <w:p>
      <w:pPr>
        <w:pStyle w:val="ArticleSubtitle"/>
        <w:jc w:val="left"/>
      </w:pPr>
      <w:r>
        <w:rPr>
          <w:rFonts w:ascii="Arial" w:hAnsi="Arial" w:eastAsia="Arial" w:cs="Arial"/>
        </w:rPr>
        <w:t>La Révélation de la Vérité : Un voyage à travers Daniel 11 et l’ébranlement du peuple de Dieu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Muna 1989, ngexesha lokuphela, xa ukukhanya kukaDaniyeli isahluko seshumi elinanye, iivesi ezingamashumi amane ukuya kwamashumi amane anesihlanu, kwatyhilwa, iintshaba zenyaniso zanika ukumelana okwavumela uThixo ukuba atyhile iinyaniso zokukhusela iziseko eziphambili zeso sicatshulwa encwadini kaDaniyeli, esasathi ke saba ngumbandela nengqwalasela yohlaselo lukaSathana. Loo mpikiswano ngenyaniso nempazamo kulo mbali yasetyenziswa nguMoya oyiNgcwele ukuchonga imithetho ethile yesiprofeto eya kuthi iqhubeke yandise ulwazi olwalutyhiliwe yaza emva koko yaba kukuvavanya isizukulwana sokugqibela sembali yehlabathi. Besiqwalasela “ukusetyenziswa okuphindwe kathathu kwesiprofeto,” size sichonge ezo zicelo njengomthetho oyintloko owatyhilwa kwinkqubo yokumelana eyabonakaliswa nguSathana ngezo ntsuku zangaphambili. Loo nkqubo yempikiswano ichongwa njengo “ukuzanyazanyiswa,” nguDade White.</w:t>
      </w:r>
    </w:p>
    <w:p>
      <w:pPr>
        <w:pStyle w:val="ArticleScripture"/>
        <w:jc w:val="left"/>
      </w:pPr>
      <w:r>
        <w:rPr>
          <w:rFonts w:ascii="Times New Roman" w:hAnsi="Times New Roman" w:eastAsia="Times New Roman" w:cs="Times New Roman"/>
        </w:rPr>
        <w:t>«Бях насочена към Божието провидение сред Неговия народ и ми бе показано, че всяко изпитание, извършвано чрез процеса на претопяване и очистване върху изповядващите се за християни, доказва, че някои са шлака. Чистото злато не винаги се явява. При всяка религиозна криза някои падат под изкушението. Божието пресяване отвява множества като сухи листа. Благоденствието умножава маса изповедници. Неволята ги очиства от църквата. Като класа, техният дух не е непоколебим с Бога. Те излизат от нас, защото не са от нас; понеже, когато настане скръб или гонение поради словото, мнозина се съблазняват.» Свидетелства, том 4, 89.</w:t>
      </w:r>
    </w:p>
    <w:p>
      <w:pPr>
        <w:pStyle w:val="ArticleBody"/>
        <w:jc w:val="left"/>
      </w:pPr>
      <w:r>
        <w:rPr>
          <w:rFonts w:ascii="Times New Roman" w:hAnsi="Times New Roman" w:eastAsia="Times New Roman" w:cs="Times New Roman"/>
        </w:rPr>
        <w:t>Das „Schütteln“ wird hervorgebracht, wenn die Wahrheit durch den Löwen aus dem Stamm Juda entsiegelt und danach eingeführt wird.</w:t>
      </w:r>
    </w:p>
    <w:p>
      <w:pPr>
        <w:pStyle w:val="ArticleScripture"/>
        <w:jc w:val="left"/>
      </w:pPr>
      <w:r>
        <w:rPr>
          <w:rFonts w:ascii="Times New Roman" w:hAnsi="Times New Roman" w:eastAsia="Times New Roman" w:cs="Times New Roman"/>
        </w:rPr>
        <w:t>«Я попросила пояснити значення побаченого мною потрясіння, і мені було показано, що воно буде спричинене прямим свідченням, викликаним порадою Правдивого Свідка до Лаодикійців. Це вплине на серце того, хто його приймає, і спонукає його піднести знамено та проголошувати пряму істину. Дехто не зможе знести цього прямого свідчення. Вони повстануть проти нього, і саме це спричинить потрясіння серед Божого народу». Early Writings, 271.</w:t>
      </w:r>
    </w:p>
    <w:p>
      <w:pPr>
        <w:pStyle w:val="ArticleBody"/>
        <w:jc w:val="left"/>
      </w:pPr>
      <w:r>
        <w:rPr>
          <w:rFonts w:ascii="Times New Roman" w:hAnsi="Times New Roman" w:eastAsia="Times New Roman" w:cs="Times New Roman"/>
        </w:rPr>
        <w:t>L’introduction de la « vérité » provoque toujours un ébranlement, et la vérité qui fut descellée en 1989 fit précisément cela. L’un des effets bénéfiques de la résistance opposée à la vérité fut l’élaboration d’un ensemble de règles destiné à établir l’accroissement de la connaissance au cours des années qui suivirent 1989. Le développement de ces règles est parallèle à l’élaboration d’un ensemble de règles durant la période des millérites. Toutes les applications triples de la prophétie biblique contribuent à la clarté des événements des derniers jours.</w:t>
      </w:r>
    </w:p>
    <w:p>
      <w:pPr>
        <w:pStyle w:val="ArticleBody"/>
        <w:jc w:val="left"/>
      </w:pPr>
      <w:r>
        <w:rPr>
          <w:rFonts w:ascii="Times New Roman" w:hAnsi="Times New Roman" w:eastAsia="Times New Roman" w:cs="Times New Roman"/>
        </w:rPr>
        <w:t>Rome ne Babylon ke tripal prayog us stri aur us pashu ke beech ke sambandh ko sthapit karte hain, jiske upar vah savar hai aur jis par vah Sunday law sankat ke itihas ke dauran rajya karti hai; yah vahin itihas bhi hai jo Babylon ki veshya par Parmeshwar ke karyakari nyay ka itihas hai.</w:t>
      </w:r>
    </w:p>
    <w:p>
      <w:pPr>
        <w:pStyle w:val="ArticleBody"/>
        <w:jc w:val="left"/>
      </w:pPr>
      <w:r>
        <w:rPr>
          <w:rFonts w:ascii="Times New Roman" w:hAnsi="Times New Roman" w:eastAsia="Times New Roman" w:cs="Times New Roman"/>
        </w:rPr>
        <w:t>Les triples applications de « le messager qui prépare la voie pour le Messager de l’Alliance », et aussi d’« Élie », identifient l’œuvre et le message dans les deux périodes qui illustrent la clôture du temps de grâce dans les derniers jours. La première période commence avec la première voix d’Apocalypse chapitre dix-huit, laquelle représente le commencement du jugement investigatif des vivants pour l’adventisme laodicéen, et la dernière période commence avec la seconde voix d’Apocalypse chapitre dix-huit, laquelle représente le jugement exécutif de la prostituée de Babylone.</w:t>
      </w:r>
    </w:p>
    <w:p>
      <w:pPr>
        <w:pStyle w:val="ArticleBody"/>
        <w:jc w:val="left"/>
      </w:pPr>
      <w:r>
        <w:rPr>
          <w:rFonts w:ascii="Times New Roman" w:hAnsi="Times New Roman" w:eastAsia="Times New Roman" w:cs="Times New Roman"/>
        </w:rPr>
        <w:t>Die dreifachen Anwendungen von Rom und Babylon stellen die äußere Geschichte von Gottes Endzeitvolk dar, während die dreifachen Anwendungen von Elia und dem Boten, der den Weg bereitet, die innere Geschichte von Gottes Endzeitvolk darstellen. Die dreifache Anwendung der drei Wehe identifiziert die Botschaft, die sich durch beide Zeitabschnitte zieht, die zusammen die abschließende Periode des Gerichts darstellen, das mit dem Hause Gottes beginnt und sich danach über die außerhalb des Hauses Gottes Befindlichen erstreckt. Die drei Wehe kennzeichnen, dass der Islam die Botschaft des Spätregens ist und zugleich das Werkzeug des Gerichts, das Gott gegen jene verwendet, die die Anbetung der Sonne der ganzen Menschheit aufzwingen. Der Abschluss des Gerichts stellt „die Tage der Rache Gottes“ dar, sowohl über Seine abtrünnige Kirche als auch über die Gottlosen außerhalb Seiner Kirche.</w:t>
      </w:r>
    </w:p>
    <w:p>
      <w:pPr>
        <w:pStyle w:val="ArticleBody"/>
        <w:jc w:val="left"/>
      </w:pPr>
      <w:r>
        <w:rPr>
          <w:rFonts w:ascii="Times New Roman" w:hAnsi="Times New Roman" w:eastAsia="Times New Roman" w:cs="Times New Roman"/>
        </w:rPr>
        <w:t>Yesu alipouanza kwanza huduma Yake katika sinagogi la Nazareti, alitumia Isaya sura ya sitini na moja kufafanua huduma Yake, ujumbe Wake na kazi Yake, ambavyo vilijumuisha pia kutambulisha wakati wa kisasi cha Mungu. Huduma Yake, ujumbe Wake na kazi Yake vilitangulia kwa mfano wa kinabii huduma, ujumbe na kazi ya wale mia moja arobaini na nne elfu, kwa maana wao humfuata Mwana-Kondoo po pote aendako.</w:t>
      </w:r>
    </w:p>
    <w:p>
      <w:pPr>
        <w:pStyle w:val="ArticleScripture"/>
        <w:jc w:val="left"/>
      </w:pPr>
      <w:r>
        <w:rPr>
          <w:rFonts w:ascii="Times New Roman" w:hAnsi="Times New Roman" w:eastAsia="Times New Roman" w:cs="Times New Roman"/>
        </w:rPr>
        <w:t>رُوحُ السَّيِّدِ الرَّبِّ عَلَيَّ، لأَنَّ الرَّبَّ مَسَحَنِي لأُبَشِّرَ الْوُدَعَاءَ؛ أَرْسَلَنِي لأَجْبُرَ مُنْكَسِرِي الْقُلُوبِ، لأُنَادِيَ لِلْمَأْسُورِينَ بِالْعِتْقِ، وَلِلْمَسْبِيِّينَ بِالإِطْلاَقِ؛ لأُنَادِيَ بِسَنَةِ الرَّبِّ الْمَقْبُولَةِ، وَبِيَوْمِ انْتِقَامِ إِلَهِنَا؛ لأُعَزِّيَ كُلَّ النَّائِحِينَ؛ لأَجْعَلَ لِلنَّائِحِينَ فِي صِهْيَوْنَ، لأُعْطِيَهُمْ جَمَالًا عِوَضًا عَنِ الرَّمَادِ، وَدُهْنَ فَرَحٍ عِوَضًا عَنِ النَّوْحِ، وَرِدَاءَ تَسْبِيحٍ عِوَضًا عَنِ الرُّوحِ الْيَائِسَةِ؛ فَيُدْعَوْنَ أَشْجَارَ الْبِرِّ، غَرْسَ الرَّبِّ لِلتَّمْجِيدِ. وَيَبْنُونَ الْخَرَائِبَ الْقَدِيمَةَ، يُقِيمُونَ الْمَوَاضِعَ الْخَرِبَةَ الأُولَى، وَيُجَدِّدُونَ الْمُدُنَ الْخَرِبَةَ، الْمَوَاضِعَ الْمُقْفِرَةَ مُنْذُ دَوْرٍ فَدَوْرٍ. وَيَقِفُ الأَجَانِبُ وَيَرْعَوْنَ غَنَمَكُمْ، وَيَكُونُ بَنُو الْغَرِيبِ حَرَّاثِيكُمْ وَكَرَّامِيكُمْ. أَمَّا أَنْتُمْ فَتُدْعَوْنَ كَهَنَةَ الرَّبِّ؛ يُسَمِّيكُمُ النَّاسُ خُدَّامَ إِلَهِنَا؛ تَأْكُلُونَ ثَرْوَةَ الأُمَمِ، وَعَلَى مَجْدِهِمْ تَفْتَخِرُونَ. إشعياء 61:1–6.</w:t>
      </w:r>
    </w:p>
    <w:p>
      <w:pPr>
        <w:pStyle w:val="ArticleBody"/>
        <w:jc w:val="left"/>
      </w:pPr>
      <w:r>
        <w:rPr>
          <w:rFonts w:ascii="Times New Roman" w:hAnsi="Times New Roman" w:eastAsia="Times New Roman" w:cs="Times New Roman"/>
        </w:rPr>
        <w:t>Yesu alipakwa mafuta katika ubatizo Wake, na alama hiyo ya njiani inaashiria Septemba 11, 2001, wakati upako wa Roho Mtakatifu ulipoanza kushuka juu ya wale waliotambua kwamba kumwagwa kwa mvua ya masika ya mwisho katika siku za mwisho kulikuwa kumeonyeshwa kwa mfano na historia ya Wamillerite, waliokuwa mahali pa kale palipobomoka ambapo wale mia moja arobaini na nne elfu wangejenga tena, mara watakaporudi kwenye njia za kale za Yeremia.</w:t>
      </w:r>
    </w:p>
    <w:p>
      <w:pPr>
        <w:pStyle w:val="ArticleBody"/>
        <w:jc w:val="left"/>
      </w:pPr>
      <w:r>
        <w:rPr>
          <w:rFonts w:ascii="Times New Roman" w:hAnsi="Times New Roman" w:eastAsia="Times New Roman" w:cs="Times New Roman"/>
        </w:rPr>
        <w:t>Tungkol ni Cristo a pagkamatuwid a mensahe manipud iti panagalsa idi 1888 ket nagbalin manen a pudno a kinapudno iti agdama, ken ti mensahe manipud iti panagalsa idi 1888 ket isu idi ti naimbag a damag nga addaan pannakabalin a manggaled kadagiti nadadael a puso, ngem awan pannakabalinna a manglukat kadagiti natangken a puso dagidiay nga addaan matmatenda a makakita, ngem saanda a madlaw, ken addaan lapayagda a mangngeg, ngem saanda a maawatan. Ti mensahe ni Cristo a pagkamatuwid manipud iti panagalsa idi 1888 ket isu met ti mensahe iti Laodicea nga isu iti dayta a dimteng manen tapno luktanna ti ruangan ti pagbaludan dagidiay a balud ti basol babaen iti Daydiay nga addaan pannakabalin a manglukat kadagiti ruangan a saan a mabalin a luktan ti asinoman a tao, ken mangserra kadagiti ruangan a saan a mabalin a serraan ti asinoman a tao.</w:t>
      </w:r>
    </w:p>
    <w:p>
      <w:pPr>
        <w:pStyle w:val="ArticleBody"/>
        <w:jc w:val="left"/>
      </w:pPr>
      <w:r>
        <w:rPr>
          <w:rFonts w:ascii="Times New Roman" w:hAnsi="Times New Roman" w:eastAsia="Times New Roman" w:cs="Times New Roman"/>
        </w:rPr>
        <w:t>Le 11 septembre 2001, ceux qui devaient présenter ces bonnes nouvelles devaient aussi proclamer l’année de grâce du Seigneur et le jour de la vengeance de Dieu. L’année de l’acceptation du Seigneur a également commencé à ce moment-là, et Il est pleinement disposé à accepter la repentance d’un Laodicéen, jusqu’à ce qu’arrive le jour de la vengeance de Dieu, lors de la loi dominicale prochainement à venir aux États-Unis. Alors Sa vengeance se manifestera contre une Église qui a refusé de connaître le temps où elle a été visitée, et simultanément commencera le jugement progressif contre la prostituée de Babylone.</w:t>
      </w:r>
    </w:p>
    <w:p>
      <w:pPr>
        <w:pStyle w:val="ArticleBody"/>
        <w:jc w:val="left"/>
      </w:pPr>
      <w:r>
        <w:rPr>
          <w:rFonts w:ascii="Times New Roman" w:hAnsi="Times New Roman" w:eastAsia="Times New Roman" w:cs="Times New Roman"/>
        </w:rPr>
        <w:t>Au jour de son agrément, il promet de consoler tous ceux qui mènent deuil, et ceux qui mènent deuil en Jérusalem sont illustrés dans Ézéchiel, chapitre neuf. Leur consolation s’opère par le Consolateur, au moyen de la réception du message de la pluie de l’arrière-saison qui est alors répandue sur eux. Mais seulement s’ils reconnaissent la pluie. Une fois qu’ils possèdent le Consolateur et accomplissent l’œuvre de rebâtir les anciens lieux dévastés, selon la méthode de « ligne sur ligne », laquelle est illustrée dans le passage d’Ésaïe comme l’œuvre consistant à placer la ligne de prophétie qui représente la désolation de l’histoire sacrée sur une autre ligne de prophétie qui illustre une désolation, ils relèvent alors les dévastations de nombreuses générations. Alors les « étrangers » répondront à ceux qui mènent deuil, lesquels sont élevés comme une bannière, afin que les étrangers les voient.</w:t>
      </w:r>
    </w:p>
    <w:p>
      <w:pPr>
        <w:pStyle w:val="ArticleBody"/>
        <w:jc w:val="left"/>
      </w:pPr>
      <w:r>
        <w:rPr>
          <w:rFonts w:ascii="Times New Roman" w:hAnsi="Times New Roman" w:eastAsia="Times New Roman" w:cs="Times New Roman"/>
        </w:rPr>
        <w:t>Ang paghayag ni Cristo ng Kaniyang gawain at ministeryo, gaya ng inilahad sa Isaias kabanata animnapu’t isa, ay siyang gawain at ministeryo ng isandaan at apatnapu’t apat na libo. Ang gawaing iyon ay inilarawan sa mga sagradong kilusang reporma, at noong 1989 ay dumating ang panahon ng kawakasan na ipinagpauna ng lahat ng naunang “mga panahon ng kawakasan.” Kung paanong ang isang talata, Daniel kabanata walo, talata labing-apat, ay kinilala bilang pundasyon at pangunahing haligi ng kilusang Millerita, ang talatang siyang pundasyon at pangunahing haligi ng kilusan ng Future for America ay Daniel kabanata labing-isa, talata apatnapu. Para sa mga Millerita, ang liwanag ng pangunahing haligi ay inilarawan bilang liwanag ng pangitain sa Ilog Ulai, at para sa kilusan ng Future for America, ang liwanag ng pangunahing haligi ay inilarawan bilang liwanag ng pangitain sa Ilog Hiddekel.</w:t>
      </w:r>
    </w:p>
    <w:p>
      <w:pPr>
        <w:pStyle w:val="ArticleScripture"/>
        <w:jc w:val="left"/>
      </w:pPr>
      <w:r>
        <w:rPr>
          <w:rFonts w:ascii="Times New Roman" w:hAnsi="Times New Roman" w:eastAsia="Times New Roman" w:cs="Times New Roman"/>
        </w:rPr>
        <w:t>«Dieu avait accordé à Daniel une lumière qui visait tout particulièrement ces derniers jours. Les visions qu’il contempla sur les rives de l’Ulaï et du Hiddékel, les grands fleuves de Schinear, sont maintenant en voie d’accomplissement, et tous les événements annoncés s’accompliront bientôt.» Testimonies to Ministers, 112.</w:t>
      </w:r>
    </w:p>
    <w:p>
      <w:pPr>
        <w:pStyle w:val="ArticleBody"/>
        <w:jc w:val="left"/>
      </w:pPr>
      <w:r>
        <w:rPr>
          <w:rFonts w:ascii="Times New Roman" w:hAnsi="Times New Roman" w:eastAsia="Times New Roman" w:cs="Times New Roman"/>
        </w:rPr>
        <w:t>La lumière des deux visions représentées par les deux fleuves est liée ensemble, et s’accomplit dans les derniers jours. Leur « lien » mutuel représente la combinaison de l’humain et du divin, laquelle est le message que sœur White identifie à maintes reprises comme le message du Christ dans le contexte où l’humanité unie à la divinité ne pèche pas. Les deux fleuves représentent précisément ce lien.</w:t>
      </w:r>
    </w:p>
    <w:p>
      <w:pPr>
        <w:pStyle w:val="ArticleScripture"/>
        <w:jc w:val="left"/>
      </w:pP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御要求</w:t>
      </w:r>
      <w:r>
        <w:rPr>
          <w:rFonts w:ascii="MS Gothic" w:hAnsi="MS Gothic" w:eastAsia="MS Gothic" w:cs="MS Gothic"/>
        </w:rPr>
        <w:t>の</w:t>
      </w:r>
      <w:r>
        <w:rPr>
          <w:rFonts w:ascii="Microsoft YaHei" w:hAnsi="Microsoft YaHei" w:eastAsia="Microsoft YaHei" w:cs="Microsoft YaHei"/>
        </w:rPr>
        <w:t>基準</w:t>
      </w:r>
      <w:r>
        <w:rPr>
          <w:rFonts w:ascii="MS Gothic" w:hAnsi="MS Gothic" w:eastAsia="MS Gothic" w:cs="MS Gothic"/>
        </w:rPr>
        <w:t>を</w:t>
      </w:r>
      <w:r>
        <w:rPr>
          <w:rFonts w:ascii="Microsoft YaHei" w:hAnsi="Microsoft YaHei" w:eastAsia="Microsoft YaHei" w:cs="Microsoft YaHei"/>
        </w:rPr>
        <w:t>満</w:t>
      </w:r>
      <w:r>
        <w:rPr>
          <w:rFonts w:ascii="MS Gothic" w:hAnsi="MS Gothic" w:eastAsia="MS Gothic" w:cs="MS Gothic"/>
        </w:rPr>
        <w:t>たし</w:t>
      </w:r>
      <w:r>
        <w:rPr>
          <w:rFonts w:ascii="Microsoft YaHei" w:hAnsi="Microsoft YaHei" w:eastAsia="Microsoft YaHei" w:cs="Microsoft YaHei"/>
        </w:rPr>
        <w:t>得</w:t>
      </w:r>
      <w:r>
        <w:rPr>
          <w:rFonts w:ascii="MS Gothic" w:hAnsi="MS Gothic" w:eastAsia="MS Gothic" w:cs="MS Gothic"/>
        </w:rPr>
        <w:t>るのは</w:t>
      </w:r>
      <w:r>
        <w:rPr>
          <w:rFonts w:ascii="Microsoft YaHei" w:hAnsi="Microsoft YaHei" w:eastAsia="Microsoft YaHei" w:cs="Microsoft YaHei"/>
        </w:rPr>
        <w:t>、完全</w:t>
      </w:r>
      <w:r>
        <w:rPr>
          <w:rFonts w:ascii="MS Gothic" w:hAnsi="MS Gothic" w:eastAsia="MS Gothic" w:cs="MS Gothic"/>
        </w:rPr>
        <w:t>な</w:t>
      </w:r>
      <w:r>
        <w:rPr>
          <w:rFonts w:ascii="Microsoft YaHei" w:hAnsi="Microsoft YaHei" w:eastAsia="Microsoft YaHei" w:cs="Microsoft YaHei"/>
        </w:rPr>
        <w:t>従順以外</w:t>
      </w:r>
      <w:r>
        <w:rPr>
          <w:rFonts w:ascii="MS Gothic" w:hAnsi="MS Gothic" w:eastAsia="MS Gothic" w:cs="MS Gothic"/>
        </w:rPr>
        <w:t>にはない</w:t>
      </w:r>
      <w:r>
        <w:rPr>
          <w:rFonts w:ascii="Times New Roman" w:hAnsi="Times New Roman" w:eastAsia="Times New Roman" w:cs="Times New Roman"/>
        </w:rPr>
        <w:t>.</w:t>
      </w:r>
      <w:r>
        <w:rPr>
          <w:rFonts w:ascii="Microsoft YaHei" w:hAnsi="Microsoft YaHei" w:eastAsia="Microsoft YaHei" w:cs="Microsoft YaHei"/>
        </w:rPr>
        <w:t>神</w:t>
      </w:r>
      <w:r>
        <w:rPr>
          <w:rFonts w:ascii="MS Gothic" w:hAnsi="MS Gothic" w:eastAsia="MS Gothic" w:cs="MS Gothic"/>
        </w:rPr>
        <w:t>は</w:t>
      </w:r>
      <w:r>
        <w:rPr>
          <w:rFonts w:ascii="Microsoft YaHei" w:hAnsi="Microsoft YaHei" w:eastAsia="Microsoft YaHei" w:cs="Microsoft YaHei"/>
        </w:rPr>
        <w:t>御自身</w:t>
      </w:r>
      <w:r>
        <w:rPr>
          <w:rFonts w:ascii="MS Gothic" w:hAnsi="MS Gothic" w:eastAsia="MS Gothic" w:cs="MS Gothic"/>
        </w:rPr>
        <w:t>の</w:t>
      </w:r>
      <w:r>
        <w:rPr>
          <w:rFonts w:ascii="Microsoft YaHei" w:hAnsi="Microsoft YaHei" w:eastAsia="Microsoft YaHei" w:cs="Microsoft YaHei"/>
        </w:rPr>
        <w:t>御要求</w:t>
      </w:r>
      <w:r>
        <w:rPr>
          <w:rFonts w:ascii="MS Gothic" w:hAnsi="MS Gothic" w:eastAsia="MS Gothic" w:cs="MS Gothic"/>
        </w:rPr>
        <w:t>を</w:t>
      </w:r>
      <w:r>
        <w:rPr>
          <w:rFonts w:ascii="Microsoft YaHei" w:hAnsi="Microsoft YaHei" w:eastAsia="Microsoft YaHei" w:cs="Microsoft YaHei"/>
        </w:rPr>
        <w:t>曖昧</w:t>
      </w:r>
      <w:r>
        <w:rPr>
          <w:rFonts w:ascii="MS Gothic" w:hAnsi="MS Gothic" w:eastAsia="MS Gothic" w:cs="MS Gothic"/>
        </w:rPr>
        <w:t>なままにはしておられない</w:t>
      </w:r>
      <w:r>
        <w:rPr>
          <w:rFonts w:ascii="Times New Roman" w:hAnsi="Times New Roman" w:eastAsia="Times New Roman" w:cs="Times New Roman"/>
        </w:rPr>
        <w:t>.</w:t>
      </w:r>
      <w:r>
        <w:rPr>
          <w:rFonts w:ascii="Microsoft YaHei" w:hAnsi="Microsoft YaHei" w:eastAsia="Microsoft YaHei" w:cs="Microsoft YaHei"/>
        </w:rPr>
        <w:t>人</w:t>
      </w:r>
      <w:r>
        <w:rPr>
          <w:rFonts w:ascii="MS Gothic" w:hAnsi="MS Gothic" w:eastAsia="MS Gothic" w:cs="MS Gothic"/>
        </w:rPr>
        <w:t>を</w:t>
      </w:r>
      <w:r>
        <w:rPr>
          <w:rFonts w:ascii="Microsoft YaHei" w:hAnsi="Microsoft YaHei" w:eastAsia="Microsoft YaHei" w:cs="Microsoft YaHei"/>
        </w:rPr>
        <w:t>御自身</w:t>
      </w:r>
      <w:r>
        <w:rPr>
          <w:rFonts w:ascii="MS Gothic" w:hAnsi="MS Gothic" w:eastAsia="MS Gothic" w:cs="MS Gothic"/>
        </w:rPr>
        <w:t>との</w:t>
      </w:r>
      <w:r>
        <w:rPr>
          <w:rFonts w:ascii="Microsoft YaHei" w:hAnsi="Microsoft YaHei" w:eastAsia="Microsoft YaHei" w:cs="Microsoft YaHei"/>
        </w:rPr>
        <w:t>調和</w:t>
      </w:r>
      <w:r>
        <w:rPr>
          <w:rFonts w:ascii="MS Gothic" w:hAnsi="MS Gothic" w:eastAsia="MS Gothic" w:cs="MS Gothic"/>
        </w:rPr>
        <w:t>へと</w:t>
      </w:r>
      <w:r>
        <w:rPr>
          <w:rFonts w:ascii="Microsoft YaHei" w:hAnsi="Microsoft YaHei" w:eastAsia="Microsoft YaHei" w:cs="Microsoft YaHei"/>
        </w:rPr>
        <w:t>導</w:t>
      </w:r>
      <w:r>
        <w:rPr>
          <w:rFonts w:ascii="MS Gothic" w:hAnsi="MS Gothic" w:eastAsia="MS Gothic" w:cs="MS Gothic"/>
        </w:rPr>
        <w:t>くために</w:t>
      </w:r>
      <w:r>
        <w:rPr>
          <w:rFonts w:ascii="Microsoft YaHei" w:hAnsi="Microsoft YaHei" w:eastAsia="Microsoft YaHei" w:cs="Microsoft YaHei"/>
        </w:rPr>
        <w:t>必要</w:t>
      </w:r>
      <w:r>
        <w:rPr>
          <w:rFonts w:ascii="MS Gothic" w:hAnsi="MS Gothic" w:eastAsia="MS Gothic" w:cs="MS Gothic"/>
        </w:rPr>
        <w:t>でないことは</w:t>
      </w:r>
      <w:r>
        <w:rPr>
          <w:rFonts w:ascii="Microsoft YaHei" w:hAnsi="Microsoft YaHei" w:eastAsia="Microsoft YaHei" w:cs="Microsoft YaHei"/>
        </w:rPr>
        <w:t>、何一</w:t>
      </w:r>
      <w:r>
        <w:rPr>
          <w:rFonts w:ascii="MS Gothic" w:hAnsi="MS Gothic" w:eastAsia="MS Gothic" w:cs="MS Gothic"/>
        </w:rPr>
        <w:t>つお</w:t>
      </w:r>
      <w:r>
        <w:rPr>
          <w:rFonts w:ascii="Microsoft YaHei" w:hAnsi="Microsoft YaHei" w:eastAsia="Microsoft YaHei" w:cs="Microsoft YaHei"/>
        </w:rPr>
        <w:t>命</w:t>
      </w:r>
      <w:r>
        <w:rPr>
          <w:rFonts w:ascii="MS Gothic" w:hAnsi="MS Gothic" w:eastAsia="MS Gothic" w:cs="MS Gothic"/>
        </w:rPr>
        <w:t>じになってはいない</w:t>
      </w:r>
      <w:r>
        <w:rPr>
          <w:rFonts w:ascii="Times New Roman" w:hAnsi="Times New Roman" w:eastAsia="Times New Roman" w:cs="Times New Roman"/>
        </w:rPr>
        <w:t>.</w:t>
      </w:r>
      <w:r>
        <w:rPr>
          <w:rFonts w:ascii="MS Gothic" w:hAnsi="MS Gothic" w:eastAsia="MS Gothic" w:cs="MS Gothic"/>
        </w:rPr>
        <w:t>われわれは</w:t>
      </w:r>
      <w:r>
        <w:rPr>
          <w:rFonts w:ascii="Microsoft YaHei" w:hAnsi="Microsoft YaHei" w:eastAsia="Microsoft YaHei" w:cs="Microsoft YaHei"/>
        </w:rPr>
        <w:t>罪人</w:t>
      </w:r>
      <w:r>
        <w:rPr>
          <w:rFonts w:ascii="MS Gothic" w:hAnsi="MS Gothic" w:eastAsia="MS Gothic" w:cs="MS Gothic"/>
        </w:rPr>
        <w:t>たちに</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理想的品性</w:t>
      </w:r>
      <w:r>
        <w:rPr>
          <w:rFonts w:ascii="MS Gothic" w:hAnsi="MS Gothic" w:eastAsia="MS Gothic" w:cs="MS Gothic"/>
        </w:rPr>
        <w:t>を</w:t>
      </w:r>
      <w:r>
        <w:rPr>
          <w:rFonts w:ascii="Microsoft YaHei" w:hAnsi="Microsoft YaHei" w:eastAsia="Microsoft YaHei" w:cs="Microsoft YaHei"/>
        </w:rPr>
        <w:t>示</w:t>
      </w:r>
      <w:r>
        <w:rPr>
          <w:rFonts w:ascii="MS Gothic" w:hAnsi="MS Gothic" w:eastAsia="MS Gothic" w:cs="MS Gothic"/>
        </w:rPr>
        <w:t>し</w:t>
      </w:r>
      <w:r>
        <w:rPr>
          <w:rFonts w:ascii="Microsoft YaHei" w:hAnsi="Microsoft YaHei" w:eastAsia="Microsoft YaHei" w:cs="Microsoft YaHei"/>
        </w:rPr>
        <w:t>、</w:t>
      </w:r>
      <w:r>
        <w:rPr>
          <w:rFonts w:ascii="MS Gothic" w:hAnsi="MS Gothic" w:eastAsia="MS Gothic" w:cs="MS Gothic"/>
        </w:rPr>
        <w:t>その</w:t>
      </w:r>
      <w:r>
        <w:rPr>
          <w:rFonts w:ascii="Microsoft YaHei" w:hAnsi="Microsoft YaHei" w:eastAsia="Microsoft YaHei" w:cs="Microsoft YaHei"/>
        </w:rPr>
        <w:t>恵</w:t>
      </w:r>
      <w:r>
        <w:rPr>
          <w:rFonts w:ascii="MS Gothic" w:hAnsi="MS Gothic" w:eastAsia="MS Gothic" w:cs="MS Gothic"/>
        </w:rPr>
        <w:t>みによってのみこの</w:t>
      </w:r>
      <w:r>
        <w:rPr>
          <w:rFonts w:ascii="Microsoft YaHei" w:hAnsi="Microsoft YaHei" w:eastAsia="Microsoft YaHei" w:cs="Microsoft YaHei"/>
        </w:rPr>
        <w:t>理想</w:t>
      </w:r>
      <w:r>
        <w:rPr>
          <w:rFonts w:ascii="MS Gothic" w:hAnsi="MS Gothic" w:eastAsia="MS Gothic" w:cs="MS Gothic"/>
        </w:rPr>
        <w:t>に</w:t>
      </w:r>
      <w:r>
        <w:rPr>
          <w:rFonts w:ascii="Microsoft YaHei" w:hAnsi="Microsoft YaHei" w:eastAsia="Microsoft YaHei" w:cs="Microsoft YaHei"/>
        </w:rPr>
        <w:t>到達</w:t>
      </w:r>
      <w:r>
        <w:rPr>
          <w:rFonts w:ascii="MS Gothic" w:hAnsi="MS Gothic" w:eastAsia="MS Gothic" w:cs="MS Gothic"/>
        </w:rPr>
        <w:t>し</w:t>
      </w:r>
      <w:r>
        <w:rPr>
          <w:rFonts w:ascii="Microsoft YaHei" w:hAnsi="Microsoft YaHei" w:eastAsia="Microsoft YaHei" w:cs="Microsoft YaHei"/>
        </w:rPr>
        <w:t>得</w:t>
      </w:r>
      <w:r>
        <w:rPr>
          <w:rFonts w:ascii="MS Gothic" w:hAnsi="MS Gothic" w:eastAsia="MS Gothic" w:cs="MS Gothic"/>
        </w:rPr>
        <w:t>るキリストへと</w:t>
      </w:r>
      <w:r>
        <w:rPr>
          <w:rFonts w:ascii="Microsoft YaHei" w:hAnsi="Microsoft YaHei" w:eastAsia="Microsoft YaHei" w:cs="Microsoft YaHei"/>
        </w:rPr>
        <w:t>彼</w:t>
      </w:r>
      <w:r>
        <w:rPr>
          <w:rFonts w:ascii="MS Gothic" w:hAnsi="MS Gothic" w:eastAsia="MS Gothic" w:cs="MS Gothic"/>
        </w:rPr>
        <w:t>らを</w:t>
      </w:r>
      <w:r>
        <w:rPr>
          <w:rFonts w:ascii="Microsoft YaHei" w:hAnsi="Microsoft YaHei" w:eastAsia="Microsoft YaHei" w:cs="Microsoft YaHei"/>
        </w:rPr>
        <w:t>導</w:t>
      </w:r>
      <w:r>
        <w:rPr>
          <w:rFonts w:ascii="MS Gothic" w:hAnsi="MS Gothic" w:eastAsia="MS Gothic" w:cs="MS Gothic"/>
        </w:rPr>
        <w:t>かなければならない</w:t>
      </w:r>
      <w:r>
        <w:rPr>
          <w:rFonts w:ascii="Times New Roman" w:hAnsi="Times New Roman" w:eastAsia="Times New Roman" w:cs="Times New Roman"/>
        </w:rPr>
        <w:t>.</w:t>
      </w:r>
      <w:r>
        <w:rPr>
          <w:rFonts w:ascii="Microsoft YaHei" w:hAnsi="Microsoft YaHei" w:eastAsia="Microsoft YaHei" w:cs="Microsoft YaHei"/>
        </w:rPr>
        <w:t>」</w:t>
      </w:r>
    </w:p>
    <w:p>
      <w:pPr>
        <w:pStyle w:val="ArticleScripture"/>
        <w:jc w:val="left"/>
      </w:pPr>
      <w:r>
        <w:rPr>
          <w:rFonts w:ascii="Times New Roman" w:hAnsi="Times New Roman" w:eastAsia="Times New Roman" w:cs="Times New Roman"/>
        </w:rPr>
        <w:t>“Le Sauveur s’est chargé des infirmités de l’humanité et a vécu une vie sans péché, afin que les hommes n’aient aucune crainte qu’en raison de la faiblesse de la nature humaine ils ne puissent vaincre. Christ est venu pour faire de nous des « participants de la nature divine », et sa vie déclare que l’humanité, unie à la divinité, ne commet pas de péché.</w:t>
      </w:r>
    </w:p>
    <w:p>
      <w:pPr>
        <w:pStyle w:val="ArticleScripture"/>
        <w:jc w:val="left"/>
      </w:pPr>
      <w:r>
        <w:rPr>
          <w:rFonts w:ascii="Times New Roman" w:hAnsi="Times New Roman" w:eastAsia="Times New Roman" w:cs="Times New Roman"/>
        </w:rPr>
        <w:t>“Le Sauveur a vaincu pour montrer à l’homme comment il peut vaincre. À toutes les tentations de Satan, Christ a répondu par la parole de Dieu. En se confiant aux promesses de Dieu, Il a reçu la puissance d’obéir aux commandements de Dieu, et le tentateur ne put obtenir aucun avantage. À chaque tentation, Sa réponse fut : « Il est écrit. » Ainsi Dieu nous a donné Sa parole, afin que nous résistions au mal. Des promesses infiniment grandes et précieuses nous appartiennent, afin que, par elles, nous « devenions participants de la nature divine, en fuyant la corruption qui existe dans le monde par la convoitise ». 2 Pierre 1:4.</w:t>
      </w:r>
    </w:p>
    <w:p>
      <w:pPr>
        <w:pStyle w:val="ArticleScripture"/>
        <w:jc w:val="left"/>
      </w:pPr>
      <w:r>
        <w:rPr>
          <w:rFonts w:ascii="Times New Roman" w:hAnsi="Times New Roman" w:eastAsia="Times New Roman" w:cs="Times New Roman"/>
        </w:rPr>
        <w:t>«کہو کہ آزمائے گئے شخص حالات کی طرف، اپنی ذات کی کمزوری کی طرف، یا آزمائش کی قوت کی طرف نہ دیکھے، بلکہ خدا کے کلام کی قدرت کی طرف دیکھے۔ اس کی ساری قوت ہماری ہے۔ زبور نویس کہتا ہے، “تیرا کلام میں نے اپنے دل میں رکھ چھوڑا ہے، تاکہ میں تیرا گناہ نہ کروں۔” “تیرے ہونٹوں کے کلام کے سبب میں نے اپنے آپ کو ہلاک کرنے والے کے راستوں سے محفوظ رکھا ہے۔” زبور 119:11؛ 17:4۔» The Ministry of Healing, 181.</w:t>
      </w:r>
    </w:p>
    <w:p>
      <w:pPr>
        <w:pStyle w:val="ArticleBody"/>
        <w:jc w:val="left"/>
      </w:pPr>
      <w:r>
        <w:rPr>
          <w:rFonts w:ascii="Times New Roman" w:hAnsi="Times New Roman" w:eastAsia="Times New Roman" w:cs="Times New Roman"/>
        </w:rPr>
        <w:t>De toeneming van kennis in 1798 en in 1989 vertegenwoordigde een ontzegeling van Gods profetisch Woord. Zijn Woord verschaft de kracht om te overwinnen zoals Hij heeft overwonnen, en “Zijn leven verklaart dat de mensheid, verenigd met de godheid, niet zondigt.” Het visioen van de rivier de Ulai is het marah-visioen van Zijn verschijning, dat wordt voorgesteld door de profetie van de tweeduizend driehonderd dagen. Het visioen van de rivier de Hiddekel is het chazon-visioen van de profetische geschiedenis, dat wordt voorgesteld door de profetie van de tweeduizend vijfhonderd en twintig jaar. Het marah-visioen vertegenwoordigt de godheid en het chazon-visioen vertegenwoordigt de mensheid.</w:t>
      </w:r>
    </w:p>
    <w:p>
      <w:pPr>
        <w:pStyle w:val="ArticleBody"/>
        <w:jc w:val="left"/>
      </w:pPr>
      <w:r>
        <w:rPr>
          <w:rFonts w:ascii="Times New Roman" w:hAnsi="Times New Roman" w:eastAsia="Times New Roman" w:cs="Times New Roman"/>
        </w:rPr>
        <w:t>Afitɛ a ɛwɔ Shinar tete no mu baanu, a ɛne Ulai ne Hiddekel, anaa nea nnɛ yi wɔfrɛ no Tigris ne Euphrates no, awiei koraa no hyia wɔ nsuo kwan a wɔfrɛ no Shatt al-Arab mu wɔ Iraq anafo fam, na afei Shatt al-Arab no gu kɔ Persian Gulf mu. Yesu de honam fam ne abɔde mu nneɛma gyina hɔ ma honhom fam de, na anisoadehu ahorow a ɛfa afitɛ no baanu ho, a mprempren wɔrehyɛ mu ma no, gyina hɔ ma abɔdasɛm bi a ɛda nnipa ne ɔsoro de ntam, a ɛba bere a wɔrebɛn wɔn akwantu no awiei wɔ ɛpo no ho no. Saa nokware yi si hɔ wɔ nkɔmhyɛ mmienu no mfiase mu, a Daniel ti 8, nkyekyɛm 13 ne 14 anisoadehu mmienu no gyina hɔ ma. Anisoadehu baako yɛ asɛmmisa no, na foforo no yɛ mmuae no, na nyansa mu no, wontumi mpaapae wɔn mu.</w:t>
      </w:r>
    </w:p>
    <w:p>
      <w:pPr>
        <w:pStyle w:val="ArticleBody"/>
        <w:jc w:val="left"/>
      </w:pPr>
      <w:r>
        <w:rPr>
          <w:rFonts w:ascii="Times New Roman" w:hAnsi="Times New Roman" w:eastAsia="Times New Roman" w:cs="Times New Roman"/>
        </w:rPr>
        <w:t>La vision de l’humanité, qui identifie le foulage aux pieds du sanctuaire et de l’armée, commença en l’an 677 av. J.-C., et la vision de la divinité, qui identifie l’apparition du Christ, commença en l’an 457 av. J.-C. Le lien entre la divinité et l’humanité est représenté par les deux cent vingt années, qui relient les deux points de départ des deux visions. Deux cent vingt est un symbole du « lien de l’humanité avec la divinité », et il est aussi représenté par le lien entre l’accroissement de la connaissance au temps de la fin en 1798, et l’accroissement de la connaissance au temps de la fin en 1989.</w:t>
      </w:r>
    </w:p>
    <w:p>
      <w:pPr>
        <w:pStyle w:val="ArticleBody"/>
        <w:jc w:val="left"/>
      </w:pPr>
      <w:r>
        <w:rPr>
          <w:rFonts w:ascii="Leelawadee UI" w:hAnsi="Leelawadee UI" w:eastAsia="Leelawadee UI" w:cs="Leelawadee UI"/>
        </w:rPr>
        <w:t>តាមរយៈការកើនឡើងនៃចំណេះដឹងនៅឆ្នាំ</w:t>
      </w:r>
      <w:r>
        <w:rPr>
          <w:rFonts w:ascii="Times New Roman" w:hAnsi="Times New Roman" w:eastAsia="Times New Roman" w:cs="Times New Roman"/>
        </w:rPr>
        <w:t xml:space="preserve"> 1798 </w:t>
      </w:r>
      <w:r>
        <w:rPr>
          <w:rFonts w:ascii="Leelawadee UI" w:hAnsi="Leelawadee UI" w:eastAsia="Leelawadee UI" w:cs="Leelawadee UI"/>
        </w:rPr>
        <w:t>សារដែលត្រូវបានរៀបចំឱ្យមានទម្រង់ជាផ្លូវការ</w:t>
      </w:r>
      <w:r>
        <w:rPr>
          <w:rFonts w:ascii="Times New Roman" w:hAnsi="Times New Roman" w:eastAsia="Times New Roman" w:cs="Times New Roman"/>
        </w:rPr>
        <w:t xml:space="preserve"> </w:t>
      </w:r>
      <w:r>
        <w:rPr>
          <w:rFonts w:ascii="Leelawadee UI" w:hAnsi="Leelawadee UI" w:eastAsia="Leelawadee UI" w:cs="Leelawadee UI"/>
        </w:rPr>
        <w:t>ត្រូវបានមីល្លឺរបង្ហាញជាលើកដំបូងនៅឆ្នាំ</w:t>
      </w:r>
      <w:r>
        <w:rPr>
          <w:rFonts w:ascii="Times New Roman" w:hAnsi="Times New Roman" w:eastAsia="Times New Roman" w:cs="Times New Roman"/>
        </w:rPr>
        <w:t xml:space="preserve"> 1831 (</w:t>
      </w:r>
      <w:r>
        <w:rPr>
          <w:rFonts w:ascii="Leelawadee UI" w:hAnsi="Leelawadee UI" w:eastAsia="Leelawadee UI" w:cs="Leelawadee UI"/>
        </w:rPr>
        <w:t>ហើយបន្ទាប់មកនៅក្នុងកាសែត</w:t>
      </w:r>
      <w:r>
        <w:rPr>
          <w:rFonts w:ascii="Times New Roman" w:hAnsi="Times New Roman" w:eastAsia="Times New Roman" w:cs="Times New Roman"/>
        </w:rPr>
        <w:t xml:space="preserve"> Vermont Telegraph </w:t>
      </w:r>
      <w:r>
        <w:rPr>
          <w:rFonts w:ascii="Leelawadee UI" w:hAnsi="Leelawadee UI" w:eastAsia="Leelawadee UI" w:cs="Leelawadee UI"/>
        </w:rPr>
        <w:t>នៅឆ្នាំ</w:t>
      </w:r>
      <w:r>
        <w:rPr>
          <w:rFonts w:ascii="Times New Roman" w:hAnsi="Times New Roman" w:eastAsia="Times New Roman" w:cs="Times New Roman"/>
        </w:rPr>
        <w:t xml:space="preserve"> 1833)</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1831 </w:t>
      </w:r>
      <w:r>
        <w:rPr>
          <w:rFonts w:ascii="Leelawadee UI" w:hAnsi="Leelawadee UI" w:eastAsia="Leelawadee UI" w:cs="Leelawadee UI"/>
        </w:rPr>
        <w:t>គឺជារយៈពេលពីររយម្ភៃឆ្នាំបន្ទាប់ពីការបោះពុម្ពព្រះគម្ពីរ</w:t>
      </w:r>
      <w:r>
        <w:rPr>
          <w:rFonts w:ascii="Times New Roman" w:hAnsi="Times New Roman" w:eastAsia="Times New Roman" w:cs="Times New Roman"/>
        </w:rPr>
        <w:t xml:space="preserve"> King James </w:t>
      </w:r>
      <w:r>
        <w:rPr>
          <w:rFonts w:ascii="Leelawadee UI" w:hAnsi="Leelawadee UI" w:eastAsia="Leelawadee UI" w:cs="Leelawadee UI"/>
        </w:rPr>
        <w:t>ក្នុងឆ្នាំ</w:t>
      </w:r>
      <w:r>
        <w:rPr>
          <w:rFonts w:ascii="Times New Roman" w:hAnsi="Times New Roman" w:eastAsia="Times New Roman" w:cs="Times New Roman"/>
        </w:rPr>
        <w:t xml:space="preserve"> 1611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ព្រះគម្ពីរ</w:t>
      </w:r>
      <w:r>
        <w:rPr>
          <w:rFonts w:ascii="Times New Roman" w:hAnsi="Times New Roman" w:eastAsia="Times New Roman" w:cs="Times New Roman"/>
        </w:rPr>
        <w:t xml:space="preserve"> King James </w:t>
      </w:r>
      <w:r>
        <w:rPr>
          <w:rFonts w:ascii="Leelawadee UI" w:hAnsi="Leelawadee UI" w:eastAsia="Leelawadee UI" w:cs="Leelawadee UI"/>
        </w:rPr>
        <w:t>តំណាងឱ្យឯកសារពីរផ្នែក</w:t>
      </w:r>
      <w:r>
        <w:rPr>
          <w:rFonts w:ascii="Times New Roman" w:hAnsi="Times New Roman" w:eastAsia="Times New Roman" w:cs="Times New Roman"/>
        </w:rPr>
        <w:t xml:space="preserve"> </w:t>
      </w:r>
      <w:r>
        <w:rPr>
          <w:rFonts w:ascii="Leelawadee UI" w:hAnsi="Leelawadee UI" w:eastAsia="Leelawadee UI" w:cs="Leelawadee UI"/>
        </w:rPr>
        <w:t>គឺព្រះគម្ពីរសញ្ញាចាស់</w:t>
      </w:r>
      <w:r>
        <w:rPr>
          <w:rFonts w:ascii="Times New Roman" w:hAnsi="Times New Roman" w:eastAsia="Times New Roman" w:cs="Times New Roman"/>
        </w:rPr>
        <w:t xml:space="preserve"> </w:t>
      </w:r>
      <w:r>
        <w:rPr>
          <w:rFonts w:ascii="Leelawadee UI" w:hAnsi="Leelawadee UI" w:eastAsia="Leelawadee UI" w:cs="Leelawadee UI"/>
        </w:rPr>
        <w:t>និងសញ្ញាថ្មី។</w:t>
      </w:r>
      <w:r>
        <w:rPr>
          <w:rFonts w:ascii="Times New Roman" w:hAnsi="Times New Roman" w:eastAsia="Times New Roman" w:cs="Times New Roman"/>
        </w:rPr>
        <w:t xml:space="preserve"> </w:t>
      </w:r>
      <w:r>
        <w:rPr>
          <w:rFonts w:ascii="Leelawadee UI" w:hAnsi="Leelawadee UI" w:eastAsia="Leelawadee UI" w:cs="Leelawadee UI"/>
        </w:rPr>
        <w:t>ការចាប់ផ្តើម</w:t>
      </w:r>
      <w:r>
        <w:rPr>
          <w:rFonts w:ascii="Times New Roman" w:hAnsi="Times New Roman" w:eastAsia="Times New Roman" w:cs="Times New Roman"/>
        </w:rPr>
        <w:t xml:space="preserve"> </w:t>
      </w:r>
      <w:r>
        <w:rPr>
          <w:rFonts w:ascii="Leelawadee UI" w:hAnsi="Leelawadee UI" w:eastAsia="Leelawadee UI" w:cs="Leelawadee UI"/>
        </w:rPr>
        <w:t>និងការបញ្ចប់នៃរយៈពេលពីររយម្ភៃឆ្នាំនោះ</w:t>
      </w:r>
      <w:r>
        <w:rPr>
          <w:rFonts w:ascii="Times New Roman" w:hAnsi="Times New Roman" w:eastAsia="Times New Roman" w:cs="Times New Roman"/>
        </w:rPr>
        <w:t xml:space="preserve"> </w:t>
      </w:r>
      <w:r>
        <w:rPr>
          <w:rFonts w:ascii="Leelawadee UI" w:hAnsi="Leelawadee UI" w:eastAsia="Leelawadee UI" w:cs="Leelawadee UI"/>
        </w:rPr>
        <w:t>បាន</w:t>
      </w:r>
      <w:r>
        <w:rPr>
          <w:rFonts w:ascii="Times New Roman" w:hAnsi="Times New Roman" w:eastAsia="Times New Roman" w:cs="Times New Roman"/>
        </w:rPr>
        <w:t xml:space="preserve"> «</w:t>
      </w:r>
      <w:r>
        <w:rPr>
          <w:rFonts w:ascii="Leelawadee UI" w:hAnsi="Leelawadee UI" w:eastAsia="Leelawadee UI" w:cs="Leelawadee UI"/>
        </w:rPr>
        <w:t>ភ្ជាប់</w:t>
      </w:r>
      <w:r>
        <w:rPr>
          <w:rFonts w:ascii="Times New Roman" w:hAnsi="Times New Roman" w:eastAsia="Times New Roman" w:cs="Times New Roman"/>
        </w:rPr>
        <w:t xml:space="preserve">» </w:t>
      </w:r>
      <w:r>
        <w:rPr>
          <w:rFonts w:ascii="Leelawadee UI" w:hAnsi="Leelawadee UI" w:eastAsia="Leelawadee UI" w:cs="Leelawadee UI"/>
        </w:rPr>
        <w:t>ការបោះពុម្ពដ៏ទេវភាពមួយ</w:t>
      </w:r>
      <w:r>
        <w:rPr>
          <w:rFonts w:ascii="Times New Roman" w:hAnsi="Times New Roman" w:eastAsia="Times New Roman" w:cs="Times New Roman"/>
        </w:rPr>
        <w:t xml:space="preserve"> </w:t>
      </w:r>
      <w:r>
        <w:rPr>
          <w:rFonts w:ascii="Leelawadee UI" w:hAnsi="Leelawadee UI" w:eastAsia="Leelawadee UI" w:cs="Leelawadee UI"/>
        </w:rPr>
        <w:t>ជាមួយនឹងការបោះពុម្ពរបស់មនុស្សមួយ។</w:t>
      </w:r>
      <w:r>
        <w:rPr>
          <w:rFonts w:ascii="Times New Roman" w:hAnsi="Times New Roman" w:eastAsia="Times New Roman" w:cs="Times New Roman"/>
        </w:rPr>
        <w:t xml:space="preserve"> </w:t>
      </w:r>
      <w:r>
        <w:rPr>
          <w:rFonts w:ascii="Leelawadee UI" w:hAnsi="Leelawadee UI" w:eastAsia="Leelawadee UI" w:cs="Leelawadee UI"/>
        </w:rPr>
        <w:t>ព័ត៌មាននៃការបោះពុម្ពរបស់មនុស្សនោះ</w:t>
      </w:r>
      <w:r>
        <w:rPr>
          <w:rFonts w:ascii="Times New Roman" w:hAnsi="Times New Roman" w:eastAsia="Times New Roman" w:cs="Times New Roman"/>
        </w:rPr>
        <w:t xml:space="preserve"> </w:t>
      </w:r>
      <w:r>
        <w:rPr>
          <w:rFonts w:ascii="Leelawadee UI" w:hAnsi="Leelawadee UI" w:eastAsia="Leelawadee UI" w:cs="Leelawadee UI"/>
        </w:rPr>
        <w:t>ត្រូវបានទទួលមកពីពន្លឺដ៏ទេវភាព</w:t>
      </w:r>
      <w:r>
        <w:rPr>
          <w:rFonts w:ascii="Times New Roman" w:hAnsi="Times New Roman" w:eastAsia="Times New Roman" w:cs="Times New Roman"/>
        </w:rPr>
        <w:t xml:space="preserve"> </w:t>
      </w:r>
      <w:r>
        <w:rPr>
          <w:rFonts w:ascii="Leelawadee UI" w:hAnsi="Leelawadee UI" w:eastAsia="Leelawadee UI" w:cs="Leelawadee UI"/>
        </w:rPr>
        <w:t>ដែលត្រូវបានដោះត្រានៅពេលវេលាចុងបញ្ចប់ក្នុងឆ្នាំ</w:t>
      </w:r>
      <w:r>
        <w:rPr>
          <w:rFonts w:ascii="Times New Roman" w:hAnsi="Times New Roman" w:eastAsia="Times New Roman" w:cs="Times New Roman"/>
        </w:rPr>
        <w:t xml:space="preserve"> 1798 </w:t>
      </w:r>
      <w:r>
        <w:rPr>
          <w:rFonts w:ascii="Leelawadee UI" w:hAnsi="Leelawadee UI" w:eastAsia="Leelawadee UI" w:cs="Leelawadee UI"/>
        </w:rPr>
        <w:t>ហើយបន្ទាប់មកត្រូវបានរៀបចំឱ្យមានទម្រង់ជាផ្លូវការ</w:t>
      </w:r>
      <w:r>
        <w:rPr>
          <w:rFonts w:ascii="Times New Roman" w:hAnsi="Times New Roman" w:eastAsia="Times New Roman" w:cs="Times New Roman"/>
        </w:rPr>
        <w:t xml:space="preserve"> </w:t>
      </w:r>
      <w:r>
        <w:rPr>
          <w:rFonts w:ascii="Leelawadee UI" w:hAnsi="Leelawadee UI" w:eastAsia="Leelawadee UI" w:cs="Leelawadee UI"/>
        </w:rPr>
        <w:t>តាមរយៈកិច្ចការរបស់ឧបករណ៍មនុស្សម្នាក់</w:t>
      </w:r>
      <w:r>
        <w:rPr>
          <w:rFonts w:ascii="Times New Roman" w:hAnsi="Times New Roman" w:eastAsia="Times New Roman" w:cs="Times New Roman"/>
        </w:rPr>
        <w:t xml:space="preserve"> </w:t>
      </w:r>
      <w:r>
        <w:rPr>
          <w:rFonts w:ascii="Leelawadee UI" w:hAnsi="Leelawadee UI" w:eastAsia="Leelawadee UI" w:cs="Leelawadee UI"/>
        </w:rPr>
        <w:t>ដែលបានចាប់ផ្តើមបោះពុម្ពវានៅឆ្នាំ</w:t>
      </w:r>
      <w:r>
        <w:rPr>
          <w:rFonts w:ascii="Times New Roman" w:hAnsi="Times New Roman" w:eastAsia="Times New Roman" w:cs="Times New Roman"/>
        </w:rPr>
        <w:t xml:space="preserve"> 1831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នោះជាការបោះពុម្ពដ៏ទេវភាពមួយ</w:t>
      </w:r>
      <w:r>
        <w:rPr>
          <w:rFonts w:ascii="Times New Roman" w:hAnsi="Times New Roman" w:eastAsia="Times New Roman" w:cs="Times New Roman"/>
        </w:rPr>
        <w:t xml:space="preserve"> </w:t>
      </w:r>
      <w:r>
        <w:rPr>
          <w:rFonts w:ascii="Leelawadee UI" w:hAnsi="Leelawadee UI" w:eastAsia="Leelawadee UI" w:cs="Leelawadee UI"/>
        </w:rPr>
        <w:t>ជាមួយនឹងសារដែលត្រូវបានបិទត្រាដោយព្រះ</w:t>
      </w:r>
      <w:r>
        <w:rPr>
          <w:rFonts w:ascii="Times New Roman" w:hAnsi="Times New Roman" w:eastAsia="Times New Roman" w:cs="Times New Roman"/>
        </w:rPr>
        <w:t xml:space="preserve"> </w:t>
      </w:r>
      <w:r>
        <w:rPr>
          <w:rFonts w:ascii="Leelawadee UI" w:hAnsi="Leelawadee UI" w:eastAsia="Leelawadee UI" w:cs="Leelawadee UI"/>
        </w:rPr>
        <w:t>ប៉ុន្តែក្រោយមកត្រូវបានដោះត្រាដោយមនុស្សជាតិ</w:t>
      </w:r>
      <w:r>
        <w:rPr>
          <w:rFonts w:ascii="Times New Roman" w:hAnsi="Times New Roman" w:eastAsia="Times New Roman" w:cs="Times New Roman"/>
        </w:rPr>
        <w:t xml:space="preserve"> </w:t>
      </w:r>
      <w:r>
        <w:rPr>
          <w:rFonts w:ascii="Leelawadee UI" w:hAnsi="Leelawadee UI" w:eastAsia="Leelawadee UI" w:cs="Leelawadee UI"/>
        </w:rPr>
        <w:t>ហើយបន្ទាប់ពីនោះត្រូវបានបង្ហាញដោយឧបករណ៍មនុស្សម្នាក់។</w:t>
      </w:r>
      <w:r>
        <w:rPr>
          <w:rFonts w:ascii="Times New Roman" w:hAnsi="Times New Roman" w:eastAsia="Times New Roman" w:cs="Times New Roman"/>
        </w:rPr>
        <w:t xml:space="preserve"> </w:t>
      </w:r>
      <w:r>
        <w:rPr>
          <w:rFonts w:ascii="Leelawadee UI" w:hAnsi="Leelawadee UI" w:eastAsia="Leelawadee UI" w:cs="Leelawadee UI"/>
        </w:rPr>
        <w:t>ពាក្យហេប្រឺដែលត្រូវបានបកប្រែថា</w:t>
      </w:r>
      <w:r>
        <w:rPr>
          <w:rFonts w:ascii="Times New Roman" w:hAnsi="Times New Roman" w:eastAsia="Times New Roman" w:cs="Times New Roman"/>
        </w:rPr>
        <w:t xml:space="preserve"> “publish” </w:t>
      </w:r>
      <w:r>
        <w:rPr>
          <w:rFonts w:ascii="Leelawadee UI" w:hAnsi="Leelawadee UI" w:eastAsia="Leelawadee UI" w:cs="Leelawadee UI"/>
        </w:rPr>
        <w:t>នៅក្នុងព្រះបន្ទូលរបស់ព្រះ</w:t>
      </w:r>
      <w:r>
        <w:rPr>
          <w:rFonts w:ascii="Times New Roman" w:hAnsi="Times New Roman" w:eastAsia="Times New Roman" w:cs="Times New Roman"/>
        </w:rPr>
        <w:t xml:space="preserve"> </w:t>
      </w:r>
      <w:r>
        <w:rPr>
          <w:rFonts w:ascii="Leelawadee UI" w:hAnsi="Leelawadee UI" w:eastAsia="Leelawadee UI" w:cs="Leelawadee UI"/>
        </w:rPr>
        <w:t>មានន័យថា</w:t>
      </w:r>
      <w:r>
        <w:rPr>
          <w:rFonts w:ascii="Times New Roman" w:hAnsi="Times New Roman" w:eastAsia="Times New Roman" w:cs="Times New Roman"/>
        </w:rPr>
        <w:t xml:space="preserve"> </w:t>
      </w:r>
      <w:r>
        <w:rPr>
          <w:rFonts w:ascii="Leelawadee UI" w:hAnsi="Leelawadee UI" w:eastAsia="Leelawadee UI" w:cs="Leelawadee UI"/>
        </w:rPr>
        <w:t>ហៅឱ្យស្រែក</w:t>
      </w:r>
      <w:r>
        <w:rPr>
          <w:rFonts w:ascii="Times New Roman" w:hAnsi="Times New Roman" w:eastAsia="Times New Roman" w:cs="Times New Roman"/>
        </w:rPr>
        <w:t xml:space="preserve">, </w:t>
      </w:r>
      <w:r>
        <w:rPr>
          <w:rFonts w:ascii="Leelawadee UI" w:hAnsi="Leelawadee UI" w:eastAsia="Leelawadee UI" w:cs="Leelawadee UI"/>
        </w:rPr>
        <w:t>ស្រែកហៅ</w:t>
      </w:r>
      <w:r>
        <w:rPr>
          <w:rFonts w:ascii="Times New Roman" w:hAnsi="Times New Roman" w:eastAsia="Times New Roman" w:cs="Times New Roman"/>
        </w:rPr>
        <w:t xml:space="preserve"> (</w:t>
      </w:r>
      <w:r>
        <w:rPr>
          <w:rFonts w:ascii="Leelawadee UI" w:hAnsi="Leelawadee UI" w:eastAsia="Leelawadee UI" w:cs="Leelawadee UI"/>
        </w:rPr>
        <w:t>ទៅកាន់</w:t>
      </w:r>
      <w:r>
        <w:rPr>
          <w:rFonts w:ascii="Times New Roman" w:hAnsi="Times New Roman" w:eastAsia="Times New Roman" w:cs="Times New Roman"/>
        </w:rPr>
        <w:t xml:space="preserve">), </w:t>
      </w:r>
      <w:r>
        <w:rPr>
          <w:rFonts w:ascii="Leelawadee UI" w:hAnsi="Leelawadee UI" w:eastAsia="Leelawadee UI" w:cs="Leelawadee UI"/>
        </w:rPr>
        <w:t>ឱ្យល្បី</w:t>
      </w:r>
      <w:r>
        <w:rPr>
          <w:rFonts w:ascii="Times New Roman" w:hAnsi="Times New Roman" w:eastAsia="Times New Roman" w:cs="Times New Roman"/>
        </w:rPr>
        <w:t xml:space="preserve">, </w:t>
      </w:r>
      <w:r>
        <w:rPr>
          <w:rFonts w:ascii="Leelawadee UI" w:hAnsi="Leelawadee UI" w:eastAsia="Leelawadee UI" w:cs="Leelawadee UI"/>
        </w:rPr>
        <w:t>ភ្ញៀវ</w:t>
      </w:r>
      <w:r>
        <w:rPr>
          <w:rFonts w:ascii="Times New Roman" w:hAnsi="Times New Roman" w:eastAsia="Times New Roman" w:cs="Times New Roman"/>
        </w:rPr>
        <w:t xml:space="preserve">, </w:t>
      </w:r>
      <w:r>
        <w:rPr>
          <w:rFonts w:ascii="Leelawadee UI" w:hAnsi="Leelawadee UI" w:eastAsia="Leelawadee UI" w:cs="Leelawadee UI"/>
        </w:rPr>
        <w:t>អញ្ជើញ</w:t>
      </w:r>
      <w:r>
        <w:rPr>
          <w:rFonts w:ascii="Times New Roman" w:hAnsi="Times New Roman" w:eastAsia="Times New Roman" w:cs="Times New Roman"/>
        </w:rPr>
        <w:t xml:space="preserve">, </w:t>
      </w:r>
      <w:r>
        <w:rPr>
          <w:rFonts w:ascii="Leelawadee UI" w:hAnsi="Leelawadee UI" w:eastAsia="Leelawadee UI" w:cs="Leelawadee UI"/>
        </w:rPr>
        <w:t>រំលឹក</w:t>
      </w:r>
      <w:r>
        <w:rPr>
          <w:rFonts w:ascii="Times New Roman" w:hAnsi="Times New Roman" w:eastAsia="Times New Roman" w:cs="Times New Roman"/>
        </w:rPr>
        <w:t>, (</w:t>
      </w:r>
      <w:r>
        <w:rPr>
          <w:rFonts w:ascii="Leelawadee UI" w:hAnsi="Leelawadee UI" w:eastAsia="Leelawadee UI" w:cs="Leelawadee UI"/>
        </w:rPr>
        <w:t>ដាក់</w:t>
      </w:r>
      <w:r>
        <w:rPr>
          <w:rFonts w:ascii="Times New Roman" w:hAnsi="Times New Roman" w:eastAsia="Times New Roman" w:cs="Times New Roman"/>
        </w:rPr>
        <w:t xml:space="preserve">) </w:t>
      </w:r>
      <w:r>
        <w:rPr>
          <w:rFonts w:ascii="Leelawadee UI" w:hAnsi="Leelawadee UI" w:eastAsia="Leelawadee UI" w:cs="Leelawadee UI"/>
        </w:rPr>
        <w:t>ឈ្មោះ</w:t>
      </w:r>
      <w:r>
        <w:rPr>
          <w:rFonts w:ascii="Times New Roman" w:hAnsi="Times New Roman" w:eastAsia="Times New Roman" w:cs="Times New Roman"/>
        </w:rPr>
        <w:t xml:space="preserve">, </w:t>
      </w:r>
      <w:r>
        <w:rPr>
          <w:rFonts w:ascii="Leelawadee UI" w:hAnsi="Leelawadee UI" w:eastAsia="Leelawadee UI" w:cs="Leelawadee UI"/>
        </w:rPr>
        <w:t>អធិប្បាយ</w:t>
      </w:r>
      <w:r>
        <w:rPr>
          <w:rFonts w:ascii="Times New Roman" w:hAnsi="Times New Roman" w:eastAsia="Times New Roman" w:cs="Times New Roman"/>
        </w:rPr>
        <w:t xml:space="preserve">, </w:t>
      </w:r>
      <w:r>
        <w:rPr>
          <w:rFonts w:ascii="Leelawadee UI" w:hAnsi="Leelawadee UI" w:eastAsia="Leelawadee UI" w:cs="Leelawadee UI"/>
        </w:rPr>
        <w:t>ប្រកាស</w:t>
      </w:r>
      <w:r>
        <w:rPr>
          <w:rFonts w:ascii="Times New Roman" w:hAnsi="Times New Roman" w:eastAsia="Times New Roman" w:cs="Times New Roman"/>
        </w:rPr>
        <w:t xml:space="preserve">, </w:t>
      </w:r>
      <w:r>
        <w:rPr>
          <w:rFonts w:ascii="Leelawadee UI" w:hAnsi="Leelawadee UI" w:eastAsia="Leelawadee UI" w:cs="Leelawadee UI"/>
        </w:rPr>
        <w:t>ប្រកាសសំឡេង</w:t>
      </w:r>
      <w:r>
        <w:rPr>
          <w:rFonts w:ascii="Times New Roman" w:hAnsi="Times New Roman" w:eastAsia="Times New Roman" w:cs="Times New Roman"/>
        </w:rPr>
        <w:t xml:space="preserve">, </w:t>
      </w:r>
      <w:r>
        <w:rPr>
          <w:rFonts w:ascii="Leelawadee UI" w:hAnsi="Leelawadee UI" w:eastAsia="Leelawadee UI" w:cs="Leelawadee UI"/>
        </w:rPr>
        <w:t>បោះពុម្ព។</w:t>
      </w:r>
      <w:r>
        <w:rPr>
          <w:rFonts w:ascii="Times New Roman" w:hAnsi="Times New Roman" w:eastAsia="Times New Roman" w:cs="Times New Roman"/>
        </w:rPr>
        <w:t xml:space="preserve"> </w:t>
      </w:r>
      <w:r>
        <w:rPr>
          <w:rFonts w:ascii="Leelawadee UI" w:hAnsi="Leelawadee UI" w:eastAsia="Leelawadee UI" w:cs="Leelawadee UI"/>
        </w:rPr>
        <w:t>មីល្លឺរបានចាប់ផ្តើមបោះពុម្ពសាររបស់គាត់នៅឆ្នាំ</w:t>
      </w:r>
      <w:r>
        <w:rPr>
          <w:rFonts w:ascii="Times New Roman" w:hAnsi="Times New Roman" w:eastAsia="Times New Roman" w:cs="Times New Roman"/>
        </w:rPr>
        <w:t xml:space="preserve"> 1831 </w:t>
      </w:r>
      <w:r>
        <w:rPr>
          <w:rFonts w:ascii="Leelawadee UI" w:hAnsi="Leelawadee UI" w:eastAsia="Leelawadee UI" w:cs="Leelawadee UI"/>
        </w:rPr>
        <w:t>ហើយបន្ទាប់មក</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1833 </w:t>
      </w:r>
      <w:r>
        <w:rPr>
          <w:rFonts w:ascii="Leelawadee UI" w:hAnsi="Leelawadee UI" w:eastAsia="Leelawadee UI" w:cs="Leelawadee UI"/>
        </w:rPr>
        <w:t>វាត្រូវបានបោះពុម្ពជាក់ស្តែងនៅក្នុង</w:t>
      </w:r>
      <w:r>
        <w:rPr>
          <w:rFonts w:ascii="Times New Roman" w:hAnsi="Times New Roman" w:eastAsia="Times New Roman" w:cs="Times New Roman"/>
        </w:rPr>
        <w:t xml:space="preserve"> Vermont Telegraph</w:t>
      </w:r>
      <w:r>
        <w:rPr>
          <w:rFonts w:ascii="Leelawadee UI" w:hAnsi="Leelawadee UI" w:eastAsia="Leelawadee UI" w:cs="Leelawadee UI"/>
        </w:rPr>
        <w:t>។</w:t>
      </w:r>
    </w:p>
    <w:p>
      <w:pPr>
        <w:pStyle w:val="ArticleBody"/>
        <w:jc w:val="left"/>
      </w:pPr>
      <w:r>
        <w:rPr>
          <w:rFonts w:ascii="Times New Roman" w:hAnsi="Times New Roman" w:eastAsia="Times New Roman" w:cs="Times New Roman"/>
        </w:rPr>
        <w:t>Ang pormalisadong mensaheng nagmula sa pagdami ng kaalaman noong 1989 ay unang inilathala noong 1996 (sa magasing The Time of the End), dalawang daan at dalawampung taon matapos ang paglalathala ng dalawang sagradong dokumentong kilala bilang ang Declaration of Independence noong 1776 (at pagkaraan ay ang Konstitusyon ng Estados Unidos) noong 1789. Ang pasimula at wakas ng dalawang daan at dalawampung taon ay nag-uugnay sa pagka-Diyos at sa sangkatauhan, at ginagawa ito sa pamamagitan ng paglalathala ng dalawang banal na dokumento, na nagsimula noong 1776. Nang mabuksan ang aklat ni Daniel sa panahon ng kawakasan noong 1989, ang pormalisadong mensahe na naisakatuparan sa pamamagitan ng gawain ng isang kasangkapang tao ay inilathala noong 1996. Ang pagkakasunod-sunod ay isang banal na paglalathala, saka isang pagbubukas, at saka isang makataong paglalathala.</w:t>
      </w:r>
    </w:p>
    <w:p>
      <w:pPr>
        <w:pStyle w:val="ArticleBody"/>
        <w:jc w:val="left"/>
      </w:pPr>
      <w:r>
        <w:rPr>
          <w:rFonts w:ascii="Times New Roman" w:hAnsi="Times New Roman" w:eastAsia="Times New Roman" w:cs="Times New Roman"/>
        </w:rPr>
        <w:t>In beide eindtyden worden de drie stappen van de waarheid geïdentificeerd. Beiden beginnen met een goddelijke publicatie als eerste stap, en een menselijke publicatie die een goddelijke boodschap verklaart, is de laatste stap. De middelste stap is wanneer de Leeuw uit de stam van Juda de goddelijke boodschap voor die bepaalde geschiedenis ontsluit, en daarna een menselijk werktuig kiest om het licht te verzamelen dat uit het goddelijke document werd ontsloten. Wanneer die ontsluiting plaatsvindt, openbaart zich opstand bij de goddelozen, die de toename van kennis niet begrijpen. Zo wordt een goddelijke publicatie voorgesteld door de eerste letter van het Hebreeuwse alfabet, wordt de toename van kennis voorgesteld door de dertiende letter, waar opstand zich openbaart, en is de menselijke publicatie van de bijzondere goddelijke boodschap voor die geschiedenis de laatste letter van het Hebreeuwse alfabet; en samen betekenen de drie letters “waarheid”.</w:t>
      </w:r>
    </w:p>
    <w:p>
      <w:pPr>
        <w:pStyle w:val="ArticleBody"/>
        <w:jc w:val="left"/>
      </w:pPr>
      <w:r>
        <w:rPr>
          <w:rFonts w:ascii="Times New Roman" w:hAnsi="Times New Roman" w:eastAsia="Times New Roman" w:cs="Times New Roman"/>
        </w:rPr>
        <w:t>Mivhono ya Milambo ya Ulai na Hiddekel, leyi sweswi yi nga eku hetisekeni, yi kombisa leswaku emasikwini ya makumu ku andza ka vutivi lebyi humaka emilambyeni hinkwayo mimbirhi ku hlangana swin’we ku kombisa leswaku vuhwembu lebyi hlanganisiweke na vumunhu a byi dyohi. Daniele u amukerile xivono lexi yimelaka ku humelela ka Kriste emakumu ka vuprofeta bya malembe ya magidi mambirhi na madzana manharhu hi 1844, loko a ri ekusuhi ni Nambu wa Ulai.</w:t>
      </w:r>
    </w:p>
    <w:p>
      <w:pPr>
        <w:pStyle w:val="ArticleScripture"/>
        <w:jc w:val="left"/>
      </w:pPr>
      <w:r>
        <w:rPr>
          <w:rFonts w:ascii="Microsoft YaHei" w:hAnsi="Microsoft YaHei" w:eastAsia="Microsoft YaHei" w:cs="Microsoft YaHei"/>
        </w:rPr>
        <w:t>我在异象中观看</w:t>
      </w:r>
      <w:r>
        <w:rPr>
          <w:rFonts w:ascii="Times New Roman" w:hAnsi="Times New Roman" w:eastAsia="Times New Roman" w:cs="Times New Roman"/>
        </w:rPr>
        <w:t>;</w:t>
      </w:r>
      <w:r>
        <w:rPr>
          <w:rFonts w:ascii="Microsoft YaHei" w:hAnsi="Microsoft YaHei" w:eastAsia="Microsoft YaHei" w:cs="Microsoft YaHei"/>
        </w:rPr>
        <w:t>我观看的时候</w:t>
      </w:r>
      <w:r>
        <w:rPr>
          <w:rFonts w:ascii="Times New Roman" w:hAnsi="Times New Roman" w:eastAsia="Times New Roman" w:cs="Times New Roman"/>
        </w:rPr>
        <w:t>,</w:t>
      </w:r>
      <w:r>
        <w:rPr>
          <w:rFonts w:ascii="Microsoft YaHei" w:hAnsi="Microsoft YaHei" w:eastAsia="Microsoft YaHei" w:cs="Microsoft YaHei"/>
        </w:rPr>
        <w:t>见自己在以拦省的书珊宫中</w:t>
      </w:r>
      <w:r>
        <w:rPr>
          <w:rFonts w:ascii="Times New Roman" w:hAnsi="Times New Roman" w:eastAsia="Times New Roman" w:cs="Times New Roman"/>
        </w:rPr>
        <w:t>;</w:t>
      </w:r>
      <w:r>
        <w:rPr>
          <w:rFonts w:ascii="Microsoft YaHei" w:hAnsi="Microsoft YaHei" w:eastAsia="Microsoft YaHei" w:cs="Microsoft YaHei"/>
        </w:rPr>
        <w:t>我在异象中观看</w:t>
      </w:r>
      <w:r>
        <w:rPr>
          <w:rFonts w:ascii="Times New Roman" w:hAnsi="Times New Roman" w:eastAsia="Times New Roman" w:cs="Times New Roman"/>
        </w:rPr>
        <w:t>,</w:t>
      </w:r>
      <w:r>
        <w:rPr>
          <w:rFonts w:ascii="Microsoft YaHei" w:hAnsi="Microsoft YaHei" w:eastAsia="Microsoft YaHei" w:cs="Microsoft YaHei"/>
        </w:rPr>
        <w:t>见自己在乌莱河边</w:t>
      </w:r>
      <w:r>
        <w:rPr>
          <w:rFonts w:ascii="Times New Roman" w:hAnsi="Times New Roman" w:eastAsia="Times New Roman" w:cs="Times New Roman"/>
        </w:rPr>
        <w:t>.Daniel 8:2.</w:t>
      </w:r>
    </w:p>
    <w:p>
      <w:pPr>
        <w:pStyle w:val="ArticleBody"/>
        <w:jc w:val="left"/>
      </w:pPr>
      <w:r>
        <w:rPr>
          <w:rFonts w:ascii="Times New Roman" w:hAnsi="Times New Roman" w:eastAsia="Times New Roman" w:cs="Times New Roman"/>
        </w:rPr>
        <w:t>Daniel na ezu ọhụụ ahụ nke na-anọchi anya ọhụụ nke afọ puku abụọ narị ise na iri abụọ nke akụkọ ihe mere eme amụma mgbe ọ nọ n’akụkụ Osimiri Hiddekel.</w:t>
      </w:r>
    </w:p>
    <w:p>
      <w:pPr>
        <w:pStyle w:val="ArticleScripture"/>
        <w:jc w:val="left"/>
      </w:pPr>
      <w:r>
        <w:rPr>
          <w:rFonts w:ascii="Times New Roman" w:hAnsi="Times New Roman" w:eastAsia="Times New Roman" w:cs="Times New Roman"/>
        </w:rPr>
        <w:t>Na katika siku ya ishirini na nne ya mwezi wa kwanza, nilipokuwa kando ya ule mto mkuu, uitwao Hidekeli. Danieli 10:4.</w:t>
      </w:r>
    </w:p>
    <w:p>
      <w:pPr>
        <w:pStyle w:val="ArticleBody"/>
        <w:jc w:val="left"/>
      </w:pPr>
      <w:r>
        <w:rPr>
          <w:rFonts w:ascii="Times New Roman" w:hAnsi="Times New Roman" w:eastAsia="Times New Roman" w:cs="Times New Roman"/>
        </w:rPr>
        <w:t>Jibreel, pasin em i tokaut long as bilong driman chazon bilong wara Hiddekel long ves foatin.</w:t>
      </w:r>
    </w:p>
    <w:p>
      <w:pPr>
        <w:pStyle w:val="ArticleScripture"/>
        <w:jc w:val="left"/>
      </w:pPr>
      <w:r>
        <w:rPr>
          <w:rFonts w:ascii="Times New Roman" w:hAnsi="Times New Roman" w:eastAsia="Times New Roman" w:cs="Times New Roman"/>
        </w:rPr>
        <w:t>Birinchi toʻqnashuvga guvohlik berdi, yuz beradi, chunki bu vahiy hali koʻp kunlar uchundir. Doniyor 10:14.</w:t>
      </w:r>
    </w:p>
    <w:p>
      <w:pPr>
        <w:pStyle w:val="ArticleBody"/>
        <w:jc w:val="left"/>
      </w:pPr>
      <w:r>
        <w:rPr>
          <w:rFonts w:ascii="Times New Roman" w:hAnsi="Times New Roman" w:eastAsia="Times New Roman" w:cs="Times New Roman"/>
        </w:rPr>
        <w:t>Ulumbo olwawerwa ku Mugga Ulai lulaga “okulabika” kwa Kristo, (obwakatonda) bwe yajja amangu eri yeekaalu ye nga October 22, 1844. Lwali lukiikirira “obwakatonda” nga buyingira mu yeekaalu y’Abamillerite (obuntu) ku lunaku olwo, olw’Olunaku olw’Okutangirira, amakulu ge nga lunaku olw’“okuba omu”, era lukiikirira okugattibwa kw’obwakatonda n’obuntu. Ulumbo olwawerwa ku Mugga Hiddekel lulaga ebiribeera ku bantu ba Katonda (obuntu) mu nnaku ez’oluvannyuma.</w:t>
      </w:r>
    </w:p>
    <w:p>
      <w:pPr>
        <w:pStyle w:val="ArticleBody"/>
        <w:jc w:val="left"/>
      </w:pPr>
      <w:r>
        <w:rPr>
          <w:rFonts w:ascii="Times New Roman" w:hAnsi="Times New Roman" w:eastAsia="Times New Roman" w:cs="Times New Roman"/>
        </w:rPr>
        <w:t>Le commencement de la vision de l’« apparence » fut l’an 457 av. J.-C., deux cent vingt ans après la période prophétique qui désignait le piétinement du sanctuaire et de l’armée, laquelle avait commencé en 677 av. J.-C. La fin des deux cent vingt années qui étaient liées ensemble au point de départ des deux visions fut marquée par le Nombreur merveilleux, qui est aussi le Linguiste merveilleux dans Habacuc 2:20.</w:t>
      </w:r>
    </w:p>
    <w:p>
      <w:pPr>
        <w:pStyle w:val="ArticleScripture"/>
        <w:jc w:val="left"/>
      </w:pPr>
      <w:r>
        <w:rPr>
          <w:rFonts w:ascii="Times New Roman" w:hAnsi="Times New Roman" w:eastAsia="Times New Roman" w:cs="Times New Roman"/>
        </w:rPr>
        <w:t>Mais le Seigneur est dans son saint temple : que toute la terre fasse silence devant lui. Habacuc 2:20.</w:t>
      </w:r>
    </w:p>
    <w:p>
      <w:pPr>
        <w:pStyle w:val="ArticleBody"/>
        <w:jc w:val="left"/>
      </w:pPr>
      <w:r>
        <w:rPr>
          <w:rFonts w:ascii="Times New Roman" w:hAnsi="Times New Roman" w:eastAsia="Times New Roman" w:cs="Times New Roman"/>
        </w:rPr>
        <w:t>Le lien entre l’humanité et la divinité, représenté au commencement par les points de départ des deux prophéties, fut identifié à leurs aboutissements communs par le chapitre et le verset qui décrivaient l’apparition soudaine de la divinité venant dans le temple qu’Il avait construit durant les quarante-six années commençant au temps de la fin en 1798 et s’achevant quarante-six ans plus tard, le 22 octobre 1844.</w:t>
      </w:r>
    </w:p>
    <w:p>
      <w:pPr>
        <w:pStyle w:val="ArticleScripture"/>
        <w:jc w:val="left"/>
      </w:pPr>
      <w:r>
        <w:rPr>
          <w:rFonts w:ascii="Times New Roman" w:hAnsi="Times New Roman" w:eastAsia="Times New Roman" w:cs="Times New Roman"/>
        </w:rPr>
        <w:t>Ne savez-vous pas que vous êtes le temple de Dieu, et que l’Esprit de Dieu habite en vous? Si quelqu’un détruit le temple de Dieu, Dieu le détruira; car le temple de Dieu est saint, et ce temple, c’est vous. 1 Corinthiens 3:16, 17.</w:t>
      </w:r>
    </w:p>
    <w:p>
      <w:pPr>
        <w:pStyle w:val="ArticleBody"/>
        <w:jc w:val="left"/>
      </w:pPr>
      <w:r>
        <w:rPr>
          <w:rFonts w:ascii="Times New Roman" w:hAnsi="Times New Roman" w:eastAsia="Times New Roman" w:cs="Times New Roman"/>
        </w:rPr>
        <w:t>I cannot translate into “ff” because the target language is not specified. Please tell me what language “ff” refers to.</w:t>
      </w:r>
    </w:p>
    <w:p>
      <w:pPr>
        <w:pStyle w:val="ArticleScripture"/>
        <w:jc w:val="left"/>
      </w:pPr>
      <w:r>
        <w:rPr>
          <w:rFonts w:ascii="Times New Roman" w:hAnsi="Times New Roman" w:eastAsia="Times New Roman" w:cs="Times New Roman"/>
        </w:rPr>
        <w:t>Et parle-lui, en disant: Ainsi parle l’Éternel des armées: Voici l’homme dont le nom est Germe; il germera de son lieu, et il bâtira le temple de l’Éternel. Oui, il bâtira le temple de l’Éternel; il portera la gloire, il siégera et dominera sur son trône; il sera sacrificateur sur son trône, et un conseil de paix sera entre eux deux. Les couronnes seront pour Hélem, pour Tobija, pour Jedaeja, et pour Hen, fils de Sophonie, comme mémorial dans le temple de l’Éternel. Ceux qui sont éloignés viendront et travailleront à la construction du temple de l’Éternel; et vous saurez que l’Éternel des armées m’a envoyé vers vous. Cela arrivera, si vous écoutez avec soin la voix de l’Éternel, votre Dieu. Zacharie 6:12–15.</w:t>
      </w:r>
    </w:p>
    <w:p>
      <w:pPr>
        <w:pStyle w:val="ArticleBody"/>
        <w:jc w:val="left"/>
      </w:pPr>
      <w:r>
        <w:rPr>
          <w:rFonts w:ascii="Times New Roman" w:hAnsi="Times New Roman" w:eastAsia="Times New Roman" w:cs="Times New Roman"/>
        </w:rPr>
        <w:t>Ar Yohan 2:20, goude ma oa bet glanaet an templ gant ar C’hrist, ar pezh a oa, hervez C’hoar White, ur c’homplidenn eus Malaki, pennad tri, evel ma oa ivez an 22 a viz Here 1844, e teuas trumm Kannad ar Gevrat d’e Dempl.</w:t>
      </w:r>
    </w:p>
    <w:p>
      <w:pPr>
        <w:pStyle w:val="ArticleScripture"/>
        <w:jc w:val="left"/>
      </w:pPr>
      <w:r>
        <w:rPr>
          <w:rFonts w:ascii="Times New Roman" w:hAnsi="Times New Roman" w:eastAsia="Times New Roman" w:cs="Times New Roman"/>
        </w:rPr>
        <w:t>Jezus antwoordde hun en zei: Breek deze tempel af, en in drie dagen zal Ik hem doen verrijzen. Toen zeiden de Joden: Zesenveertig jaar is aan deze tempel gebouwd, en zult Gij hem in drie dagen doen verrijzen? Maar Hij sprak over de tempel van Zijn lichaam. Johannes 2:19–20.</w:t>
      </w:r>
    </w:p>
    <w:p>
      <w:pPr>
        <w:pStyle w:val="ArticleBody"/>
        <w:jc w:val="left"/>
      </w:pPr>
      <w:r>
        <w:rPr>
          <w:rFonts w:ascii="Times New Roman" w:hAnsi="Times New Roman" w:eastAsia="Times New Roman" w:cs="Times New Roman"/>
        </w:rPr>
        <w:t>بمەبەستی پڕبوونەوەی مالاکی بەشی سێ، مەسیح بە ناگهان هاتە پەرستگاکەی خۆی کاتێک لە سەرەتای خزمەتگوزارییەکەی لە یۆحەنا بەشی دوودا پەرستگاکەی پاککردەوە، کە نموونەی ٢٢ی ئۆکتۆبەری ١٨٤٤ بوو. پاککردنەوەی پەرستگا لەلایەن مەسیحەوە لە یۆحەنا بەشی دوو، و ٢٢ی ئۆکتۆبەری ١٨٤٤، پڕبوونەوەی مالاکی بەشی سێ بوو. لە یۆحەنا بەشی دوو و ئایەتی بیستدا، ئاگادار دەکرێین کە پەرستگای مرۆیی لە ماوەی چل و شەش ساڵدا بنیات نرا، و پەرستگای خودایی لە سێ ڕۆژدا هەڵستاندرایەوە. پەرستگای مرۆیی تەنها ئەوکاتە دەبێتە «پەرستگای پیرۆز»ی حەبەقوق کە خودایی بە ناگهان دێتە ناویدا، وەک ئەوەی لە ٢٢ی ئۆکتۆبەری ١٨٤٤دا ڕوویدا، چونکە خودایی کە لەگەڵ مرۆیەتیدا یەکگرتووە گوناه ناکات. بینینەکانی دوو ڕووباری گەورەی شنعار نوێنەرایەتی ئەو ڕاستییە دەکەن کە مرۆیەتی کە لەگەڵ خوداییدا یەکگرتووە گوناه ناکات.</w:t>
      </w:r>
    </w:p>
    <w:p>
      <w:pPr>
        <w:pStyle w:val="ArticleBody"/>
        <w:jc w:val="left"/>
      </w:pPr>
      <w:r>
        <w:rPr>
          <w:rFonts w:ascii="Times New Roman" w:hAnsi="Times New Roman" w:eastAsia="Times New Roman" w:cs="Times New Roman"/>
        </w:rPr>
        <w:t>Nous poursuivrons, dans le prochain article, notre étude du verset quarante du chapitre onze de Daniel.</w:t>
      </w:r>
    </w:p>
    <w:p>
      <w:pPr>
        <w:pStyle w:val="ArticleScripture"/>
        <w:jc w:val="left"/>
      </w:pPr>
      <w:r>
        <w:rPr>
          <w:rFonts w:ascii="Times New Roman" w:hAnsi="Times New Roman" w:eastAsia="Times New Roman" w:cs="Times New Roman"/>
        </w:rPr>
        <w:t>Vous aussi, comme des pierres vivantes, êtes édifiés pour former une maison spirituelle, un saint sacerdoce, afin d’offrir des sacrifices spirituels, agréables à Dieu par Jésus-Christ. 1 Pierre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Mia Moja na Ishirini na Mbili</dc:title>
  <dc:subject>La Révélation de la Vérité : Un voyage à travers Daniel 11 et l’ébranlement du peuple de Dieu</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