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Ishirini na Tatu</w:t>
      </w:r>
    </w:p>
    <w:p>
      <w:pPr>
        <w:pStyle w:val="ArticleSubtitle"/>
        <w:jc w:val="left"/>
      </w:pPr>
      <w:r>
        <w:rPr>
          <w:rFonts w:ascii="Arial" w:hAnsi="Arial" w:eastAsia="Arial" w:cs="Arial"/>
        </w:rPr>
        <w:t>Révélation de la portée prophétique de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Verset quarante de Daniel onze est l’un des versets les plus profonds de la Parole de Dieu, tout comme Daniel chapitre huit, verset quatorze. Le verset quarante est représenté par le fleuve Hiddékel, et le fleuve Ulaï représente Daniel chapitre huit, verset quatorze.</w:t>
      </w:r>
    </w:p>
    <w:p>
      <w:pPr>
        <w:pStyle w:val="ArticleBody"/>
        <w:jc w:val="left"/>
      </w:pPr>
      <w:r>
        <w:rPr>
          <w:rFonts w:ascii="Times New Roman" w:hAnsi="Times New Roman" w:eastAsia="Times New Roman" w:cs="Times New Roman"/>
        </w:rPr>
        <w:t>Versiunea patruzeci începe cu cuvintele „și la vremea sfârșitului”, identificând astfel în mod specific că începutul versetului este anul 1798. Cele cincizeci și unu de cuvinte ale versetului au fost desigilate în 1989, când s-a recunoscut că ele identificau prăbușirea Uniunii Sovietice la acel timp. Cele cincizeci și unu de cuvinte din verset reprezintă atât vremea sfârșitului din 1798, cât și apoi o altă vreme a sfârșitului în 1989. Alfa și Omega Și-a așezat semnătura asupra versetului pentru toți cei care sunt dispuși să vadă și să audă. Vremea sfârșitului pentru mișcările atât ale primului, cât și ale celui de-al treilea înger este reprezentată în acel singur verset.</w:t>
      </w:r>
    </w:p>
    <w:p>
      <w:pPr>
        <w:pStyle w:val="ArticleBody"/>
        <w:jc w:val="left"/>
      </w:pP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နောက်တစ်ပိုဒ်က၊</w:t>
      </w:r>
      <w:r>
        <w:rPr>
          <w:rFonts w:ascii="Times New Roman" w:hAnsi="Times New Roman" w:eastAsia="Times New Roman" w:cs="Times New Roman"/>
        </w:rPr>
        <w:t xml:space="preserve"> </w:t>
      </w:r>
      <w:r>
        <w:rPr>
          <w:rFonts w:ascii="Myanmar Text" w:hAnsi="Myanmar Text" w:eastAsia="Myanmar Text" w:cs="Myanmar Text"/>
        </w:rPr>
        <w:t>မြောက်ဘုရင်အဖြစ်</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ပုပ်ရဟန်းမင်းအာဏာသည်၊</w:t>
      </w:r>
      <w:r>
        <w:rPr>
          <w:rFonts w:ascii="Times New Roman" w:hAnsi="Times New Roman" w:eastAsia="Times New Roman" w:cs="Times New Roman"/>
        </w:rPr>
        <w:t xml:space="preserve"> </w:t>
      </w:r>
      <w:r>
        <w:rPr>
          <w:rFonts w:ascii="Myanmar Text" w:hAnsi="Myanmar Text" w:eastAsia="Myanmar Text" w:cs="Myanmar Text"/>
        </w:rPr>
        <w:t>ထွန်းလင်းတင့်တယ်သောပြည်အဖြစ်</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အမေရိကန်ပြည်ထောင်စုကို၊</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ရောက်ရှိလာမည့်</w:t>
      </w:r>
      <w:r>
        <w:rPr>
          <w:rFonts w:ascii="Times New Roman" w:hAnsi="Times New Roman" w:eastAsia="Times New Roman" w:cs="Times New Roman"/>
        </w:rPr>
        <w:t xml:space="preserve"> </w:t>
      </w:r>
      <w:r>
        <w:rPr>
          <w:rFonts w:ascii="Myanmar Text" w:hAnsi="Myanmar Text" w:eastAsia="Myanmar Text" w:cs="Myanmar Text"/>
        </w:rPr>
        <w:t>တနင်္ဂနွေနေ့ဥပဒေကာလတွင်</w:t>
      </w:r>
      <w:r>
        <w:rPr>
          <w:rFonts w:ascii="Times New Roman" w:hAnsi="Times New Roman" w:eastAsia="Times New Roman" w:cs="Times New Roman"/>
        </w:rPr>
        <w:t xml:space="preserve"> </w:t>
      </w:r>
      <w:r>
        <w:rPr>
          <w:rFonts w:ascii="Myanmar Text" w:hAnsi="Myanmar Text" w:eastAsia="Myanmar Text" w:cs="Myanmar Text"/>
        </w:rPr>
        <w:t>အနိုင်ယူသည့်အချိန်ကို</w:t>
      </w:r>
      <w:r>
        <w:rPr>
          <w:rFonts w:ascii="Times New Roman" w:hAnsi="Times New Roman" w:eastAsia="Times New Roman" w:cs="Times New Roman"/>
        </w:rPr>
        <w:t xml:space="preserve"> </w:t>
      </w:r>
      <w:r>
        <w:rPr>
          <w:rFonts w:ascii="Myanmar Text" w:hAnsi="Myanmar Text" w:eastAsia="Myanmar Text" w:cs="Myanmar Text"/>
        </w:rPr>
        <w:t>ဖော်ထုတ်ပြသည်။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လေးဆယ်၏</w:t>
      </w:r>
      <w:r>
        <w:rPr>
          <w:rFonts w:ascii="Times New Roman" w:hAnsi="Times New Roman" w:eastAsia="Times New Roman" w:cs="Times New Roman"/>
        </w:rPr>
        <w:t xml:space="preserve"> </w:t>
      </w:r>
      <w:r>
        <w:rPr>
          <w:rFonts w:ascii="Myanmar Text" w:hAnsi="Myanmar Text" w:eastAsia="Myanmar Text" w:cs="Myanmar Text"/>
        </w:rPr>
        <w:t>စကားလုံးများက</w:t>
      </w:r>
      <w:r>
        <w:rPr>
          <w:rFonts w:ascii="Times New Roman" w:hAnsi="Times New Roman" w:eastAsia="Times New Roman" w:cs="Times New Roman"/>
        </w:rPr>
        <w:t xml:space="preserve"> </w:t>
      </w:r>
      <w:r>
        <w:rPr>
          <w:rFonts w:ascii="Myanmar Text" w:hAnsi="Myanmar Text" w:eastAsia="Myanmar Text" w:cs="Myanmar Text"/>
        </w:rPr>
        <w:t>အဆုံးကာလကို</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အစအဖြစ်လည်းကောင်း၊</w:t>
      </w:r>
      <w:r>
        <w:rPr>
          <w:rFonts w:ascii="Times New Roman" w:hAnsi="Times New Roman" w:eastAsia="Times New Roman" w:cs="Times New Roman"/>
        </w:rPr>
        <w:t xml:space="preserve"> </w:t>
      </w:r>
      <w:r>
        <w:rPr>
          <w:rFonts w:ascii="Myanmar Text" w:hAnsi="Myanmar Text" w:eastAsia="Myanmar Text" w:cs="Myanmar Text"/>
        </w:rPr>
        <w:t>အဆုံးကာလကို</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အဆုံးသတ်အဖြစ်လည်းကောင်း</w:t>
      </w:r>
      <w:r>
        <w:rPr>
          <w:rFonts w:ascii="Times New Roman" w:hAnsi="Times New Roman" w:eastAsia="Times New Roman" w:cs="Times New Roman"/>
        </w:rPr>
        <w:t xml:space="preserve"> </w:t>
      </w:r>
      <w:r>
        <w:rPr>
          <w:rFonts w:ascii="Myanmar Text" w:hAnsi="Myanmar Text" w:eastAsia="Myanmar Text" w:cs="Myanmar Text"/>
        </w:rPr>
        <w:t>သတ်မှတ်ဖော်ပြသော်လည်း၊</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လေးဆယ်တွင်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ပရောဖက်ပြုသမိုင်းသည်၊</w:t>
      </w:r>
      <w:r>
        <w:rPr>
          <w:rFonts w:ascii="Times New Roman" w:hAnsi="Times New Roman" w:eastAsia="Times New Roman" w:cs="Times New Roman"/>
        </w:rPr>
        <w:t xml:space="preserve"> </w:t>
      </w:r>
      <w:r>
        <w:rPr>
          <w:rFonts w:ascii="Myanmar Text" w:hAnsi="Myanmar Text" w:eastAsia="Myanmar Text" w:cs="Myanmar Text"/>
        </w:rPr>
        <w:t>မြောက်ဘုရင်က</w:t>
      </w:r>
      <w:r>
        <w:rPr>
          <w:rFonts w:ascii="Times New Roman" w:hAnsi="Times New Roman" w:eastAsia="Times New Roman" w:cs="Times New Roman"/>
        </w:rPr>
        <w:t xml:space="preserve"> </w:t>
      </w:r>
      <w:r>
        <w:rPr>
          <w:rFonts w:ascii="Myanmar Text" w:hAnsi="Myanmar Text" w:eastAsia="Myanmar Text" w:cs="Myanmar Text"/>
        </w:rPr>
        <w:t>ထွန်းလင်းတင့်တယ်သောပြည်ကို</w:t>
      </w:r>
      <w:r>
        <w:rPr>
          <w:rFonts w:ascii="Times New Roman" w:hAnsi="Times New Roman" w:eastAsia="Times New Roman" w:cs="Times New Roman"/>
        </w:rPr>
        <w:t xml:space="preserve"> </w:t>
      </w:r>
      <w:r>
        <w:rPr>
          <w:rFonts w:ascii="Myanmar Text" w:hAnsi="Myanmar Text" w:eastAsia="Myanmar Text" w:cs="Myanmar Text"/>
        </w:rPr>
        <w:t>အနိုင်ယူသော</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လေးဆယ့်တစ်အထိ</w:t>
      </w:r>
      <w:r>
        <w:rPr>
          <w:rFonts w:ascii="Times New Roman" w:hAnsi="Times New Roman" w:eastAsia="Times New Roman" w:cs="Times New Roman"/>
        </w:rPr>
        <w:t xml:space="preserve"> </w:t>
      </w:r>
      <w:r>
        <w:rPr>
          <w:rFonts w:ascii="Myanmar Text" w:hAnsi="Myanmar Text" w:eastAsia="Myanmar Text" w:cs="Myanmar Text"/>
        </w:rPr>
        <w:t>မပြီးဆုံးသေးပေ။</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ဆိုဗီယက်ယူနီယံ</w:t>
      </w:r>
      <w:r>
        <w:rPr>
          <w:rFonts w:ascii="Times New Roman" w:hAnsi="Times New Roman" w:eastAsia="Times New Roman" w:cs="Times New Roman"/>
        </w:rPr>
        <w:t xml:space="preserve"> </w:t>
      </w:r>
      <w:r>
        <w:rPr>
          <w:rFonts w:ascii="Myanmar Text" w:hAnsi="Myanmar Text" w:eastAsia="Myanmar Text" w:cs="Myanmar Text"/>
        </w:rPr>
        <w:t>ပြိုလဲသည့်အချိန်မှစ၍၊</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လေးဆယ့်တစ်တွင်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ရောက်ရှိလာမည့်</w:t>
      </w:r>
      <w:r>
        <w:rPr>
          <w:rFonts w:ascii="Times New Roman" w:hAnsi="Times New Roman" w:eastAsia="Times New Roman" w:cs="Times New Roman"/>
        </w:rPr>
        <w:t xml:space="preserve"> </w:t>
      </w:r>
      <w:r>
        <w:rPr>
          <w:rFonts w:ascii="Myanmar Text" w:hAnsi="Myanmar Text" w:eastAsia="Myanmar Text" w:cs="Myanmar Text"/>
        </w:rPr>
        <w:t>တနင်္ဂနွေနေ့ဥပဒေအထိသော</w:t>
      </w:r>
      <w:r>
        <w:rPr>
          <w:rFonts w:ascii="Times New Roman" w:hAnsi="Times New Roman" w:eastAsia="Times New Roman" w:cs="Times New Roman"/>
        </w:rPr>
        <w:t xml:space="preserve"> </w:t>
      </w:r>
      <w:r>
        <w:rPr>
          <w:rFonts w:ascii="Myanmar Text" w:hAnsi="Myanmar Text" w:eastAsia="Myanmar Text" w:cs="Myanmar Text"/>
        </w:rPr>
        <w:t>သမိုင်းသည်၊</w:t>
      </w:r>
      <w:r>
        <w:rPr>
          <w:rFonts w:ascii="Times New Roman" w:hAnsi="Times New Roman" w:eastAsia="Times New Roman" w:cs="Times New Roman"/>
        </w:rPr>
        <w:t xml:space="preserve"> </w:t>
      </w:r>
      <w:r>
        <w:rPr>
          <w:rFonts w:ascii="Myanmar Text" w:hAnsi="Myanmar Text" w:eastAsia="Myanmar Text" w:cs="Myanmar Text"/>
        </w:rPr>
        <w:t>သမ္မတ</w:t>
      </w:r>
      <w:r>
        <w:rPr>
          <w:rFonts w:ascii="Times New Roman" w:hAnsi="Times New Roman" w:eastAsia="Times New Roman" w:cs="Times New Roman"/>
        </w:rPr>
        <w:t xml:space="preserve"> </w:t>
      </w:r>
      <w:r>
        <w:rPr>
          <w:rFonts w:ascii="Myanmar Text" w:hAnsi="Myanmar Text" w:eastAsia="Myanmar Text" w:cs="Myanmar Text"/>
        </w:rPr>
        <w:t>ရော်နယ်</w:t>
      </w:r>
      <w:r>
        <w:rPr>
          <w:rFonts w:ascii="Times New Roman" w:hAnsi="Times New Roman" w:eastAsia="Times New Roman" w:cs="Times New Roman"/>
        </w:rPr>
        <w:t xml:space="preserve"> </w:t>
      </w:r>
      <w:r>
        <w:rPr>
          <w:rFonts w:ascii="Myanmar Text" w:hAnsi="Myanmar Text" w:eastAsia="Myanmar Text" w:cs="Myanmar Text"/>
        </w:rPr>
        <w:t>ရေဂန်၏</w:t>
      </w:r>
      <w:r>
        <w:rPr>
          <w:rFonts w:ascii="Times New Roman" w:hAnsi="Times New Roman" w:eastAsia="Times New Roman" w:cs="Times New Roman"/>
        </w:rPr>
        <w:t xml:space="preserve"> </w:t>
      </w:r>
      <w:r>
        <w:rPr>
          <w:rFonts w:ascii="Myanmar Text" w:hAnsi="Myanmar Text" w:eastAsia="Myanmar Text" w:cs="Myanmar Text"/>
        </w:rPr>
        <w:t>ခေတ်မှစ၍</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ရောက်ရှိလာမည့်</w:t>
      </w:r>
      <w:r>
        <w:rPr>
          <w:rFonts w:ascii="Times New Roman" w:hAnsi="Times New Roman" w:eastAsia="Times New Roman" w:cs="Times New Roman"/>
        </w:rPr>
        <w:t xml:space="preserve"> </w:t>
      </w:r>
      <w:r>
        <w:rPr>
          <w:rFonts w:ascii="Myanmar Text" w:hAnsi="Myanmar Text" w:eastAsia="Myanmar Text" w:cs="Myanmar Text"/>
        </w:rPr>
        <w:t>တနင်္ဂနွေနေ့ဥပဒေအထိသော</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ကိုယ်စားပြုကြောင်းကို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ထိုသမိုင်းတွင်</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ရက်မှစ၍</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မြေငလျင်ကြီး၏</w:t>
      </w:r>
      <w:r>
        <w:rPr>
          <w:rFonts w:ascii="Times New Roman" w:hAnsi="Times New Roman" w:eastAsia="Times New Roman" w:cs="Times New Roman"/>
        </w:rPr>
        <w:t xml:space="preserve"> </w:t>
      </w:r>
      <w:r>
        <w:rPr>
          <w:rFonts w:ascii="Myanmar Text" w:hAnsi="Myanmar Text" w:eastAsia="Myanmar Text" w:cs="Myanmar Text"/>
        </w:rPr>
        <w:t>နာရီတိုင်အောင်</w:t>
      </w:r>
      <w:r>
        <w:rPr>
          <w:rFonts w:ascii="Times New Roman" w:hAnsi="Times New Roman" w:eastAsia="Times New Roman" w:cs="Times New Roman"/>
        </w:rPr>
        <w:t xml:space="preserve"> </w:t>
      </w:r>
      <w:r>
        <w:rPr>
          <w:rFonts w:ascii="Myanmar Text" w:hAnsi="Myanmar Text" w:eastAsia="Myanmar Text" w:cs="Myanmar Text"/>
        </w:rPr>
        <w:t>ပါဝင်လျက်ရှိသည်။</w:t>
      </w:r>
    </w:p>
    <w:p>
      <w:pPr>
        <w:pStyle w:val="ArticleBody"/>
        <w:jc w:val="left"/>
      </w:pPr>
      <w:r>
        <w:rPr>
          <w:rFonts w:ascii="Nirmala UI" w:hAnsi="Nirmala UI" w:eastAsia="Nirmala UI" w:cs="Nirmala UI"/>
        </w:rPr>
        <w:t>હુકમ</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પ્રથમવાર</w:t>
      </w:r>
      <w:r>
        <w:rPr>
          <w:rFonts w:ascii="Times New Roman" w:hAnsi="Times New Roman" w:eastAsia="Times New Roman" w:cs="Times New Roman"/>
        </w:rPr>
        <w:t xml:space="preserve"> </w:t>
      </w:r>
      <w:r>
        <w:rPr>
          <w:rFonts w:ascii="Nirmala UI" w:hAnsi="Nirmala UI" w:eastAsia="Nirmala UI" w:cs="Nirmala UI"/>
        </w:rPr>
        <w:t>ઉદ્ઘાટિત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વિરોધમાં</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દલીલ</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પિપેન્જરનો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હુકમ</w:t>
      </w:r>
      <w:r>
        <w:rPr>
          <w:rFonts w:ascii="Times New Roman" w:hAnsi="Times New Roman" w:eastAsia="Times New Roman" w:cs="Times New Roman"/>
        </w:rPr>
        <w:t xml:space="preserve"> 1798</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ઇતિહાસથી</w:t>
      </w:r>
      <w:r>
        <w:rPr>
          <w:rFonts w:ascii="Times New Roman" w:hAnsi="Times New Roman" w:eastAsia="Times New Roman" w:cs="Times New Roman"/>
        </w:rPr>
        <w:t xml:space="preserve"> </w:t>
      </w:r>
      <w:r>
        <w:rPr>
          <w:rFonts w:ascii="Nirmala UI" w:hAnsi="Nirmala UI" w:eastAsia="Nirmala UI" w:cs="Nirmala UI"/>
        </w:rPr>
        <w:t>લઈને</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w:t>
      </w:r>
      <w:r>
        <w:rPr>
          <w:rFonts w:ascii="Times New Roman" w:hAnsi="Times New Roman" w:eastAsia="Times New Roman" w:cs="Times New Roman"/>
        </w:rPr>
        <w:t xml:space="preserve"> </w:t>
      </w:r>
      <w:r>
        <w:rPr>
          <w:rFonts w:ascii="Nirmala UI" w:hAnsi="Nirmala UI" w:eastAsia="Nirmala UI" w:cs="Nirmala UI"/>
        </w:rPr>
        <w:t>સુધીના</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હાસ્યાસ્પદ</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બાઇબલમાં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હુકમો</w:t>
      </w:r>
      <w:r>
        <w:rPr>
          <w:rFonts w:ascii="Times New Roman" w:hAnsi="Times New Roman" w:eastAsia="Times New Roman" w:cs="Times New Roman"/>
        </w:rPr>
        <w:t xml:space="preserve"> </w:t>
      </w:r>
      <w:r>
        <w:rPr>
          <w:rFonts w:ascii="Nirmala UI" w:hAnsi="Nirmala UI" w:eastAsia="Nirmala UI" w:cs="Nirmala UI"/>
        </w:rPr>
        <w:t>કદી</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લાંબા</w:t>
      </w:r>
      <w:r>
        <w:rPr>
          <w:rFonts w:ascii="Times New Roman" w:hAnsi="Times New Roman" w:eastAsia="Times New Roman" w:cs="Times New Roman"/>
        </w:rPr>
        <w:t xml:space="preserve"> </w:t>
      </w:r>
      <w:r>
        <w:rPr>
          <w:rFonts w:ascii="Nirmala UI" w:hAnsi="Nirmala UI" w:eastAsia="Nirmala UI" w:cs="Nirmala UI"/>
        </w:rPr>
        <w:t>સમયખંડોનું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હુકમમાં</w:t>
      </w:r>
      <w:r>
        <w:rPr>
          <w:rFonts w:ascii="Times New Roman" w:hAnsi="Times New Roman" w:eastAsia="Times New Roman" w:cs="Times New Roman"/>
        </w:rPr>
        <w:t xml:space="preserve"> </w:t>
      </w:r>
      <w:r>
        <w:rPr>
          <w:rFonts w:ascii="Nirmala UI" w:hAnsi="Nirmala UI" w:eastAsia="Nirmala UI" w:cs="Nirmala UI"/>
        </w:rPr>
        <w:t>કેટલો</w:t>
      </w:r>
      <w:r>
        <w:rPr>
          <w:rFonts w:ascii="Times New Roman" w:hAnsi="Times New Roman" w:eastAsia="Times New Roman" w:cs="Times New Roman"/>
        </w:rPr>
        <w:t xml:space="preserve"> </w:t>
      </w:r>
      <w:r>
        <w:rPr>
          <w:rFonts w:ascii="Nirmala UI" w:hAnsi="Nirmala UI" w:eastAsia="Nirmala UI" w:cs="Nirmala UI"/>
        </w:rPr>
        <w:t>સમયખંડ</w:t>
      </w:r>
      <w:r>
        <w:rPr>
          <w:rFonts w:ascii="Times New Roman" w:hAnsi="Times New Roman" w:eastAsia="Times New Roman" w:cs="Times New Roman"/>
        </w:rPr>
        <w:t xml:space="preserve"> </w:t>
      </w:r>
      <w:r>
        <w:rPr>
          <w:rFonts w:ascii="Nirmala UI" w:hAnsi="Nirmala UI" w:eastAsia="Nirmala UI" w:cs="Nirmala UI"/>
        </w:rPr>
        <w:t>સમાવાઈ</w:t>
      </w:r>
      <w:r>
        <w:rPr>
          <w:rFonts w:ascii="Times New Roman" w:hAnsi="Times New Roman" w:eastAsia="Times New Roman" w:cs="Times New Roman"/>
        </w:rPr>
        <w:t xml:space="preserve"> </w:t>
      </w:r>
      <w:r>
        <w:rPr>
          <w:rFonts w:ascii="Nirmala UI" w:hAnsi="Nirmala UI" w:eastAsia="Nirmala UI" w:cs="Nirmala UI"/>
        </w:rPr>
        <w:t>શકે</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મર્યાદા</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કેમ</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વિચાર</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અમને</w:t>
      </w:r>
      <w:r>
        <w:rPr>
          <w:rFonts w:ascii="Times New Roman" w:hAnsi="Times New Roman" w:eastAsia="Times New Roman" w:cs="Times New Roman"/>
        </w:rPr>
        <w:t xml:space="preserve"> </w:t>
      </w:r>
      <w:r>
        <w:rPr>
          <w:rFonts w:ascii="Nirmala UI" w:hAnsi="Nirmala UI" w:eastAsia="Nirmala UI" w:cs="Nirmala UI"/>
        </w:rPr>
        <w:t>તરત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સ્મરણ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હુકમ</w:t>
      </w:r>
      <w:r>
        <w:rPr>
          <w:rFonts w:ascii="Times New Roman" w:hAnsi="Times New Roman" w:eastAsia="Times New Roman" w:cs="Times New Roman"/>
        </w:rPr>
        <w:t xml:space="preserve"> </w:t>
      </w:r>
      <w:r>
        <w:rPr>
          <w:rFonts w:ascii="Nirmala UI" w:hAnsi="Nirmala UI" w:eastAsia="Nirmala UI" w:cs="Nirmala UI"/>
        </w:rPr>
        <w:t>અગિયાર</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હુકમમાં</w:t>
      </w:r>
      <w:r>
        <w:rPr>
          <w:rFonts w:ascii="Times New Roman" w:hAnsi="Times New Roman" w:eastAsia="Times New Roman" w:cs="Times New Roman"/>
        </w:rPr>
        <w:t xml:space="preserve">. </w:t>
      </w:r>
      <w:r>
        <w:rPr>
          <w:rFonts w:ascii="Nirmala UI" w:hAnsi="Nirmala UI" w:eastAsia="Nirmala UI" w:cs="Nirmala UI"/>
        </w:rPr>
        <w:t>પૃથ્વીજન્તુનો</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1798</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પૃથ્વીજન્તુનું</w:t>
      </w:r>
      <w:r>
        <w:rPr>
          <w:rFonts w:ascii="Times New Roman" w:hAnsi="Times New Roman" w:eastAsia="Times New Roman" w:cs="Times New Roman"/>
        </w:rPr>
        <w:t xml:space="preserve"> </w:t>
      </w:r>
      <w:r>
        <w:rPr>
          <w:rFonts w:ascii="Nirmala UI" w:hAnsi="Nirmala UI" w:eastAsia="Nirmala UI" w:cs="Nirmala UI"/>
        </w:rPr>
        <w:t>અજગરની</w:t>
      </w:r>
      <w:r>
        <w:rPr>
          <w:rFonts w:ascii="Times New Roman" w:hAnsi="Times New Roman" w:eastAsia="Times New Roman" w:cs="Times New Roman"/>
        </w:rPr>
        <w:t xml:space="preserve"> </w:t>
      </w:r>
      <w:r>
        <w:rPr>
          <w:rFonts w:ascii="Nirmala UI" w:hAnsi="Nirmala UI" w:eastAsia="Nirmala UI" w:cs="Nirmala UI"/>
        </w:rPr>
        <w:t>માફક</w:t>
      </w:r>
      <w:r>
        <w:rPr>
          <w:rFonts w:ascii="Times New Roman" w:hAnsi="Times New Roman" w:eastAsia="Times New Roman" w:cs="Times New Roman"/>
        </w:rPr>
        <w:t xml:space="preserve"> </w:t>
      </w:r>
      <w:r>
        <w:rPr>
          <w:rFonts w:ascii="Nirmala UI" w:hAnsi="Nirmala UI" w:eastAsia="Nirmala UI" w:cs="Nirmala UI"/>
        </w:rPr>
        <w:t>બોલવું</w:t>
      </w:r>
      <w:r>
        <w:rPr>
          <w:rFonts w:ascii="Times New Roman" w:hAnsi="Times New Roman" w:eastAsia="Times New Roman" w:cs="Times New Roman"/>
        </w:rPr>
        <w:t xml:space="preserve">, </w:t>
      </w:r>
      <w:r>
        <w:rPr>
          <w:rFonts w:ascii="Nirmala UI" w:hAnsi="Nirmala UI" w:eastAsia="Nirmala UI" w:cs="Nirmala UI"/>
        </w:rPr>
        <w:t>ટૂંક</w:t>
      </w:r>
      <w:r>
        <w:rPr>
          <w:rFonts w:ascii="Times New Roman" w:hAnsi="Times New Roman" w:eastAsia="Times New Roman" w:cs="Times New Roman"/>
        </w:rPr>
        <w:t xml:space="preserve"> </w:t>
      </w:r>
      <w:r>
        <w:rPr>
          <w:rFonts w:ascii="Nirmala UI" w:hAnsi="Nirmala UI" w:eastAsia="Nirmala UI" w:cs="Nirmala UI"/>
        </w:rPr>
        <w:t>સમયમાં</w:t>
      </w:r>
      <w:r>
        <w:rPr>
          <w:rFonts w:ascii="Times New Roman" w:hAnsi="Times New Roman" w:eastAsia="Times New Roman" w:cs="Times New Roman"/>
        </w:rPr>
        <w:t xml:space="preserve"> </w:t>
      </w:r>
      <w:r>
        <w:rPr>
          <w:rFonts w:ascii="Nirmala UI" w:hAnsi="Nirmala UI" w:eastAsia="Nirmala UI" w:cs="Nirmala UI"/>
        </w:rPr>
        <w:t>આવનારા</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કાયદામાં</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 e a oʻo ina aveesea le malosi o le Faapope, ma faamalosia ai o ia e taofia le sauāina, na vaaia e Ioane se mana fou ua tulaʻi mai e toe faaleoina le leo o le tarako, ma faaauauina ai lava lea lava galuega sauā ma upuleaga i le Atua. O lenei mana, o le mana mulimuli lea o le a tau faasaga i le ekalesia ma le tulafono a le Atua, sa faatusaina i se manu feʻai e iai nifo e pei o se tamaʻi mamoe.” Signs of the Times, November 1, 1899.</w:t>
      </w:r>
    </w:p>
    <w:p>
      <w:pPr>
        <w:pStyle w:val="ArticleBody"/>
        <w:jc w:val="left"/>
      </w:pPr>
      <w:r>
        <w:rPr>
          <w:rFonts w:ascii="Times New Roman" w:hAnsi="Times New Roman" w:eastAsia="Times New Roman" w:cs="Times New Roman"/>
        </w:rPr>
        <w:t>Haddii qof doonayo inuu si farsamo ahaan ah u hadlo, aayadda afartanaad waxay daboolaysaa taariikhda 1798, ilaa aayadda afartan iyo kow, oo aayadda afartan iyo kow waxaa lagu aqoonsadaa sharciga Axadda; sidaas darteed, si ka duwan hal aayad oo ku jirta Muujintii cutubka saddex iyo tobnaad, aayadda afartanaad dhab ahaantii wax yar bay ka gaaban tahay, maxaa yeelay sharciga Axaddu wuxuu ku jiraa aayadda xigta; halka, Muujintii cutubka saddex iyo tobnaad, 1798 ilaa sharciga Axadda ay ku wada jiraan hal aayad. Sister White waxay na ogeysiinaysaa in “isla xariiqda wax sii sheegidda” ee ku jirta kitaabka Daanyeel lagu sii qaadayo kitaabka Muujintii, oo Muujintii cutubka saddex iyo tobnaad, aayadda kow iyo tobnaad, si fudud bay si toos ah uga kor martaa aayadda afartanaad, haddii aad doorato inaad ku dabaqdo mabda’a xariiq dusheed xariiq.</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সত্যিই</w:t>
      </w:r>
      <w:r>
        <w:rPr>
          <w:rFonts w:ascii="Times New Roman" w:hAnsi="Times New Roman" w:eastAsia="Times New Roman" w:cs="Times New Roman"/>
        </w:rPr>
        <w:t xml:space="preserve"> “</w:t>
      </w:r>
      <w:r>
        <w:rPr>
          <w:rFonts w:ascii="Nirmala UI" w:hAnsi="Nirmala UI" w:eastAsia="Nirmala UI" w:cs="Nirmala UI"/>
        </w:rPr>
        <w:t>পংক্তির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পংক্তি</w:t>
      </w:r>
      <w:r>
        <w:rPr>
          <w:rFonts w:ascii="Times New Roman" w:hAnsi="Times New Roman" w:eastAsia="Times New Roman" w:cs="Times New Roman"/>
        </w:rPr>
        <w:t xml:space="preserve">” </w:t>
      </w:r>
      <w:r>
        <w:rPr>
          <w:rFonts w:ascii="Nirmala UI" w:hAnsi="Nirmala UI" w:eastAsia="Nirmala UI" w:cs="Nirmala UI"/>
        </w:rPr>
        <w:t>নীতিটি</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পাও</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ত্রয়োদশ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ওঠা</w:t>
      </w:r>
      <w:r>
        <w:rPr>
          <w:rFonts w:ascii="Times New Roman" w:hAnsi="Times New Roman" w:eastAsia="Times New Roman" w:cs="Times New Roman"/>
        </w:rPr>
        <w:t xml:space="preserve"> </w:t>
      </w:r>
      <w:r>
        <w:rPr>
          <w:rFonts w:ascii="Nirmala UI" w:hAnsi="Nirmala UI" w:eastAsia="Nirmala UI" w:cs="Nirmala UI"/>
        </w:rPr>
        <w:t>জন্তুর</w:t>
      </w:r>
      <w:r>
        <w:rPr>
          <w:rFonts w:ascii="Times New Roman" w:hAnsi="Times New Roman" w:eastAsia="Times New Roman" w:cs="Times New Roman"/>
        </w:rPr>
        <w:t>—</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প্রতিরূপটি</w:t>
      </w:r>
      <w:r>
        <w:rPr>
          <w:rFonts w:ascii="Times New Roman" w:hAnsi="Times New Roman" w:eastAsia="Times New Roman" w:cs="Times New Roman"/>
        </w:rPr>
        <w:t xml:space="preserve"> </w:t>
      </w:r>
      <w:r>
        <w:rPr>
          <w:rFonts w:ascii="Nirmala UI" w:hAnsi="Nirmala UI" w:eastAsia="Nirmala UI" w:cs="Nirmala UI"/>
        </w:rPr>
        <w:t>চল্লিশতম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রথ</w:t>
      </w:r>
      <w:r>
        <w:rPr>
          <w:rFonts w:ascii="Times New Roman" w:hAnsi="Times New Roman" w:eastAsia="Times New Roman" w:cs="Times New Roman"/>
        </w:rPr>
        <w:t xml:space="preserve">, </w:t>
      </w:r>
      <w:r>
        <w:rPr>
          <w:rFonts w:ascii="Nirmala UI" w:hAnsi="Nirmala UI" w:eastAsia="Nirmala UI" w:cs="Nirmala UI"/>
        </w:rPr>
        <w:t>জাহাজ</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অশ্বারোহী</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শিংবিশিষ্ট</w:t>
      </w:r>
      <w:r>
        <w:rPr>
          <w:rFonts w:ascii="Times New Roman" w:hAnsi="Times New Roman" w:eastAsia="Times New Roman" w:cs="Times New Roman"/>
        </w:rPr>
        <w:t xml:space="preserve"> </w:t>
      </w:r>
      <w:r>
        <w:rPr>
          <w:rFonts w:ascii="Nirmala UI" w:hAnsi="Nirmala UI" w:eastAsia="Nirmala UI" w:cs="Nirmala UI"/>
        </w:rPr>
        <w:t>মেষশাবকসদৃশ</w:t>
      </w:r>
      <w:r>
        <w:rPr>
          <w:rFonts w:ascii="Times New Roman" w:hAnsi="Times New Roman" w:eastAsia="Times New Roman" w:cs="Times New Roman"/>
        </w:rPr>
        <w:t xml:space="preserve"> </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অদূর</w:t>
      </w:r>
      <w:r>
        <w:rPr>
          <w:rFonts w:ascii="Times New Roman" w:hAnsi="Times New Roman" w:eastAsia="Times New Roman" w:cs="Times New Roman"/>
        </w:rPr>
        <w:t xml:space="preserve"> </w:t>
      </w:r>
      <w:r>
        <w:rPr>
          <w:rFonts w:ascii="Nirmala UI" w:hAnsi="Nirmala UI" w:eastAsia="Nirmala UI" w:cs="Nirmala UI"/>
        </w:rPr>
        <w:t>ভবিষ্যতে</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ড্রাগনের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জন্তুরূপে</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মেষশাবকসদৃশ</w:t>
      </w:r>
      <w:r>
        <w:rPr>
          <w:rFonts w:ascii="Times New Roman" w:hAnsi="Times New Roman" w:eastAsia="Times New Roman" w:cs="Times New Roman"/>
        </w:rPr>
        <w:t xml:space="preserve"> </w:t>
      </w:r>
      <w:r>
        <w:rPr>
          <w:rFonts w:ascii="Nirmala UI" w:hAnsi="Nirmala UI" w:eastAsia="Nirmala UI" w:cs="Nirmala UI"/>
        </w:rPr>
        <w:t>জন্তুর</w:t>
      </w:r>
      <w:r>
        <w:rPr>
          <w:rFonts w:ascii="Times New Roman" w:hAnsi="Times New Roman" w:eastAsia="Times New Roman" w:cs="Times New Roman"/>
        </w:rPr>
        <w:t xml:space="preserve"> </w:t>
      </w:r>
      <w:r>
        <w:rPr>
          <w:rFonts w:ascii="Nirmala UI" w:hAnsi="Nirmala UI" w:eastAsia="Nirmala UI" w:cs="Nirmala UI"/>
        </w:rPr>
        <w:t>দুটি</w:t>
      </w:r>
      <w:r>
        <w:rPr>
          <w:rFonts w:ascii="Times New Roman" w:hAnsi="Times New Roman" w:eastAsia="Times New Roman" w:cs="Times New Roman"/>
        </w:rPr>
        <w:t xml:space="preserve"> </w:t>
      </w:r>
      <w:r>
        <w:rPr>
          <w:rFonts w:ascii="Nirmala UI" w:hAnsi="Nirmala UI" w:eastAsia="Nirmala UI" w:cs="Nirmala UI"/>
        </w:rPr>
        <w:t>শিং</w:t>
      </w:r>
      <w:r>
        <w:rPr>
          <w:rFonts w:ascii="Times New Roman" w:hAnsi="Times New Roman" w:eastAsia="Times New Roman" w:cs="Times New Roman"/>
        </w:rPr>
        <w:t xml:space="preserve"> </w:t>
      </w:r>
      <w:r>
        <w:rPr>
          <w:rFonts w:ascii="Nirmala UI" w:hAnsi="Nirmala UI" w:eastAsia="Nirmala UI" w:cs="Nirmala UI"/>
        </w:rPr>
        <w:t>আছে।</w:t>
      </w:r>
    </w:p>
    <w:p>
      <w:pPr>
        <w:pStyle w:val="ArticleBody"/>
        <w:jc w:val="left"/>
      </w:pPr>
      <w:r>
        <w:rPr>
          <w:rFonts w:ascii="Nirmala UI" w:hAnsi="Nirmala UI" w:eastAsia="Nirmala UI" w:cs="Nirmala UI"/>
        </w:rPr>
        <w:t>૪૦મું</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પ્રતીકાત્મક</w:t>
      </w:r>
      <w:r>
        <w:rPr>
          <w:rFonts w:ascii="Times New Roman" w:hAnsi="Times New Roman" w:eastAsia="Times New Roman" w:cs="Times New Roman"/>
        </w:rPr>
        <w:t xml:space="preserve"> </w:t>
      </w:r>
      <w:r>
        <w:rPr>
          <w:rFonts w:ascii="Nirmala UI" w:hAnsi="Nirmala UI" w:eastAsia="Nirmala UI" w:cs="Nirmala UI"/>
        </w:rPr>
        <w:t>સિત્તેર</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તૂરની</w:t>
      </w:r>
      <w:r>
        <w:rPr>
          <w:rFonts w:ascii="Times New Roman" w:hAnsi="Times New Roman" w:eastAsia="Times New Roman" w:cs="Times New Roman"/>
        </w:rPr>
        <w:t xml:space="preserve"> </w:t>
      </w:r>
      <w:r>
        <w:rPr>
          <w:rFonts w:ascii="Nirmala UI" w:hAnsi="Nirmala UI" w:eastAsia="Nirmala UI" w:cs="Nirmala UI"/>
        </w:rPr>
        <w:t>વ્યભિચારિણી</w:t>
      </w:r>
      <w:r>
        <w:rPr>
          <w:rFonts w:ascii="Times New Roman" w:hAnsi="Times New Roman" w:eastAsia="Times New Roman" w:cs="Times New Roman"/>
        </w:rPr>
        <w:t xml:space="preserve"> </w:t>
      </w:r>
      <w:r>
        <w:rPr>
          <w:rFonts w:ascii="Nirmala UI" w:hAnsi="Nirmala UI" w:eastAsia="Nirmala UI" w:cs="Nirmala UI"/>
        </w:rPr>
        <w:t>ભૂલાઈ</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પ્રતીકાત્મક</w:t>
      </w:r>
      <w:r>
        <w:rPr>
          <w:rFonts w:ascii="Times New Roman" w:hAnsi="Times New Roman" w:eastAsia="Times New Roman" w:cs="Times New Roman"/>
        </w:rPr>
        <w:t xml:space="preserve"> </w:t>
      </w:r>
      <w:r>
        <w:rPr>
          <w:rFonts w:ascii="Nirmala UI" w:hAnsi="Nirmala UI" w:eastAsia="Nirmala UI" w:cs="Nirmala UI"/>
        </w:rPr>
        <w:t>સિત્તેર</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રાજાના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સમાન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૪૦મા</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પ્રકાશિતવાક્ય</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૧૩ની</w:t>
      </w:r>
      <w:r>
        <w:rPr>
          <w:rFonts w:ascii="Times New Roman" w:hAnsi="Times New Roman" w:eastAsia="Times New Roman" w:cs="Times New Roman"/>
        </w:rPr>
        <w:t xml:space="preserve"> </w:t>
      </w:r>
      <w:r>
        <w:rPr>
          <w:rFonts w:ascii="Nirmala UI" w:hAnsi="Nirmala UI" w:eastAsia="Nirmala UI" w:cs="Nirmala UI"/>
        </w:rPr>
        <w:t>રેખાના</w:t>
      </w:r>
      <w:r>
        <w:rPr>
          <w:rFonts w:ascii="Times New Roman" w:hAnsi="Times New Roman" w:eastAsia="Times New Roman" w:cs="Times New Roman"/>
        </w:rPr>
        <w:t xml:space="preserve"> </w:t>
      </w:r>
      <w:r>
        <w:rPr>
          <w:rFonts w:ascii="Nirmala UI" w:hAnsi="Nirmala UI" w:eastAsia="Nirmala UI" w:cs="Nirmala UI"/>
        </w:rPr>
        <w:t>આધાર</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બાઈબલની</w:t>
      </w:r>
      <w:r>
        <w:rPr>
          <w:rFonts w:ascii="Times New Roman" w:hAnsi="Times New Roman" w:eastAsia="Times New Roman" w:cs="Times New Roman"/>
        </w:rPr>
        <w:t xml:space="preserve"> </w:t>
      </w:r>
      <w:r>
        <w:rPr>
          <w:rFonts w:ascii="Nirmala UI" w:hAnsi="Nirmala UI" w:eastAsia="Nirmala UI" w:cs="Nirmala UI"/>
        </w:rPr>
        <w:t>આગાહીનું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યશાયા</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૨૩ના</w:t>
      </w:r>
      <w:r>
        <w:rPr>
          <w:rFonts w:ascii="Times New Roman" w:hAnsi="Times New Roman" w:eastAsia="Times New Roman" w:cs="Times New Roman"/>
        </w:rPr>
        <w:t xml:space="preserve"> </w:t>
      </w:r>
      <w:r>
        <w:rPr>
          <w:rFonts w:ascii="Nirmala UI" w:hAnsi="Nirmala UI" w:eastAsia="Nirmala UI" w:cs="Nirmala UI"/>
        </w:rPr>
        <w:t>પ્રતીકાત્મક</w:t>
      </w:r>
      <w:r>
        <w:rPr>
          <w:rFonts w:ascii="Times New Roman" w:hAnsi="Times New Roman" w:eastAsia="Times New Roman" w:cs="Times New Roman"/>
        </w:rPr>
        <w:t xml:space="preserve"> </w:t>
      </w:r>
      <w:r>
        <w:rPr>
          <w:rFonts w:ascii="Nirmala UI" w:hAnsi="Nirmala UI" w:eastAsia="Nirmala UI" w:cs="Nirmala UI"/>
        </w:rPr>
        <w:t>સિત્તેર</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શાસન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ધરતીનું</w:t>
      </w:r>
      <w:r>
        <w:rPr>
          <w:rFonts w:ascii="Times New Roman" w:hAnsi="Times New Roman" w:eastAsia="Times New Roman" w:cs="Times New Roman"/>
        </w:rPr>
        <w:t xml:space="preserve"> </w:t>
      </w:r>
      <w:r>
        <w:rPr>
          <w:rFonts w:ascii="Nirmala UI" w:hAnsi="Nirmala UI" w:eastAsia="Nirmala UI" w:cs="Nirmala UI"/>
        </w:rPr>
        <w:t>પશુ</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શક્તિના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શિંગડા</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ધરતીનું</w:t>
      </w:r>
      <w:r>
        <w:rPr>
          <w:rFonts w:ascii="Times New Roman" w:hAnsi="Times New Roman" w:eastAsia="Times New Roman" w:cs="Times New Roman"/>
        </w:rPr>
        <w:t xml:space="preserve"> </w:t>
      </w:r>
      <w:r>
        <w:rPr>
          <w:rFonts w:ascii="Nirmala UI" w:hAnsi="Nirmala UI" w:eastAsia="Nirmala UI" w:cs="Nirmala UI"/>
        </w:rPr>
        <w:t>પશુ</w:t>
      </w:r>
      <w:r>
        <w:rPr>
          <w:rFonts w:ascii="Times New Roman" w:hAnsi="Times New Roman" w:eastAsia="Times New Roman" w:cs="Times New Roman"/>
        </w:rPr>
        <w:t xml:space="preserve"> </w:t>
      </w:r>
      <w:r>
        <w:rPr>
          <w:rFonts w:ascii="Nirmala UI" w:hAnsi="Nirmala UI" w:eastAsia="Nirmala UI" w:cs="Nirmala UI"/>
        </w:rPr>
        <w:t>શક્તિના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શિંગડાં</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રિપબ્લિકનિઝમ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પ્રોટેસ્ટન્ટિઝમનું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૪૦મા</w:t>
      </w:r>
      <w:r>
        <w:rPr>
          <w:rFonts w:ascii="Times New Roman" w:hAnsi="Times New Roman" w:eastAsia="Times New Roman" w:cs="Times New Roman"/>
        </w:rPr>
        <w:t xml:space="preserve"> </w:t>
      </w:r>
      <w:r>
        <w:rPr>
          <w:rFonts w:ascii="Nirmala UI" w:hAnsi="Nirmala UI" w:eastAsia="Nirmala UI" w:cs="Nirmala UI"/>
        </w:rPr>
        <w:t>વચનનો</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૪૧મા</w:t>
      </w:r>
      <w:r>
        <w:rPr>
          <w:rFonts w:ascii="Times New Roman" w:hAnsi="Times New Roman" w:eastAsia="Times New Roman" w:cs="Times New Roman"/>
        </w:rPr>
        <w:t xml:space="preserve"> </w:t>
      </w:r>
      <w:r>
        <w:rPr>
          <w:rFonts w:ascii="Nirmala UI" w:hAnsi="Nirmala UI" w:eastAsia="Nirmala UI" w:cs="Nirmala UI"/>
        </w:rPr>
        <w:t>વચનમાં</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પૂર્ણતાની</w:t>
      </w:r>
      <w:r>
        <w:rPr>
          <w:rFonts w:ascii="Times New Roman" w:hAnsi="Times New Roman" w:eastAsia="Times New Roman" w:cs="Times New Roman"/>
        </w:rPr>
        <w:t xml:space="preserve"> </w:t>
      </w:r>
      <w:r>
        <w:rPr>
          <w:rFonts w:ascii="Nirmala UI" w:hAnsi="Nirmala UI" w:eastAsia="Nirmala UI" w:cs="Nirmala UI"/>
        </w:rPr>
        <w:t>નજીક</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આગાહીમય</w:t>
      </w:r>
      <w:r>
        <w:rPr>
          <w:rFonts w:ascii="Times New Roman" w:hAnsi="Times New Roman" w:eastAsia="Times New Roman" w:cs="Times New Roman"/>
        </w:rPr>
        <w:t xml:space="preserve"> </w:t>
      </w:r>
      <w:r>
        <w:rPr>
          <w:rFonts w:ascii="Nirmala UI" w:hAnsi="Nirmala UI" w:eastAsia="Nirmala UI" w:cs="Nirmala UI"/>
        </w:rPr>
        <w:t>શક્તિઓ</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જહાજો</w:t>
      </w:r>
      <w:r>
        <w:rPr>
          <w:rFonts w:ascii="Times New Roman" w:hAnsi="Times New Roman" w:eastAsia="Times New Roman" w:cs="Times New Roman"/>
        </w:rPr>
        <w:t>” (</w:t>
      </w:r>
      <w:r>
        <w:rPr>
          <w:rFonts w:ascii="Nirmala UI" w:hAnsi="Nirmala UI" w:eastAsia="Nirmala UI" w:cs="Nirmala UI"/>
        </w:rPr>
        <w:t>આર્થિક</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રથો</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અશ્વારો</w:t>
      </w:r>
      <w:r>
        <w:rPr>
          <w:rFonts w:ascii="Times New Roman" w:hAnsi="Times New Roman" w:eastAsia="Times New Roman" w:cs="Times New Roman"/>
        </w:rPr>
        <w:t>” (</w:t>
      </w:r>
      <w:r>
        <w:rPr>
          <w:rFonts w:ascii="Nirmala UI" w:hAnsi="Nirmala UI" w:eastAsia="Nirmala UI" w:cs="Nirmala UI"/>
        </w:rPr>
        <w:t>લશ્કરી</w:t>
      </w:r>
      <w:r>
        <w:rPr>
          <w:rFonts w:ascii="Times New Roman" w:hAnsi="Times New Roman" w:eastAsia="Times New Roman" w:cs="Times New Roman"/>
        </w:rPr>
        <w:t xml:space="preserve"> </w:t>
      </w:r>
      <w:r>
        <w:rPr>
          <w:rFonts w:ascii="Nirmala UI" w:hAnsi="Nirmala UI" w:eastAsia="Nirmala UI" w:cs="Nirmala UI"/>
        </w:rPr>
        <w:t>સામર્થ્ય</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Sia lo tempu de is de settanta annus simbolicus de Isaia capìtulu bintitres, sa meretrice de Tiru, chi in su versu cuaranta est su re de su nord, benit ismentigada. Ma pustis, a sa fine de is de settanta annus simbolicus, issa torraiat a fornicare cun is re de sa terra, comente est istadu fatu in sa storia chi at cundùidu a su crollu de s’Unione Soviètica, cando totu is istòricos cunfirmant chi su presidente Reagan asseguraiat un’alleantza segreta cun s’anticristu de sa profezia bìblica pro su fine de fagher crollare s’Unione Soviètica. In su perìodu chi at cundùidu a su 1989, Reagan aiat giai cumentzadu una relatzione segreta e illecita cun s’òmine de peccadu; duncas is musicistas de Nabucodonosor cumintzaiant a esercitare sa melodia chi sa meretrice ismentigada cumintzaiat a cantare. Su ministeru mundiale sena precedentes de Giovanni Paolo II, in cussa istessa storia, fiat s’inìtziu de su “cantigu e ballu” chi aiat fatu chi “totu su mundu” “si maravigliasset dae segus de sa bèstia”.</w:t>
      </w:r>
    </w:p>
    <w:p>
      <w:pPr>
        <w:pStyle w:val="ArticleBody"/>
        <w:jc w:val="left"/>
      </w:pPr>
      <w:r>
        <w:rPr>
          <w:rFonts w:ascii="Times New Roman" w:hAnsi="Times New Roman" w:eastAsia="Times New Roman" w:cs="Times New Roman"/>
        </w:rPr>
        <w:t>Le verset quarante représente aussi l’histoire de l’adventisme laodicéen, qui commença en 1798 comme Sardes; puis ceux qui étaient à Sardes acceptèrent la lumière qui avait été descellée, et alors le mouvement philadelphien sortit de Sardes. Lorsque le mouvement philadelphien rejeta la lumière de 1856, il passa alors du statut de mouvement à celui de l’Église laodicéenne en 1863. Cette Église est donc destinée à être vomie de la bouche du Seigneur au verset quarante et un, lequel est la loi dominicale qui vient bientôt. Le verset quarante représente non seulement l’histoire des États-Unis, mais aussi l’histoire de l’adventisme laodicéen.</w:t>
      </w:r>
    </w:p>
    <w:p>
      <w:pPr>
        <w:pStyle w:val="ArticleBody"/>
        <w:jc w:val="left"/>
      </w:pPr>
      <w:r>
        <w:rPr>
          <w:rFonts w:ascii="Times New Roman" w:hAnsi="Times New Roman" w:eastAsia="Times New Roman" w:cs="Times New Roman"/>
        </w:rPr>
        <w:t>Adventisme Laodikéa diberi terang ilahi dari Firman Allah sebagai titik tumpu dan kekuatannya, dan pemerintahan Amerika Serikat diberi terang ilahi dari Konstitusi Amerika Serikat sebagai titik tumpu dan kekuatannya. Keduanya secara nubuatan bermula sebagai tanduk-tanduk pada tahun 1798, dan pada akhir tujuh puluh tahun simbolis itu, tanduk Republik yang murtad dan tanduk Protestan yang murtad akan bersatu menjadi satu tanduk dan berbicara seperti seekor naga.</w:t>
      </w:r>
    </w:p>
    <w:p>
      <w:pPr>
        <w:pStyle w:val="ArticleBody"/>
        <w:jc w:val="left"/>
      </w:pPr>
      <w:r>
        <w:rPr>
          <w:rFonts w:ascii="Leelawadee UI" w:hAnsi="Leelawadee UI" w:eastAsia="Leelawadee UI" w:cs="Leelawadee UI"/>
        </w:rPr>
        <w:t>ខ្សែទាំងពីរនៅក្នុងខទីសែសិប</w:t>
      </w:r>
      <w:r>
        <w:rPr>
          <w:rFonts w:ascii="Times New Roman" w:hAnsi="Times New Roman" w:eastAsia="Times New Roman" w:cs="Times New Roman"/>
        </w:rPr>
        <w:t xml:space="preserve"> </w:t>
      </w:r>
      <w:r>
        <w:rPr>
          <w:rFonts w:ascii="Leelawadee UI" w:hAnsi="Leelawadee UI" w:eastAsia="Leelawadee UI" w:cs="Leelawadee UI"/>
        </w:rPr>
        <w:t>គឺជារដ្ឋាភិបាល</w:t>
      </w:r>
      <w:r>
        <w:rPr>
          <w:rFonts w:ascii="Times New Roman" w:hAnsi="Times New Roman" w:eastAsia="Times New Roman" w:cs="Times New Roman"/>
        </w:rPr>
        <w:t xml:space="preserve"> </w:t>
      </w:r>
      <w:r>
        <w:rPr>
          <w:rFonts w:ascii="Leelawadee UI" w:hAnsi="Leelawadee UI" w:eastAsia="Leelawadee UI" w:cs="Leelawadee UI"/>
        </w:rPr>
        <w:t>និងព្រះវិហារដែលបានជ្រើសតាំង</w:t>
      </w:r>
      <w:r>
        <w:rPr>
          <w:rFonts w:ascii="Times New Roman" w:hAnsi="Times New Roman" w:eastAsia="Times New Roman" w:cs="Times New Roman"/>
        </w:rPr>
        <w:t xml:space="preserve"> </w:t>
      </w:r>
      <w:r>
        <w:rPr>
          <w:rFonts w:ascii="Leelawadee UI" w:hAnsi="Leelawadee UI" w:eastAsia="Leelawadee UI" w:cs="Leelawadee UI"/>
        </w:rPr>
        <w:t>ដែលតំណាងឲ្យបន្ទាត់ទំនាយពីរដែលរត់ស្របគ្នា</w:t>
      </w:r>
      <w:r>
        <w:rPr>
          <w:rFonts w:ascii="Times New Roman" w:hAnsi="Times New Roman" w:eastAsia="Times New Roman" w:cs="Times New Roman"/>
        </w:rPr>
        <w:t xml:space="preserve"> </w:t>
      </w:r>
      <w:r>
        <w:rPr>
          <w:rFonts w:ascii="Leelawadee UI" w:hAnsi="Leelawadee UI" w:eastAsia="Leelawadee UI" w:cs="Leelawadee UI"/>
        </w:rPr>
        <w:t>ពីព្រោះវាត្រូវបានតំណាងថាជាខ្សែពីរនៅលើសត្វមួយតែមួយ។</w:t>
      </w:r>
      <w:r>
        <w:rPr>
          <w:rFonts w:ascii="Times New Roman" w:hAnsi="Times New Roman" w:eastAsia="Times New Roman" w:cs="Times New Roman"/>
        </w:rPr>
        <w:t xml:space="preserve"> </w:t>
      </w:r>
      <w:r>
        <w:rPr>
          <w:rFonts w:ascii="Leelawadee UI" w:hAnsi="Leelawadee UI" w:eastAsia="Leelawadee UI" w:cs="Leelawadee UI"/>
        </w:rPr>
        <w:t>ទីណាដែលសត្វនោះទៅ</w:t>
      </w:r>
      <w:r>
        <w:rPr>
          <w:rFonts w:ascii="Times New Roman" w:hAnsi="Times New Roman" w:eastAsia="Times New Roman" w:cs="Times New Roman"/>
        </w:rPr>
        <w:t xml:space="preserve"> </w:t>
      </w:r>
      <w:r>
        <w:rPr>
          <w:rFonts w:ascii="Leelawadee UI" w:hAnsi="Leelawadee UI" w:eastAsia="Leelawadee UI" w:cs="Leelawadee UI"/>
        </w:rPr>
        <w:t>ខ្សែទាំងពីរក៏ទៅទីនោះដែរ</w:t>
      </w:r>
      <w:r>
        <w:rPr>
          <w:rFonts w:ascii="Times New Roman" w:hAnsi="Times New Roman" w:eastAsia="Times New Roman" w:cs="Times New Roman"/>
        </w:rPr>
        <w:t xml:space="preserve"> </w:t>
      </w:r>
      <w:r>
        <w:rPr>
          <w:rFonts w:ascii="Leelawadee UI" w:hAnsi="Leelawadee UI" w:eastAsia="Leelawadee UI" w:cs="Leelawadee UI"/>
        </w:rPr>
        <w:t>ហើយវាធ្វើដូច្នេះនៅក្នុងប្រវត្តិទំនាយដូចគ្នា។</w:t>
      </w:r>
      <w:r>
        <w:rPr>
          <w:rFonts w:ascii="Times New Roman" w:hAnsi="Times New Roman" w:eastAsia="Times New Roman" w:cs="Times New Roman"/>
        </w:rPr>
        <w:t xml:space="preserve"> </w:t>
      </w:r>
      <w:r>
        <w:rPr>
          <w:rFonts w:ascii="Leelawadee UI" w:hAnsi="Leelawadee UI" w:eastAsia="Leelawadee UI" w:cs="Leelawadee UI"/>
        </w:rPr>
        <w:t>ខ្សែនៃប្រូតេស្តង់និយមមានលក្ខណៈទំនាយពីរផ្នែក</w:t>
      </w:r>
      <w:r>
        <w:rPr>
          <w:rFonts w:ascii="Times New Roman" w:hAnsi="Times New Roman" w:eastAsia="Times New Roman" w:cs="Times New Roman"/>
        </w:rPr>
        <w:t xml:space="preserve"> </w:t>
      </w:r>
      <w:r>
        <w:rPr>
          <w:rFonts w:ascii="Leelawadee UI" w:hAnsi="Leelawadee UI" w:eastAsia="Leelawadee UI" w:cs="Leelawadee UI"/>
        </w:rPr>
        <w:t>ដែលតំណាងដោយឡាវូឌីសេ</w:t>
      </w:r>
      <w:r>
        <w:rPr>
          <w:rFonts w:ascii="Times New Roman" w:hAnsi="Times New Roman" w:eastAsia="Times New Roman" w:cs="Times New Roman"/>
        </w:rPr>
        <w:t xml:space="preserve"> </w:t>
      </w:r>
      <w:r>
        <w:rPr>
          <w:rFonts w:ascii="Leelawadee UI" w:hAnsi="Leelawadee UI" w:eastAsia="Leelawadee UI" w:cs="Leelawadee UI"/>
        </w:rPr>
        <w:t>និងភីឡាដែលហ្វ</w:t>
      </w:r>
      <w:r>
        <w:rPr>
          <w:rFonts w:ascii="Nirmala UI" w:hAnsi="Nirmala UI" w:eastAsia="Nirmala UI" w:cs="Nirmala UI"/>
        </w:rPr>
        <w:t>ியா</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ខ្សែនៃសាធារណរដ្ឋនិយមក៏មានលក្ខណៈទំនាយពីរផ្នែកដែរ</w:t>
      </w:r>
      <w:r>
        <w:rPr>
          <w:rFonts w:ascii="Times New Roman" w:hAnsi="Times New Roman" w:eastAsia="Times New Roman" w:cs="Times New Roman"/>
        </w:rPr>
        <w:t xml:space="preserve"> </w:t>
      </w:r>
      <w:r>
        <w:rPr>
          <w:rFonts w:ascii="Leelawadee UI" w:hAnsi="Leelawadee UI" w:eastAsia="Leelawadee UI" w:cs="Leelawadee UI"/>
        </w:rPr>
        <w:t>ដែលតំណាងដោយគណបក្សនយោបាយសាធារណរដ្ឋ</w:t>
      </w:r>
      <w:r>
        <w:rPr>
          <w:rFonts w:ascii="Times New Roman" w:hAnsi="Times New Roman" w:eastAsia="Times New Roman" w:cs="Times New Roman"/>
        </w:rPr>
        <w:t xml:space="preserve"> </w:t>
      </w:r>
      <w:r>
        <w:rPr>
          <w:rFonts w:ascii="Leelawadee UI" w:hAnsi="Leelawadee UI" w:eastAsia="Leelawadee UI" w:cs="Leelawadee UI"/>
        </w:rPr>
        <w:t>និងប្រជាធិបតេយ្យ។</w:t>
      </w:r>
      <w:r>
        <w:rPr>
          <w:rFonts w:ascii="Times New Roman" w:hAnsi="Times New Roman" w:eastAsia="Times New Roman" w:cs="Times New Roman"/>
        </w:rPr>
        <w:t xml:space="preserve"> </w:t>
      </w:r>
      <w:r>
        <w:rPr>
          <w:rFonts w:ascii="Leelawadee UI" w:hAnsi="Leelawadee UI" w:eastAsia="Leelawadee UI" w:cs="Leelawadee UI"/>
        </w:rPr>
        <w:t>ផ្នែកទីពីរនៃលក្ខណៈពីរផ្នែករបស់ខ្សែនីមួយៗ</w:t>
      </w:r>
      <w:r>
        <w:rPr>
          <w:rFonts w:ascii="Times New Roman" w:hAnsi="Times New Roman" w:eastAsia="Times New Roman" w:cs="Times New Roman"/>
        </w:rPr>
        <w:t xml:space="preserve"> </w:t>
      </w:r>
      <w:r>
        <w:rPr>
          <w:rFonts w:ascii="Leelawadee UI" w:hAnsi="Leelawadee UI" w:eastAsia="Leelawadee UI" w:cs="Leelawadee UI"/>
        </w:rPr>
        <w:t>នឹងឡើងមកក្រោយបំផុត</w:t>
      </w:r>
      <w:r>
        <w:rPr>
          <w:rFonts w:ascii="Times New Roman" w:hAnsi="Times New Roman" w:eastAsia="Times New Roman" w:cs="Times New Roman"/>
        </w:rPr>
        <w:t xml:space="preserve"> </w:t>
      </w:r>
      <w:r>
        <w:rPr>
          <w:rFonts w:ascii="Leelawadee UI" w:hAnsi="Leelawadee UI" w:eastAsia="Leelawadee UI" w:cs="Leelawadee UI"/>
        </w:rPr>
        <w:t>ហើយឡើងខ្ពស់ជាង</w:t>
      </w:r>
      <w:r>
        <w:rPr>
          <w:rFonts w:ascii="Times New Roman" w:hAnsi="Times New Roman" w:eastAsia="Times New Roman" w:cs="Times New Roman"/>
        </w:rPr>
        <w:t xml:space="preserve"> </w:t>
      </w:r>
      <w:r>
        <w:rPr>
          <w:rFonts w:ascii="Leelawadee UI" w:hAnsi="Leelawadee UI" w:eastAsia="Leelawadee UI" w:cs="Leelawadee UI"/>
        </w:rPr>
        <w:t>តាមដានីយ៉ែល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៨។</w:t>
      </w:r>
    </w:p>
    <w:p>
      <w:pPr>
        <w:pStyle w:val="ArticleScripture"/>
        <w:jc w:val="left"/>
      </w:pPr>
      <w:r>
        <w:rPr>
          <w:rFonts w:ascii="Times New Roman" w:hAnsi="Times New Roman" w:eastAsia="Times New Roman" w:cs="Times New Roman"/>
        </w:rPr>
        <w:t>Kisha nikainua macho yangu, nikaona, na tazama, mbele ya mto alisimama beberu mmoja mwenye pembe mbili; na zile pembe mbili zilikuwa ndefu; lakini mmoja ulikuwa mrefu kuliko ule mwingine, na ule mrefu zaidi ulitokea mwisho. Danieli 8:3.</w:t>
      </w:r>
    </w:p>
    <w:p>
      <w:pPr>
        <w:pStyle w:val="ArticleBody"/>
        <w:jc w:val="left"/>
      </w:pPr>
      <w:r>
        <w:rPr>
          <w:rFonts w:ascii="Times New Roman" w:hAnsi="Times New Roman" w:eastAsia="Times New Roman" w:cs="Times New Roman"/>
        </w:rPr>
        <w:t>ہر سینگ کی دوہری خصوصیات کی مثال مسیح کے زمانہ میں صدوقیوں اور فریسیوں کے ذریعے ظاہر ہوتی ہے، جو جمہوریہ کے سینگ میں لبرل ازم (غلامی کے حامی، جمہوریت، وُوک ازم اور عالم گیریت) اور محافظہ کاری (غلامی کے مخالف، آئینی جمہوریہ، روایت پسند، MAGA) کے مساوی ہے۔ پروٹسٹنٹ سینگ کی دوہری خصوصیات فلاڈلفیہ اور لاؤدیکیہ کے مساوی ہیں۔ ان دونوں سینگوں کی دوہری علامت میں تقسیم کے درمیان کامل مماثلت نہیں پائی جاتی، کیونکہ نہ ترقی پسند لبرل ازم اور نہ محافظہ کار MAGA-ازم اتوار کے قانون کے مسئلہ میں درست جانب پر نکلتے ہیں، کیونکہ فریسی اور صدوقی صلیب پر آ کر ایک ہو گئے تھے؛ لیکن عنقریب آنے والے اتوار کے قانون پر، جس کی مثال صلیب تھی، لاؤدیکیہ خداوند کے منہ سے اُگل دیا جاتا ہے، اور پھر فلاڈلفیائی سینگ کو عَلَم کے طور پر بلند کیا جاتا ہے۔ تاہم، دونوں سینگوں کی دوہری فطرت فریسیوں اور صدوقیوں کے درمیان الٰہیاتی نزاع سے ظاہر ہوتی ہے، اور مسیح کی تاریخ میں امتوں کے رسول (پولس) پہلے فریسیوں میں فریسی تھا۔</w:t>
      </w:r>
    </w:p>
    <w:p>
      <w:pPr>
        <w:pStyle w:val="ArticleBody"/>
        <w:jc w:val="left"/>
      </w:pPr>
      <w:r>
        <w:rPr>
          <w:rFonts w:ascii="Times New Roman" w:hAnsi="Times New Roman" w:eastAsia="Times New Roman" w:cs="Times New Roman"/>
        </w:rPr>
        <w:t>La méthode de la pluie de l’arrière-saison, étant règle sur règle, produit une grande lumière au verset quarante lorsqu’elle est appliquée. Les chapitres deux à dix-huit de l’Apocalypse sont tous en harmonie avec le verset quarante. Le témoignage du chapitre vingt-trois d’Ésaïe concernant la prostituée de Tyr s’accorde avec ce verset. Bien entendu, plusieurs autres passages doivent être superposés au verset quarante, mais l’application de règle sur règle du verset quarante la plus significative est peut-être le verset quarante lui-même.</w:t>
      </w:r>
    </w:p>
    <w:p>
      <w:pPr>
        <w:pStyle w:val="ArticleBody"/>
        <w:jc w:val="left"/>
      </w:pPr>
      <w:r>
        <w:rPr>
          <w:rFonts w:ascii="Times New Roman" w:hAnsi="Times New Roman" w:eastAsia="Times New Roman" w:cs="Times New Roman"/>
        </w:rPr>
        <w:t>در آیهٔ چهل، هم زمانِ آخر در سال 1798 و هم زمانِ آخر در سال 1989 بیان شده است. این امر دانشجوی نبوت را رهنمون می‌سازد که زمانِ آخرِ 1798 را بر فرازِ زمانِ آخرِ 1989 منطبق سازد. هنگامی که چنین شود، تاریخِ آیهٔ چهل دو خط را پدید می‌آورد که هر یک از سال 1798 آغاز می‌شوند و تا قانونِ یکشنبهٔ قریب‌الوقوعِ آیهٔ چهل‌ویک ادامه می‌یابند. خطی که در 1798 آغاز می‌شود، پیامِ درونیِ قومِ ایامِ آخرِ خدا را مشخص می‌سازد، و خطی که در 1989 آغاز می‌شود، پیامِ بیرونیِ قومِ ایامِ آخرِ خدا را در خلالِ همان تاریخ دقیقاً معین می‌کند. از این‌رو، آیهٔ چهل در درونِ خود واجدِ همان نمادپردازی‌ای است که به‌وسیلهٔ همان رابطهٔ نبویِ درونی و بیرونیِ هفت کلیسا و هفت مُهر در کتابِ مکاشفه بازنمایی شده است. و این پدیدهٔ نبوی در یک آیه نمایان شده است، آیه‌ای که از پنجاه‌ویک واژه تشکیل یافته است!</w:t>
      </w:r>
    </w:p>
    <w:p>
      <w:pPr>
        <w:pStyle w:val="ArticleBody"/>
        <w:jc w:val="left"/>
      </w:pPr>
      <w:r>
        <w:rPr>
          <w:rFonts w:ascii="Times New Roman" w:hAnsi="Times New Roman" w:eastAsia="Times New Roman" w:cs="Times New Roman"/>
        </w:rPr>
        <w:t>Les millérites reconnurent le message intérieur-extérieur des sept Églises et des sept sceaux, mais ils reconnurent aussi que les sept trompettes représentaient également une troisième ligne de vérité qui constituait un élément de l’histoire représentée par les sept Églises et les sept sceaux. Les trompettes étaient, comme l’affirme Miller, « les jugements particuliers » qui furent amenés sur Rome. Les millérites comprenaient que les jugements de Dieu représentés par les sept trompettes étaient liés à l’histoire des sept Églises et à l’histoire parallèle des sept sceaux.</w:t>
      </w:r>
    </w:p>
    <w:p>
      <w:pPr>
        <w:pStyle w:val="ArticleBody"/>
        <w:jc w:val="left"/>
      </w:pPr>
      <w:r>
        <w:rPr>
          <w:rFonts w:ascii="Times New Roman" w:hAnsi="Times New Roman" w:eastAsia="Times New Roman" w:cs="Times New Roman"/>
        </w:rPr>
        <w:t>Пайғамбарлық қырықыншы аят 2001 жылғы 11 қыркүйек тарихын қамтиды, сондықтан қырықыншы аятта жеті кернейдің пайғамбарлық желісі де сәйкеседі. Бірінші періште 1798 жылы 1844 жылы соттың ашылатынын жариялау үшін келді. Сол сот тергеуші және атқарушы сот болып бөлінеді. Қырықыншы аяттың тарихы — тергеуші соттың тарихы, ал қырық бірінші аяттан бастап Михаил орнынан тұрғанға және жеті соңғы оба төгілгенге дейінгі тарих — атқарушы соттың тарихы.</w:t>
      </w:r>
    </w:p>
    <w:p>
      <w:pPr>
        <w:pStyle w:val="ArticleBody"/>
        <w:jc w:val="left"/>
      </w:pPr>
      <w:r>
        <w:rPr>
          <w:rFonts w:ascii="Times New Roman" w:hAnsi="Times New Roman" w:eastAsia="Times New Roman" w:cs="Times New Roman"/>
        </w:rPr>
        <w:t>Hukumu ya kutekeleza huanza wakati Marekani inaponena kama joka.</w:t>
      </w:r>
    </w:p>
    <w:p>
      <w:pPr>
        <w:pStyle w:val="ArticleScripture"/>
        <w:jc w:val="left"/>
      </w:pPr>
      <w:r>
        <w:rPr>
          <w:rFonts w:ascii="Times New Roman" w:hAnsi="Times New Roman" w:eastAsia="Times New Roman" w:cs="Times New Roman"/>
        </w:rPr>
        <w:t>"Alama za mfano huu zilizo kama za mwana-kondoo na sauti ya joka zinaonyesha mkanganyiko wa kushangaza kati ya madai na matendo ya taifa linalowakilishwa hivyo. ‘Kunena’ kwa taifa hilo ni tendo la mamlaka zake za kutunga sheria na za mahakama. Kwa tendo kama hilo litalikanusha waziwazi ile misingi ya uhuru na ya amani ambayo limeitangaza kuwa ndiyo msingi wa sera yake. Utabiri kwamba litanena ‘kama joka’ na kutumia ‘uweza wote wa mnyama yule wa kwanza’ unatabiri wazi maendeleo ya roho ya kutovumilia na ya mateso iliyoonyeshwa na mataifa yaliyowakilishwa na joka na mnyama yule mfano wa chui. Na kauli kwamba mnyama mwenye pembe mbili ‘huisababisha nchi na hao wakaao ndani yake kumwabudu yule mnyama wa kwanza’ inaonyesha kwamba mamlaka ya taifa hili yatatumika katika kulazimisha kushikwa kwa desturi fulani ambayo itakuwa tendo la heshima kwa upapa.” The Great Controversy, 443.</w:t>
      </w:r>
    </w:p>
    <w:p>
      <w:pPr>
        <w:pStyle w:val="ArticleBody"/>
        <w:jc w:val="left"/>
      </w:pPr>
      <w:r>
        <w:rPr>
          <w:rFonts w:ascii="Times New Roman" w:hAnsi="Times New Roman" w:eastAsia="Times New Roman" w:cs="Times New Roman"/>
        </w:rPr>
        <w:t>Lorsque les États-Unis « parlent » et imposent la loi dominicale qui doit bientôt venir, la « seconde voix » du chapitre dix-huit de l’Apocalypse « parle » en appelant les hommes et les femmes à sortir de Babylone.</w:t>
      </w:r>
    </w:p>
    <w:p>
      <w:pPr>
        <w:pStyle w:val="ArticleScripture"/>
        <w:jc w:val="left"/>
      </w:pPr>
      <w:r>
        <w:rPr>
          <w:rFonts w:ascii="Times New Roman" w:hAnsi="Times New Roman" w:eastAsia="Times New Roman" w:cs="Times New Roman"/>
        </w:rPr>
        <w:t>Ndzi tlhela ndzi twa rito rin’wana ri huma etilweni, ri ku: Humani eka yena, n’wina vanhu va mina, leswaku mi nga vi vadyi va swidyoho swa yena, ni leswaku mi nga amukeri makhombo ya yena. Hikuva swidyoho swa yena swi fikile etilweni, naswona Xikwembu xi tsundzuke ku homboloka ka yena. N’wi hakeleni hilaha na yena a mi hakeleke hakona, mi n’wi andzisela kabirhi hi ku ya hi mintirho ya yena; eka xinwelo lexi a xi tatileke, n’wi chelelani kabirhi. Nhlavutelo 18:4–6.</w:t>
      </w:r>
    </w:p>
    <w:p>
      <w:pPr>
        <w:pStyle w:val="ArticleBody"/>
        <w:jc w:val="left"/>
      </w:pPr>
      <w:r>
        <w:rPr>
          <w:rFonts w:ascii="Times New Roman" w:hAnsi="Times New Roman" w:eastAsia="Times New Roman" w:cs="Times New Roman"/>
        </w:rPr>
        <w:t>Mstari wa arobaini na moja unaposema, wakati Marekani inanena, wale ambao bado wamo katika mazingira ya pande tatu ya Babeli ya kisasa wanaitwa watoke wakati “sauti ya pili” ya Ufunuo sura ya kumi na nane inanena. Wale wanaoitwa watoke wakati huo wanawakilishwa katika mstari wa arobaini na moja kuwa “Edomu, Moabu, na wakuu wa wana wa Amoni.” Katika mstari huo, wale wanaowakilishwa katika ishara ya pande tatu ya Babeli ya kisasa wanaokoka kutoka mkononi mwa mfalme wa kaskazini (upapa). Neno la Kiebrania la “kuokoka” humaanisha kuponyoka kwa utelezi, na maana yake ya asili ni kwamba kuokoka huko kunatimizwa kutoka katika kitu ambacho kabla ya kuokoka huko kilikuwa kimewashikilia matekani wale wanaookoka.</w:t>
      </w:r>
    </w:p>
    <w:p>
      <w:pPr>
        <w:pStyle w:val="ArticleScripture"/>
        <w:jc w:val="left"/>
      </w:pPr>
      <w:r>
        <w:rPr>
          <w:rFonts w:ascii="Times New Roman" w:hAnsi="Times New Roman" w:eastAsia="Times New Roman" w:cs="Times New Roman"/>
        </w:rPr>
        <w:t>Li entrará anque in le terra gloriose, e multe [terras] essera subvertite; ma istes escapara de su mano: Edom, e Moab, e le principes del filios de Ammon. Il extenderá tamben su mano super le terras; e le terra de Egypto non escapara. Daniel 11:41, 42.</w:t>
      </w:r>
    </w:p>
    <w:p>
      <w:pPr>
        <w:pStyle w:val="ArticleBody"/>
        <w:jc w:val="left"/>
      </w:pPr>
      <w:r>
        <w:rPr>
          <w:rFonts w:ascii="Times New Roman" w:hAnsi="Times New Roman" w:eastAsia="Times New Roman" w:cs="Times New Roman"/>
        </w:rPr>
        <w:t>A verse forty-deux, la papauté (le roi du nord) triomphe de son troisième obstacle géographique lorsqu’elle s’empare de l’Égypte, laquelle est un symbole des Nations Unies, comme le préfigure l’anniversaire d’Hérode, lorsqu’il cède à la danse trompeuse de Salomé (les États-Unis), fille d’Hérodiade (la papauté). Cela identifie le moment où les Nations Unies (les « dix rois » d’Apocalypse dix-sept) consentent à donner leur royaume à la bête pendant une heure. Cette heure est l’heure du « grand tremblement de terre » d’Apocalypse onze, et l’« heure » où la prostituée de Babylone est jugée. Au verset quarante-deux, l’Égypte (les Nations Unies) « n’échappera point ».</w:t>
      </w:r>
    </w:p>
    <w:p>
      <w:pPr>
        <w:pStyle w:val="ArticleBody"/>
        <w:jc w:val="left"/>
      </w:pPr>
      <w:r>
        <w:rPr>
          <w:rFonts w:ascii="Times New Roman" w:hAnsi="Times New Roman" w:eastAsia="Times New Roman" w:cs="Times New Roman"/>
        </w:rPr>
        <w:t>Le mot hébreu traduit par « échapper » au verset quarante-deux est différent du mot hébreu employé au verset quarante-et-un. Au verset quarante-deux, le mot « échapper » signifie « ne trouver aucune délivrance », tandis que le verset quarante-et-un indique que ceux qui, avant la loi du dimanche imminente, tenaient la main à la papauté, s’échappent alors comme par glissement. Avant l’heure de la crise de la loi du dimanche, ceux qui sont dans la communion de la Babylone moderne ont accepté l’idée satanique selon laquelle le dimanche est le jour de culte de Dieu. Lorsque la marque de la bête est imposée, une personne peut soit l’accepter, pour quelque raison que ce soit, soit réellement croire qu’il en est ainsi. Y croire, c’est recevoir la marque sur le front, et l’accepter simplement, c’est recevoir la marque dans la main.</w:t>
      </w:r>
    </w:p>
    <w:p>
      <w:pPr>
        <w:pStyle w:val="ArticleBody"/>
        <w:jc w:val="left"/>
      </w:pPr>
      <w:r>
        <w:rPr>
          <w:rFonts w:ascii="Times New Roman" w:hAnsi="Times New Roman" w:eastAsia="Times New Roman" w:cs="Times New Roman"/>
        </w:rPr>
        <w:t>Ane jotka pääsevät paavinvallan kädestä sunnuntailain aikaan, hylkäävät saatanallisen ajatuksen, että Jumalan palvontapäivä on auringon päivä, juuri sinä aikana, jolloin Yhdysvallat ja Yhdistyneet Kansakunnat lyövät kättä Rooman porton, paavillisen vallan, pohjoisen kuninkaan kanssa.</w:t>
      </w:r>
    </w:p>
    <w:p>
      <w:pPr>
        <w:pStyle w:val="ArticleScripture"/>
        <w:jc w:val="left"/>
      </w:pPr>
      <w:r>
        <w:rPr>
          <w:rFonts w:ascii="Times New Roman" w:hAnsi="Times New Roman" w:eastAsia="Times New Roman" w:cs="Times New Roman"/>
        </w:rPr>
        <w:t>«Ang mga Protestante sa Estados Unidos ang mangunguna sa pag-abot ng kanilang mga kamay sa kabila ng bangin upang hawakan ang kamay ng Espiritismo; aabot sila sa kabila ng kalaliman upang makipagkamay sa kapangyarihang Romano; at sa ilalim ng impluwensiya ng tatluhang pagkakaisang ito, susunod ang bansang ito sa mga yapak ng Roma sa pagyurak sa mga karapatan ng budhi.» The Great Controversy, 588.</w:t>
      </w:r>
    </w:p>
    <w:p>
      <w:pPr>
        <w:pStyle w:val="ArticleBody"/>
        <w:jc w:val="left"/>
      </w:pPr>
      <w:r>
        <w:rPr>
          <w:rFonts w:ascii="Times New Roman" w:hAnsi="Times New Roman" w:eastAsia="Times New Roman" w:cs="Times New Roman"/>
        </w:rPr>
        <w:t>Fadhaa jaʼee taʼee, akka yeroo fudhannee ijaarsa keeyyata jahaa dhumaa Daniel boqonnaa kudha tokkoo ifa goonu barbaachisaa dha, yommuu ilaallota keenya keeyyata afurtama irratti itti fufnu. Mootiin kaabaa, kan Roomaa Haaraa taʼe, teessoo lafaa irratti hundeeffamuuf gufuuwwan teessuma lafaa sadii ni moʼata. Roomaan waaqeffannaa-buʼuuraa gufuuwwan teessuma lafaa sadii ni moʼatte; akkasumas Roomaan papaasummaa ni moʼatte; kanaafis Roomaan Haaraan keeyyata afurtama keessatti mootii kibbaa (Gamtaa Sooviyeetii durii) ni moʼata; itti aansuudhaan keeyyata afurtama tokko keessatti biyya ulfinaa (Ameerikaa) ni moʼata; achiis keeyyata afurtama lamaa fi afurtama sadi keessatti Gibxii (Tokkummaa Mootummootaa) ni moʼata.</w:t>
      </w:r>
    </w:p>
    <w:p>
      <w:pPr>
        <w:pStyle w:val="ArticleBody"/>
        <w:jc w:val="left"/>
      </w:pPr>
      <w:r>
        <w:rPr>
          <w:rFonts w:ascii="Times New Roman" w:hAnsi="Times New Roman" w:eastAsia="Times New Roman" w:cs="Times New Roman"/>
        </w:rPr>
        <w:t>Mais, comme l’indique la citation précédente de Sister White, les États-Unis s’unissent en même temps à la papauté et aux Nations Unies. L’union triple du dragon, de la bête et du faux prophète s’accomplit lors de la loi dominicale imminente, bien que Daniel, chapitre onze, versets quarante et un à quarante-trois, présente de manière séquentielle cette conquête simultanée. La séquence qui est illustrée représente le déroulement des événements, mais ils s’accomplissent tous lors de la loi dominicale imminente.</w:t>
      </w:r>
    </w:p>
    <w:p>
      <w:pPr>
        <w:pStyle w:val="ArticleBody"/>
        <w:jc w:val="left"/>
      </w:pPr>
      <w:r>
        <w:rPr>
          <w:rFonts w:ascii="Times New Roman" w:hAnsi="Times New Roman" w:eastAsia="Times New Roman" w:cs="Times New Roman"/>
        </w:rPr>
        <w:t>A sa pwen sa a, “dezyèm vwa” ki nan Revelasyon dizwit la “pale,” egzakteman kote Etazini “pale.” Bondye pale kote ak lè Satan pale. Nan vèsè karannkat la, nouvèl ki soti nan lès ak nan nò a boulvèse wa nò a, epi dènye beny san papal la inisye. Vèsè karannkat la, menm jan ak vèsè karannde ak karanntwa yo, kòmanse nan vèsè karanteyen an, lè zanj pisan ki nan Revelasyon dizwit la kòmanse apèl Li pou lòt twoupo pa Li a sòti nan Babilòn.</w:t>
      </w:r>
    </w:p>
    <w:p>
      <w:pPr>
        <w:pStyle w:val="ArticleBody"/>
        <w:jc w:val="left"/>
      </w:pP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गर्नुहुने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हायको</w:t>
      </w:r>
      <w:r>
        <w:rPr>
          <w:rFonts w:ascii="Times New Roman" w:hAnsi="Times New Roman" w:eastAsia="Times New Roman" w:cs="Times New Roman"/>
        </w:rPr>
        <w:t xml:space="preserve"> </w:t>
      </w:r>
      <w:r>
        <w:rPr>
          <w:rFonts w:ascii="Nirmala UI" w:hAnsi="Nirmala UI" w:eastAsia="Nirmala UI" w:cs="Nirmala UI"/>
        </w:rPr>
        <w:t>इस्लामलाई</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वेश्याको</w:t>
      </w:r>
      <w:r>
        <w:rPr>
          <w:rFonts w:ascii="Times New Roman" w:hAnsi="Times New Roman" w:eastAsia="Times New Roman" w:cs="Times New Roman"/>
        </w:rPr>
        <w:t xml:space="preserve"> </w:t>
      </w:r>
      <w:r>
        <w:rPr>
          <w:rFonts w:ascii="Nirmala UI" w:hAnsi="Nirmala UI" w:eastAsia="Nirmala UI" w:cs="Nirmala UI"/>
        </w:rPr>
        <w:t>दण्डको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इस्लामलाई</w:t>
      </w:r>
      <w:r>
        <w:rPr>
          <w:rFonts w:ascii="Times New Roman" w:hAnsi="Times New Roman" w:eastAsia="Times New Roman" w:cs="Times New Roman"/>
        </w:rPr>
        <w:t xml:space="preserve"> “</w:t>
      </w:r>
      <w:r>
        <w:rPr>
          <w:rFonts w:ascii="Nirmala UI" w:hAnsi="Nirmala UI" w:eastAsia="Nirmala UI" w:cs="Nirmala UI"/>
        </w:rPr>
        <w:t>पूर्वका</w:t>
      </w:r>
      <w:r>
        <w:rPr>
          <w:rFonts w:ascii="Times New Roman" w:hAnsi="Times New Roman" w:eastAsia="Times New Roman" w:cs="Times New Roman"/>
        </w:rPr>
        <w:t xml:space="preserve"> </w:t>
      </w:r>
      <w:r>
        <w:rPr>
          <w:rFonts w:ascii="Nirmala UI" w:hAnsi="Nirmala UI" w:eastAsia="Nirmala UI" w:cs="Nirmala UI"/>
        </w:rPr>
        <w:t>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पोपतन्त्रलाई</w:t>
      </w:r>
      <w:r>
        <w:rPr>
          <w:rFonts w:ascii="Times New Roman" w:hAnsi="Times New Roman" w:eastAsia="Times New Roman" w:cs="Times New Roman"/>
        </w:rPr>
        <w:t xml:space="preserve"> (</w:t>
      </w:r>
      <w:r>
        <w:rPr>
          <w:rFonts w:ascii="Nirmala UI" w:hAnsi="Nirmala UI" w:eastAsia="Nirmala UI" w:cs="Nirmala UI"/>
        </w:rPr>
        <w:t>उत्तरका</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नक्कली</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w:t>
      </w:r>
      <w:r>
        <w:rPr>
          <w:rFonts w:ascii="Nirmala UI" w:hAnsi="Nirmala UI" w:eastAsia="Nirmala UI" w:cs="Nirmala UI"/>
        </w:rPr>
        <w:t>उत्तरका</w:t>
      </w:r>
      <w:r>
        <w:rPr>
          <w:rFonts w:ascii="Times New Roman" w:hAnsi="Times New Roman" w:eastAsia="Times New Roman" w:cs="Times New Roman"/>
        </w:rPr>
        <w:t xml:space="preserve"> </w:t>
      </w:r>
      <w:r>
        <w:rPr>
          <w:rFonts w:ascii="Nirmala UI" w:hAnsi="Nirmala UI" w:eastAsia="Nirmala UI" w:cs="Nirmala UI"/>
        </w:rPr>
        <w:t>समाचार</w:t>
      </w:r>
      <w:r>
        <w:rPr>
          <w:rFonts w:ascii="Times New Roman" w:hAnsi="Times New Roman" w:eastAsia="Times New Roman" w:cs="Times New Roman"/>
        </w:rPr>
        <w:t xml:space="preserve">” </w:t>
      </w:r>
      <w:r>
        <w:rPr>
          <w:rFonts w:ascii="Nirmala UI" w:hAnsi="Nirmala UI" w:eastAsia="Nirmala UI" w:cs="Nirmala UI"/>
        </w:rPr>
        <w:t>भनिएको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चालीसले</w:t>
      </w:r>
      <w:r>
        <w:rPr>
          <w:rFonts w:ascii="Times New Roman" w:hAnsi="Times New Roman" w:eastAsia="Times New Roman" w:cs="Times New Roman"/>
        </w:rPr>
        <w:t xml:space="preserve"> </w:t>
      </w:r>
      <w:r>
        <w:rPr>
          <w:rFonts w:ascii="Nirmala UI" w:hAnsi="Nirmala UI" w:eastAsia="Nirmala UI" w:cs="Nirmala UI"/>
        </w:rPr>
        <w:t>अनुसन्धानात्मक</w:t>
      </w:r>
      <w:r>
        <w:rPr>
          <w:rFonts w:ascii="Times New Roman" w:hAnsi="Times New Roman" w:eastAsia="Times New Roman" w:cs="Times New Roman"/>
        </w:rPr>
        <w:t xml:space="preserve"> </w:t>
      </w:r>
      <w:r>
        <w:rPr>
          <w:rFonts w:ascii="Nirmala UI" w:hAnsi="Nirmala UI" w:eastAsia="Nirmala UI" w:cs="Nirmala UI"/>
        </w:rPr>
        <w:t>न्यायलाई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एकचालीसदेखि</w:t>
      </w:r>
      <w:r>
        <w:rPr>
          <w:rFonts w:ascii="Times New Roman" w:hAnsi="Times New Roman" w:eastAsia="Times New Roman" w:cs="Times New Roman"/>
        </w:rPr>
        <w:t xml:space="preserve"> </w:t>
      </w:r>
      <w:r>
        <w:rPr>
          <w:rFonts w:ascii="Nirmala UI" w:hAnsi="Nirmala UI" w:eastAsia="Nirmala UI" w:cs="Nirmala UI"/>
        </w:rPr>
        <w:t>पैंतालीससम्मले</w:t>
      </w:r>
      <w:r>
        <w:rPr>
          <w:rFonts w:ascii="Times New Roman" w:hAnsi="Times New Roman" w:eastAsia="Times New Roman" w:cs="Times New Roman"/>
        </w:rPr>
        <w:t xml:space="preserve"> </w:t>
      </w:r>
      <w:r>
        <w:rPr>
          <w:rFonts w:ascii="Nirmala UI" w:hAnsi="Nirmala UI" w:eastAsia="Nirmala UI" w:cs="Nirmala UI"/>
        </w:rPr>
        <w:t>कार्यकारी</w:t>
      </w:r>
      <w:r>
        <w:rPr>
          <w:rFonts w:ascii="Times New Roman" w:hAnsi="Times New Roman" w:eastAsia="Times New Roman" w:cs="Times New Roman"/>
        </w:rPr>
        <w:t xml:space="preserve"> </w:t>
      </w:r>
      <w:r>
        <w:rPr>
          <w:rFonts w:ascii="Nirmala UI" w:hAnsi="Nirmala UI" w:eastAsia="Nirmala UI" w:cs="Nirmala UI"/>
        </w:rPr>
        <w:t>न्यायलाई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Body"/>
        <w:jc w:val="left"/>
      </w:pPr>
      <w:r>
        <w:rPr>
          <w:rFonts w:ascii="Times New Roman" w:hAnsi="Times New Roman" w:eastAsia="Times New Roman" w:cs="Times New Roman"/>
        </w:rPr>
        <w:t>Nous poursuivrons, dans le prochain article, notre examen du verset quarante de Daniel onze.</w:t>
      </w:r>
    </w:p>
    <w:p>
      <w:pPr>
        <w:pStyle w:val="ArticleScripture"/>
        <w:jc w:val="left"/>
      </w:pPr>
      <w:r>
        <w:rPr>
          <w:rFonts w:ascii="Times New Roman" w:hAnsi="Times New Roman" w:eastAsia="Times New Roman" w:cs="Times New Roman"/>
        </w:rPr>
        <w:t>«En une certaine occasion, alors que je me trouvais à New York, il me fut demandé, pendant les heures de la nuit, de contempler des édifices qui s’élevaient étage après étage vers le ciel. Ces bâtiments étaient garantis incombustibles, et ils avaient été construits pour glorifier leurs propriétaires et leurs bâtisseurs. Toujours plus haut, et plus haut encore, ces édifices s’élevaient, et l’on y employait les matériaux les plus coûteux. Ceux à qui appartenaient ces bâtiments ne se demandaient pas : “Comment pouvons-nous le mieux glorifier Dieu ?” Le Seigneur n’était pas dans leurs pensées.»</w:t>
      </w:r>
    </w:p>
    <w:p>
      <w:pPr>
        <w:pStyle w:val="ArticleScripture"/>
        <w:jc w:val="left"/>
      </w:pPr>
      <w:r>
        <w:rPr>
          <w:rFonts w:ascii="Times New Roman" w:hAnsi="Times New Roman" w:eastAsia="Times New Roman" w:cs="Times New Roman"/>
        </w:rPr>
        <w:t>«Ես խորհեցի. “Օ՜, եթե նրանք, ովքեր այսպես են ներդնում իրենց միջոցները, կարողանային իրենց ընթացքը տեսնել այնպես, ինչպես Աստված է տեսնում այն։ Նրանք դիզում են շքեղ շենքեր, բայց որքան հիմար է տիեզերքի Իշխանի աչքին նրանց ծրագրելը և հնարել-մտածելը։ Նրանք իրենց սրտի և մտքի բոլոր զորություններով չեն ուսումնասիրում, թե ինչպես կարող են փառավորել Աստծուն։ Նրանք աչքից կորցրել են այս բանը՝ մարդու առաջին պարտականությունը”»։</w:t>
      </w:r>
    </w:p>
    <w:p>
      <w:pPr>
        <w:pStyle w:val="ArticleScripture"/>
        <w:jc w:val="left"/>
      </w:pPr>
      <w:r>
        <w:rPr>
          <w:rFonts w:ascii="Times New Roman" w:hAnsi="Times New Roman" w:eastAsia="Times New Roman" w:cs="Times New Roman"/>
        </w:rPr>
        <w:t>À mesure que s’élevaient ces édifices majestueux, leurs propriétaires se réjouissaient, dans un orgueil ambitieux, de disposer d’argent pour satisfaire leur égoïsme et exciter l’envie de leurs voisins. Une grande partie de l’argent qu’ils investissaient ainsi avait été obtenue par l’exaction, en écrasant les pauvres. Ils oubliaient que, dans le ciel, il est tenu compte de chaque transaction commerciale ; tout marché injuste, tout acte frauduleux, y est consigné. Le temps vient où, dans leur fraude et leur insolence, les hommes atteindront un point qu’il ne leur sera pas permis de franchir par le Seigneur, et ils apprendront qu’il y a une limite à la longanimité de Jéhovah.</w:t>
      </w:r>
    </w:p>
    <w:p>
      <w:pPr>
        <w:pStyle w:val="ArticleScripture"/>
        <w:jc w:val="left"/>
      </w:pPr>
      <w:r>
        <w:rPr>
          <w:rFonts w:ascii="Times New Roman" w:hAnsi="Times New Roman" w:eastAsia="Times New Roman" w:cs="Times New Roman"/>
        </w:rPr>
        <w:t>«La scène qui se déroula ensuite devant moi fut une alarme d’incendie. Des hommes regardaient les bâtiments élevés et prétendument à l’épreuve du feu, et disaient : “Ils sont parfaitement en sécurité.” Mais ces bâtiments furent consumés comme s’ils avaient été faits de poix. Les pompes à incendie ne purent rien faire pour arrêter la destruction. Les pompiers furent incapables de faire fonctionner les pompes.»</w:t>
      </w:r>
    </w:p>
    <w:p>
      <w:pPr>
        <w:pStyle w:val="ArticleScripture"/>
        <w:jc w:val="left"/>
      </w:pPr>
      <w:r>
        <w:rPr>
          <w:rFonts w:ascii="Times New Roman" w:hAnsi="Times New Roman" w:eastAsia="Times New Roman" w:cs="Times New Roman"/>
        </w:rPr>
        <w:t>«Мене наставлено, що коли настане Господній час, якщо в серцях гордих, честолюбних людей не відбудеться жодної зміни, люди побачать, що рука, яка була могутньою спасати, буде могутньою й нищити. Жодна земна сила не може спинити руку Божу. Жоден матеріал не може бути використаний при спорудженні будівель так, щоб уберегти їх від знищення, коли настане визначений Богом час послати відплату людям за їхнє нехтування Його законом і за їхнє себелюбне честолюбство. »</w:t>
      </w:r>
    </w:p>
    <w:p>
      <w:pPr>
        <w:pStyle w:val="ArticleScripture"/>
        <w:jc w:val="left"/>
      </w:pPr>
      <w:r>
        <w:rPr>
          <w:rFonts w:ascii="Times New Roman" w:hAnsi="Times New Roman" w:eastAsia="Times New Roman" w:cs="Times New Roman"/>
        </w:rPr>
        <w:t>“</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ਅੱਥਵਾ</w:t>
      </w:r>
      <w:r>
        <w:rPr>
          <w:rFonts w:ascii="Times New Roman" w:hAnsi="Times New Roman" w:eastAsia="Times New Roman" w:cs="Times New Roman"/>
        </w:rPr>
        <w:t xml:space="preserve"> </w:t>
      </w:r>
      <w:r>
        <w:rPr>
          <w:rFonts w:ascii="Nirmala UI" w:hAnsi="Nirmala UI" w:eastAsia="Nirmala UI" w:cs="Nirmala UI"/>
        </w:rPr>
        <w:t>ਸ਼ਿਖਿਆਕਾਰਾਂ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ਰਾਜਨੇਤਿਆਂ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ਥੋੜੇ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ਸਮਾਜ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ਵਰਤਮਾਨ</w:t>
      </w:r>
      <w:r>
        <w:rPr>
          <w:rFonts w:ascii="Times New Roman" w:hAnsi="Times New Roman" w:eastAsia="Times New Roman" w:cs="Times New Roman"/>
        </w:rPr>
        <w:t xml:space="preserve"> </w:t>
      </w:r>
      <w:r>
        <w:rPr>
          <w:rFonts w:ascii="Nirmala UI" w:hAnsi="Nirmala UI" w:eastAsia="Nirmala UI" w:cs="Nirmala UI"/>
        </w:rPr>
        <w:t>ਅਵਸਥਾ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ਸਰਕਾਰ</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ਲਗਾਮਾਂ</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ਨੈਤਿਕ</w:t>
      </w:r>
      <w:r>
        <w:rPr>
          <w:rFonts w:ascii="Times New Roman" w:hAnsi="Times New Roman" w:eastAsia="Times New Roman" w:cs="Times New Roman"/>
        </w:rPr>
        <w:t xml:space="preserve"> </w:t>
      </w:r>
      <w:r>
        <w:rPr>
          <w:rFonts w:ascii="Nirmala UI" w:hAnsi="Nirmala UI" w:eastAsia="Nirmala UI" w:cs="Nirmala UI"/>
        </w:rPr>
        <w:t>ਭ੍ਰਿਸ਼ਟਤਾ</w:t>
      </w:r>
      <w:r>
        <w:rPr>
          <w:rFonts w:ascii="Times New Roman" w:hAnsi="Times New Roman" w:eastAsia="Times New Roman" w:cs="Times New Roman"/>
        </w:rPr>
        <w:t xml:space="preserve">, </w:t>
      </w:r>
      <w:r>
        <w:rPr>
          <w:rFonts w:ascii="Nirmala UI" w:hAnsi="Nirmala UI" w:eastAsia="Nirmala UI" w:cs="Nirmala UI"/>
        </w:rPr>
        <w:t>ਗਰੀਬੀ</w:t>
      </w:r>
      <w:r>
        <w:rPr>
          <w:rFonts w:ascii="Times New Roman" w:hAnsi="Times New Roman" w:eastAsia="Times New Roman" w:cs="Times New Roman"/>
        </w:rPr>
        <w:t xml:space="preserve">, </w:t>
      </w:r>
      <w:r>
        <w:rPr>
          <w:rFonts w:ascii="Nirmala UI" w:hAnsi="Nirmala UI" w:eastAsia="Nirmala UI" w:cs="Nirmala UI"/>
        </w:rPr>
        <w:t>ਦੈਨਤਾ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ਵਧਦੇ</w:t>
      </w:r>
      <w:r>
        <w:rPr>
          <w:rFonts w:ascii="Times New Roman" w:hAnsi="Times New Roman" w:eastAsia="Times New Roman" w:cs="Times New Roman"/>
        </w:rPr>
        <w:t xml:space="preserve"> </w:t>
      </w:r>
      <w:r>
        <w:rPr>
          <w:rFonts w:ascii="Nirmala UI" w:hAnsi="Nirmala UI" w:eastAsia="Nirmala UI" w:cs="Nirmala UI"/>
        </w:rPr>
        <w:t>ਅਪਰਾਧ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ਹੱਲ</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ਵਪਾਰਿਕ</w:t>
      </w:r>
      <w:r>
        <w:rPr>
          <w:rFonts w:ascii="Times New Roman" w:hAnsi="Times New Roman" w:eastAsia="Times New Roman" w:cs="Times New Roman"/>
        </w:rPr>
        <w:t xml:space="preserve"> </w:t>
      </w:r>
      <w:r>
        <w:rPr>
          <w:rFonts w:ascii="Nirmala UI" w:hAnsi="Nirmala UI" w:eastAsia="Nirmala UI" w:cs="Nirmala UI"/>
        </w:rPr>
        <w:t>ਕਾਰਜਾਂ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ਮਜ਼ਬੂਤ</w:t>
      </w:r>
      <w:r>
        <w:rPr>
          <w:rFonts w:ascii="Times New Roman" w:hAnsi="Times New Roman" w:eastAsia="Times New Roman" w:cs="Times New Roman"/>
        </w:rPr>
        <w:t xml:space="preserve"> </w:t>
      </w:r>
      <w:r>
        <w:rPr>
          <w:rFonts w:ascii="Nirmala UI" w:hAnsi="Nirmala UI" w:eastAsia="Nirmala UI" w:cs="Nirmala UI"/>
        </w:rPr>
        <w:t>ਅਧਾਰ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ਵਿਅਰਥ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ਸੰਘਰਸ਼</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ਸ਼ਿਖਿਆ</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ਧਿਆਨ</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ਸਮੱਸਿਆਵਾਂ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ਹੱਲ</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ਉਲਝਨ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«Fy Skriftini décrive la condition dé monde juste avan la seconde venue de Christ. Concernant lés hommes qui, par brigandage et extorsion, amassent de grandes richesses, il est écrit : “Zot inn amassé dés trésors pou lés derniers jours. Voici, le salaire dés ouvriers qui ont moissonné vos champs, et que vous avez retenu par fraude, crie ; et les cris dé ceux qui ont moissonné sont parvenus aux oreilles du Seigneur de Sabaoth. Vous avez vécu sur la terre dans les plaisirs et dans la mollesse ; vous avez rassasié vos cœurs comme en un jour de carnage. Vous avez condamné et mis à mort le juste ; il ne vous résiste pas.” Jacques 5:3–6.»</w:t>
      </w:r>
    </w:p>
    <w:p>
      <w:pPr>
        <w:pStyle w:val="ArticleScripture"/>
        <w:jc w:val="left"/>
      </w:pPr>
      <w:r>
        <w:rPr>
          <w:rFonts w:ascii="Times New Roman" w:hAnsi="Times New Roman" w:eastAsia="Times New Roman" w:cs="Times New Roman"/>
        </w:rPr>
        <w:t>« Mais qui prête attention aux avertissements donnés par les signes des temps qui s’accomplissent rapidement ? Quelle impression produisent-ils sur les gens du monde ? Quel changement voit-on dans leur attitude ? Pas davantage que ce que l’on voyait dans l’attitude des habitants du monde noachique. Absorbés par les affaires et les plaisirs de ce monde, les antédiluviens “ne se doutèrent de rien, jusqu’à ce que le déluge vînt et les emportât tous.” Matthieu 24:39. Ils avaient reçu des avertissements envoyés du ciel, mais ils refusèrent d’écouter. Et aujourd’hui, le monde, dans une totale indifférence à la voix d’avertissement de Dieu, se précipite vers une ruine éternelle. »</w:t>
      </w:r>
    </w:p>
    <w:p>
      <w:pPr>
        <w:pStyle w:val="ArticleScripture"/>
        <w:jc w:val="left"/>
      </w:pPr>
      <w:r>
        <w:rPr>
          <w:rFonts w:ascii="Times New Roman" w:hAnsi="Times New Roman" w:eastAsia="Times New Roman" w:cs="Times New Roman"/>
        </w:rPr>
        <w:t>ʻAduunyaa hafuura waraanaatiin jeeqamtee jirti. Raajii boqonnaa kudha tokkoffaa kitaaba Daani’el keessatti argamu guutummaatti raawwatamuu isaatti baayʼee dhihaateera. Yeroo dhihootti wantoonni rakkinaa raajiiwwan keessatti himaman ni raawwatamu.</w:t>
      </w:r>
    </w:p>
    <w:p>
      <w:pPr>
        <w:pStyle w:val="ArticleScripture"/>
        <w:jc w:val="left"/>
      </w:pPr>
      <w:r>
        <w:rPr>
          <w:rFonts w:ascii="Times New Roman" w:hAnsi="Times New Roman" w:eastAsia="Times New Roman" w:cs="Times New Roman"/>
        </w:rPr>
        <w:t>Témoignages pour l’Église, volume NEUF, page ONZE.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Ishirini na Tatu</dc:title>
  <dc:subject>Révélation de la portée prophétique de Daniel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