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كتاب دانيال - المئة والخامس والعشرون</w:t>
      </w:r>
    </w:p>
    <w:p>
      <w:pPr>
        <w:pStyle w:val="ArticleSubtitle"/>
        <w:jc w:val="left"/>
      </w:pPr>
      <w:r>
        <w:rPr>
          <w:rFonts w:ascii="Arial" w:hAnsi="Arial" w:eastAsia="Arial" w:cs="Arial"/>
        </w:rPr>
        <w:t>Разкривање на пророчкото значење: толкување на Даниел 11:40 и неговите импликации за современото христијанство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ff</w:t>
      </w:r>
      <w:r>
        <w:rPr>
          <w:rFonts w:ascii="Microsoft YaHei" w:hAnsi="Microsoft YaHei" w:eastAsia="Microsoft YaHei" w:cs="Microsoft YaHei"/>
        </w:rPr>
        <w:t>十一章第四十节始于末时</w:t>
      </w:r>
      <w:r>
        <w:rPr>
          <w:rFonts w:ascii="Times New Roman" w:hAnsi="Times New Roman" w:eastAsia="Times New Roman" w:cs="Times New Roman"/>
        </w:rPr>
        <w:t>,</w:t>
      </w:r>
      <w:r>
        <w:rPr>
          <w:rFonts w:ascii="Microsoft YaHei" w:hAnsi="Microsoft YaHei" w:eastAsia="Microsoft YaHei" w:cs="Microsoft YaHei"/>
        </w:rPr>
        <w:t>但这一节指出了两个末时</w:t>
      </w:r>
      <w:r>
        <w:rPr>
          <w:rFonts w:ascii="Times New Roman" w:hAnsi="Times New Roman" w:eastAsia="Times New Roman" w:cs="Times New Roman"/>
        </w:rPr>
        <w:t>,</w:t>
      </w:r>
      <w:r>
        <w:rPr>
          <w:rFonts w:ascii="Microsoft YaHei" w:hAnsi="Microsoft YaHei" w:eastAsia="Microsoft YaHei" w:cs="Microsoft YaHei"/>
        </w:rPr>
        <w:t>因此使预言的研读者能够将第一个末时与第二个末时对齐</w:t>
      </w:r>
      <w:r>
        <w:rPr>
          <w:rFonts w:ascii="Times New Roman" w:hAnsi="Times New Roman" w:eastAsia="Times New Roman" w:cs="Times New Roman"/>
        </w:rPr>
        <w:t>.</w:t>
      </w:r>
      <w:r>
        <w:rPr>
          <w:rFonts w:ascii="Microsoft YaHei" w:hAnsi="Microsoft YaHei" w:eastAsia="Microsoft YaHei" w:cs="Microsoft YaHei"/>
        </w:rPr>
        <w:t>当作出这种应用时</w:t>
      </w:r>
      <w:r>
        <w:rPr>
          <w:rFonts w:ascii="Times New Roman" w:hAnsi="Times New Roman" w:eastAsia="Times New Roman" w:cs="Times New Roman"/>
        </w:rPr>
        <w:t>,</w:t>
      </w:r>
      <w:r>
        <w:rPr>
          <w:rFonts w:ascii="Microsoft YaHei" w:hAnsi="Microsoft YaHei" w:eastAsia="Microsoft YaHei" w:cs="Microsoft YaHei"/>
        </w:rPr>
        <w:t>始于</w:t>
      </w:r>
      <w:r>
        <w:rPr>
          <w:rFonts w:ascii="Times New Roman" w:hAnsi="Times New Roman" w:eastAsia="Times New Roman" w:cs="Times New Roman"/>
        </w:rPr>
        <w:t>1798</w:t>
      </w:r>
      <w:r>
        <w:rPr>
          <w:rFonts w:ascii="Microsoft YaHei" w:hAnsi="Microsoft YaHei" w:eastAsia="Microsoft YaHei" w:cs="Microsoft YaHei"/>
        </w:rPr>
        <w:t>年的米勒派历史线</w:t>
      </w:r>
      <w:r>
        <w:rPr>
          <w:rFonts w:ascii="Times New Roman" w:hAnsi="Times New Roman" w:eastAsia="Times New Roman" w:cs="Times New Roman"/>
        </w:rPr>
        <w:t>,</w:t>
      </w:r>
      <w:r>
        <w:rPr>
          <w:rFonts w:ascii="Microsoft YaHei" w:hAnsi="Microsoft YaHei" w:eastAsia="Microsoft YaHei" w:cs="Microsoft YaHei"/>
        </w:rPr>
        <w:t>便与</w:t>
      </w:r>
      <w:r>
        <w:rPr>
          <w:rFonts w:ascii="Times New Roman" w:hAnsi="Times New Roman" w:eastAsia="Times New Roman" w:cs="Times New Roman"/>
        </w:rPr>
        <w:t>1989</w:t>
      </w:r>
      <w:r>
        <w:rPr>
          <w:rFonts w:ascii="Microsoft YaHei" w:hAnsi="Microsoft YaHei" w:eastAsia="Microsoft YaHei" w:cs="Microsoft YaHei"/>
        </w:rPr>
        <w:t>年美国的历史平行</w:t>
      </w:r>
      <w:r>
        <w:rPr>
          <w:rFonts w:ascii="Times New Roman" w:hAnsi="Times New Roman" w:eastAsia="Times New Roman" w:cs="Times New Roman"/>
        </w:rPr>
        <w:t>.</w:t>
      </w:r>
      <w:r>
        <w:rPr>
          <w:rFonts w:ascii="Microsoft YaHei" w:hAnsi="Microsoft YaHei" w:eastAsia="Microsoft YaHei" w:cs="Microsoft YaHei"/>
        </w:rPr>
        <w:t>这两条线分别标示出真正之新教角的路线</w:t>
      </w:r>
      <w:r>
        <w:rPr>
          <w:rFonts w:ascii="Times New Roman" w:hAnsi="Times New Roman" w:eastAsia="Times New Roman" w:cs="Times New Roman"/>
        </w:rPr>
        <w:t>,</w:t>
      </w:r>
      <w:r>
        <w:rPr>
          <w:rFonts w:ascii="Microsoft YaHei" w:hAnsi="Microsoft YaHei" w:eastAsia="Microsoft YaHei" w:cs="Microsoft YaHei"/>
        </w:rPr>
        <w:t>以及启示录第十三章地兽之共和党角的路线</w:t>
      </w:r>
      <w:r>
        <w:rPr>
          <w:rFonts w:ascii="Times New Roman" w:hAnsi="Times New Roman" w:eastAsia="Times New Roman" w:cs="Times New Roman"/>
        </w:rPr>
        <w:t>.</w:t>
      </w:r>
      <w:r>
        <w:rPr>
          <w:rFonts w:ascii="Microsoft YaHei" w:hAnsi="Microsoft YaHei" w:eastAsia="Microsoft YaHei" w:cs="Microsoft YaHei"/>
        </w:rPr>
        <w:t>两条线都始于</w:t>
      </w:r>
      <w:r>
        <w:rPr>
          <w:rFonts w:ascii="Times New Roman" w:hAnsi="Times New Roman" w:eastAsia="Times New Roman" w:cs="Times New Roman"/>
        </w:rPr>
        <w:t>1798</w:t>
      </w:r>
      <w:r>
        <w:rPr>
          <w:rFonts w:ascii="Microsoft YaHei" w:hAnsi="Microsoft YaHei" w:eastAsia="Microsoft YaHei" w:cs="Microsoft YaHei"/>
        </w:rPr>
        <w:t>年的末时</w:t>
      </w:r>
      <w:r>
        <w:rPr>
          <w:rFonts w:ascii="Times New Roman" w:hAnsi="Times New Roman" w:eastAsia="Times New Roman" w:cs="Times New Roman"/>
        </w:rPr>
        <w:t>,</w:t>
      </w:r>
      <w:r>
        <w:rPr>
          <w:rFonts w:ascii="Microsoft YaHei" w:hAnsi="Microsoft YaHei" w:eastAsia="Microsoft YaHei" w:cs="Microsoft YaHei"/>
        </w:rPr>
        <w:t>而</w:t>
      </w:r>
      <w:r>
        <w:rPr>
          <w:rFonts w:ascii="Times New Roman" w:hAnsi="Times New Roman" w:eastAsia="Times New Roman" w:cs="Times New Roman"/>
        </w:rPr>
        <w:t>1989</w:t>
      </w:r>
      <w:r>
        <w:rPr>
          <w:rFonts w:ascii="Microsoft YaHei" w:hAnsi="Microsoft YaHei" w:eastAsia="Microsoft YaHei" w:cs="Microsoft YaHei"/>
        </w:rPr>
        <w:t>年的末时不过是对该节中所开封之真理路标的补足</w:t>
      </w:r>
      <w:r>
        <w:rPr>
          <w:rFonts w:ascii="Times New Roman" w:hAnsi="Times New Roman" w:eastAsia="Times New Roman" w:cs="Times New Roman"/>
        </w:rPr>
        <w:t>,</w:t>
      </w:r>
      <w:r>
        <w:rPr>
          <w:rFonts w:ascii="Microsoft YaHei" w:hAnsi="Microsoft YaHei" w:eastAsia="Microsoft YaHei" w:cs="Microsoft YaHei"/>
        </w:rPr>
        <w:t>并为之提供第二个见证</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Mouvementon di tesri angelo a rivar li 22 October 1844, ma el fu diferi tra li sete-annual rebellion de 1856 a 1863. Li arivada del tesri angelo esset repetit li 11 September 2001. 1863 esset tipificat per li unesim encampament de antiqui Israel a Kadesh e per li rebellion del dece spiones, e li 11 September 2001 esset tipificat per li ultim encampament de antiqui Israel a Kadesh e per li rebellion de Moses. Li rebellion de 1863 representat li unesim rebellion a Kadesh, quel productet un judicie de morte in li desert. Li rebellion del 11 September 2001 representat li ultim rebellion a Kadesh, quel productet li morte del guvernantía de Adventisme Laodicean.</w:t>
      </w:r>
    </w:p>
    <w:p>
      <w:pPr>
        <w:pStyle w:val="ArticleBody"/>
        <w:jc w:val="left"/>
      </w:pPr>
      <w:r>
        <w:rPr>
          <w:rFonts w:ascii="Times New Roman" w:hAnsi="Times New Roman" w:eastAsia="Times New Roman" w:cs="Times New Roman"/>
        </w:rPr>
        <w:t>Roshniin firishtaa 11 August, 1840 gai, jey 1840 saan 1844 je harkat ji ibtidaa bani, jinhin khe Sister White “Khudaa ji qudrat jo hik jalwagar zuhoor” chayo, 11 September, 2001 jo namoono thiyo, ain Khudaa ji qudrat je hik jalwagar zuhoor khe nishandahi kai.</w:t>
      </w:r>
    </w:p>
    <w:p>
      <w:pPr>
        <w:pStyle w:val="ArticleScripture"/>
        <w:jc w:val="left"/>
      </w:pPr>
      <w:r>
        <w:rPr>
          <w:rFonts w:ascii="Times New Roman" w:hAnsi="Times New Roman" w:eastAsia="Times New Roman" w:cs="Times New Roman"/>
        </w:rPr>
        <w:t>“Angelo ya amɛka ne nne ho wɔ ɔbɔfoɔ a ɔtɔ so mmiɛnsa no nkrasɛm no ka mu no, ɔbɛma asase nyinaa ahyerɛn wɔ n’animuonyam mu. Wɔhyɛ ha nkɔm fa adwuma bi a ne trɛw kɔ wiase nyinaa so na tumi a ɛnyɛ nea wɔtaa hu ho. Akwamma ho nkanyan a ɛbaeɛ wɔ 1840–44 no yɛɛ Onyankopɔn tumi ho da no adi a ɛyɛ animuonyam; wɔde ɔbɔfoɔ a odi kan no nkrasɛm no kɔɔ asɛmpatrɛdwuma gyinabea biara a ɛwɔ wiase no mu, na aman bi so no, nyamesom ho anigyeɛ kɛse paa baeɛ, a efi afeha a ɛtɔ so dunsia no mu Nsiesie Kɛse no so no, wɔnhunuu bi saa da wɔ ɔman biara mu; nanso yeinom nyinaa bɛboro so wɔ ahoɔden mu wɔ nkanyan kɛse no ase, a ɛbɛba ɔbɔfoɔ a ɔtɔ so mmiɛnsa no kɔkɔbɔ a etwa to no mu.” The Great Controversy, 611.</w:t>
      </w:r>
    </w:p>
    <w:p>
      <w:pPr>
        <w:pStyle w:val="ArticleBody"/>
        <w:jc w:val="left"/>
      </w:pPr>
      <w:r>
        <w:rPr>
          <w:rFonts w:ascii="Microsoft YaHei" w:hAnsi="Microsoft YaHei" w:eastAsia="Microsoft YaHei" w:cs="Microsoft YaHei"/>
        </w:rPr>
        <w:t>英語</w:t>
      </w:r>
      <w:r>
        <w:rPr>
          <w:rFonts w:ascii="MS Gothic" w:hAnsi="MS Gothic" w:eastAsia="MS Gothic" w:cs="MS Gothic"/>
        </w:rPr>
        <w:t>から</w:t>
      </w:r>
      <w:r>
        <w:rPr>
          <w:rFonts w:ascii="Times New Roman" w:hAnsi="Times New Roman" w:eastAsia="Times New Roman" w:cs="Times New Roman"/>
        </w:rPr>
        <w:t xml:space="preserve"> ff </w:t>
      </w:r>
      <w:r>
        <w:rPr>
          <w:rFonts w:ascii="MS Gothic" w:hAnsi="MS Gothic" w:eastAsia="MS Gothic" w:cs="MS Gothic"/>
        </w:rPr>
        <w:t>への</w:t>
      </w:r>
      <w:r>
        <w:rPr>
          <w:rFonts w:ascii="Microsoft YaHei" w:hAnsi="Microsoft YaHei" w:eastAsia="Microsoft YaHei" w:cs="Microsoft YaHei"/>
        </w:rPr>
        <w:t>翻訳対象</w:t>
      </w:r>
      <w:r>
        <w:rPr>
          <w:rFonts w:ascii="MS Gothic" w:hAnsi="MS Gothic" w:eastAsia="MS Gothic" w:cs="MS Gothic"/>
        </w:rPr>
        <w:t>の</w:t>
      </w:r>
      <w:r>
        <w:rPr>
          <w:rFonts w:ascii="Microsoft YaHei" w:hAnsi="Microsoft YaHei" w:eastAsia="Microsoft YaHei" w:cs="Microsoft YaHei"/>
        </w:rPr>
        <w:t>本文</w:t>
      </w:r>
      <w:r>
        <w:rPr>
          <w:rFonts w:ascii="MS Gothic" w:hAnsi="MS Gothic" w:eastAsia="MS Gothic" w:cs="MS Gothic"/>
        </w:rPr>
        <w:t>が</w:t>
      </w:r>
      <w:r>
        <w:rPr>
          <w:rFonts w:ascii="Microsoft YaHei" w:hAnsi="Microsoft YaHei" w:eastAsia="Microsoft YaHei" w:cs="Microsoft YaHei"/>
        </w:rPr>
        <w:t>見当</w:t>
      </w:r>
      <w:r>
        <w:rPr>
          <w:rFonts w:ascii="MS Gothic" w:hAnsi="MS Gothic" w:eastAsia="MS Gothic" w:cs="MS Gothic"/>
        </w:rPr>
        <w:t>たりません</w:t>
      </w:r>
      <w:r>
        <w:rPr>
          <w:rFonts w:ascii="Times New Roman" w:hAnsi="Times New Roman" w:eastAsia="Times New Roman" w:cs="Times New Roman"/>
        </w:rPr>
        <w:t>.</w:t>
      </w:r>
      <w:r>
        <w:rPr>
          <w:rFonts w:ascii="Microsoft YaHei" w:hAnsi="Microsoft YaHei" w:eastAsia="Microsoft YaHei" w:cs="Microsoft YaHei"/>
        </w:rPr>
        <w:t>翻訳</w:t>
      </w:r>
      <w:r>
        <w:rPr>
          <w:rFonts w:ascii="MS Gothic" w:hAnsi="MS Gothic" w:eastAsia="MS Gothic" w:cs="MS Gothic"/>
        </w:rPr>
        <w:t>する</w:t>
      </w:r>
      <w:r>
        <w:rPr>
          <w:rFonts w:ascii="Microsoft YaHei" w:hAnsi="Microsoft YaHei" w:eastAsia="Microsoft YaHei" w:cs="Microsoft YaHei"/>
        </w:rPr>
        <w:t>言語名</w:t>
      </w:r>
      <w:r>
        <w:rPr>
          <w:rFonts w:ascii="MS Gothic" w:hAnsi="MS Gothic" w:eastAsia="MS Gothic" w:cs="MS Gothic"/>
        </w:rPr>
        <w:t>または</w:t>
      </w:r>
      <w:r>
        <w:rPr>
          <w:rFonts w:ascii="Microsoft YaHei" w:hAnsi="Microsoft YaHei" w:eastAsia="Microsoft YaHei" w:cs="Microsoft YaHei"/>
        </w:rPr>
        <w:t>原文</w:t>
      </w:r>
      <w:r>
        <w:rPr>
          <w:rFonts w:ascii="MS Gothic" w:hAnsi="MS Gothic" w:eastAsia="MS Gothic" w:cs="MS Gothic"/>
        </w:rPr>
        <w:t>をご</w:t>
      </w:r>
      <w:r>
        <w:rPr>
          <w:rFonts w:ascii="Microsoft YaHei" w:hAnsi="Microsoft YaHei" w:eastAsia="Microsoft YaHei" w:cs="Microsoft YaHei"/>
        </w:rPr>
        <w:t>指定</w:t>
      </w:r>
      <w:r>
        <w:rPr>
          <w:rFonts w:ascii="MS Gothic" w:hAnsi="MS Gothic" w:eastAsia="MS Gothic" w:cs="MS Gothic"/>
        </w:rPr>
        <w:t>ください</w:t>
      </w:r>
      <w:r>
        <w:rPr>
          <w:rFonts w:ascii="Times New Roman" w:hAnsi="Times New Roman" w:eastAsia="Times New Roman" w:cs="Times New Roman"/>
        </w:rPr>
        <w:t>.</w:t>
      </w:r>
    </w:p>
    <w:p>
      <w:pPr>
        <w:pStyle w:val="ArticleScripture"/>
        <w:jc w:val="left"/>
      </w:pPr>
      <w:r>
        <w:rPr>
          <w:rFonts w:ascii="Microsoft YaHei" w:hAnsi="Microsoft YaHei" w:eastAsia="Microsoft YaHei" w:cs="Microsoft YaHei"/>
        </w:rPr>
        <w:t>然後約書亞當時叫他們起誓</w:t>
      </w:r>
      <w:r>
        <w:rPr>
          <w:rFonts w:ascii="Times New Roman" w:hAnsi="Times New Roman" w:eastAsia="Times New Roman" w:cs="Times New Roman"/>
        </w:rPr>
        <w:t>,</w:t>
      </w:r>
      <w:r>
        <w:rPr>
          <w:rFonts w:ascii="Microsoft YaHei" w:hAnsi="Microsoft YaHei" w:eastAsia="Microsoft YaHei" w:cs="Microsoft YaHei"/>
        </w:rPr>
        <w:t>說：「有興起重修這耶利哥城的人</w:t>
      </w:r>
      <w:r>
        <w:rPr>
          <w:rFonts w:ascii="Times New Roman" w:hAnsi="Times New Roman" w:eastAsia="Times New Roman" w:cs="Times New Roman"/>
        </w:rPr>
        <w:t>,</w:t>
      </w:r>
      <w:r>
        <w:rPr>
          <w:rFonts w:ascii="Microsoft YaHei" w:hAnsi="Microsoft YaHei" w:eastAsia="Microsoft YaHei" w:cs="Microsoft YaHei"/>
        </w:rPr>
        <w:t>在耶和華面前必受咒詛</w:t>
      </w:r>
      <w:r>
        <w:rPr>
          <w:rFonts w:ascii="Times New Roman" w:hAnsi="Times New Roman" w:eastAsia="Times New Roman" w:cs="Times New Roman"/>
        </w:rPr>
        <w:t>;</w:t>
      </w:r>
      <w:r>
        <w:rPr>
          <w:rFonts w:ascii="Microsoft YaHei" w:hAnsi="Microsoft YaHei" w:eastAsia="Microsoft YaHei" w:cs="Microsoft YaHei"/>
        </w:rPr>
        <w:t>他立根基的時候</w:t>
      </w:r>
      <w:r>
        <w:rPr>
          <w:rFonts w:ascii="Times New Roman" w:hAnsi="Times New Roman" w:eastAsia="Times New Roman" w:cs="Times New Roman"/>
        </w:rPr>
        <w:t>,</w:t>
      </w:r>
      <w:r>
        <w:rPr>
          <w:rFonts w:ascii="Microsoft YaHei" w:hAnsi="Microsoft YaHei" w:eastAsia="Microsoft YaHei" w:cs="Microsoft YaHei"/>
        </w:rPr>
        <w:t>必喪長子</w:t>
      </w:r>
      <w:r>
        <w:rPr>
          <w:rFonts w:ascii="Times New Roman" w:hAnsi="Times New Roman" w:eastAsia="Times New Roman" w:cs="Times New Roman"/>
        </w:rPr>
        <w:t>;</w:t>
      </w:r>
      <w:r>
        <w:rPr>
          <w:rFonts w:ascii="Microsoft YaHei" w:hAnsi="Microsoft YaHei" w:eastAsia="Microsoft YaHei" w:cs="Microsoft YaHei"/>
        </w:rPr>
        <w:t>安門的時候</w:t>
      </w:r>
      <w:r>
        <w:rPr>
          <w:rFonts w:ascii="Times New Roman" w:hAnsi="Times New Roman" w:eastAsia="Times New Roman" w:cs="Times New Roman"/>
        </w:rPr>
        <w:t>,</w:t>
      </w:r>
      <w:r>
        <w:rPr>
          <w:rFonts w:ascii="Microsoft YaHei" w:hAnsi="Microsoft YaHei" w:eastAsia="Microsoft YaHei" w:cs="Microsoft YaHei"/>
        </w:rPr>
        <w:t>必喪幼子</w:t>
      </w:r>
      <w:r>
        <w:rPr>
          <w:rFonts w:ascii="Times New Roman" w:hAnsi="Times New Roman" w:eastAsia="Times New Roman" w:cs="Times New Roman"/>
        </w:rPr>
        <w:t>.</w:t>
      </w:r>
      <w:r>
        <w:rPr>
          <w:rFonts w:ascii="Microsoft YaHei" w:hAnsi="Microsoft YaHei" w:eastAsia="Microsoft YaHei" w:cs="Microsoft YaHei"/>
        </w:rPr>
        <w:t>」約書亞記</w:t>
      </w:r>
      <w:r>
        <w:rPr>
          <w:rFonts w:ascii="Times New Roman" w:hAnsi="Times New Roman" w:eastAsia="Times New Roman" w:cs="Times New Roman"/>
        </w:rPr>
        <w:t xml:space="preserve"> 6:26.</w:t>
      </w:r>
    </w:p>
    <w:p>
      <w:pPr>
        <w:pStyle w:val="ArticleBody"/>
        <w:jc w:val="left"/>
      </w:pPr>
      <w:r>
        <w:rPr>
          <w:rFonts w:ascii="Times New Roman" w:hAnsi="Times New Roman" w:eastAsia="Times New Roman" w:cs="Times New Roman"/>
        </w:rPr>
        <w:t>E nga sa Israel eke kala ka Kadesi kena ivakadewa taumada, era a cata na itukutuku i Josua kei Kalepi, sa vaka kina na nodra talaidredre na Isireli ni gauna oqo ena iMatai ni Kadesi (1863), sa kauta mai vei ira na cudru i Josua. Ni lesu mai na agilosi ka tolu ena ika 11 ni Seviteba, 2001 (na iOtioti ni Kadesi), sa tekivu kina na cakacaka ni otioti ni vakarau me liutaka na Kalou na nona vakarusai Jeriko kei na kena bai.</w:t>
      </w:r>
    </w:p>
    <w:p>
      <w:pPr>
        <w:pStyle w:val="ArticleBody"/>
        <w:jc w:val="left"/>
      </w:pPr>
      <w:r>
        <w:rPr>
          <w:rFonts w:ascii="Times New Roman" w:hAnsi="Times New Roman" w:eastAsia="Times New Roman" w:cs="Times New Roman"/>
        </w:rPr>
        <w:t>22 Octobre 1844 marque l’arrivée du troisième ange et, ce faisant, marque l’arrivée du dimanche bientôt à venir dans les derniers jours. 1863 marque la fin de la période d’épreuve du troisième ange, laquelle commença le 22 Octobre 1844. 1863 est donc un symbole de la loi du dimanche bientôt à venir, car Jésus représente toujours la fin par le commencement. En 1863, la nation fut divisée en deux classes, et de même, lors de la loi du dimanche, deux classes seront manifestées.</w:t>
      </w:r>
    </w:p>
    <w:p>
      <w:pPr>
        <w:pStyle w:val="ArticleBody"/>
        <w:jc w:val="left"/>
      </w:pPr>
      <w:r>
        <w:rPr>
          <w:rFonts w:ascii="Times New Roman" w:hAnsi="Times New Roman" w:eastAsia="Times New Roman" w:cs="Times New Roman"/>
        </w:rPr>
        <w:t>Tijaasinni qorannoo ergamaa sadaffaatii keessatti seenaa Miilaraayitii bara 1844tti jalqabee bara 1863tti xumurame; jalqabni fi xumurni isaa lamaan isaanii iyyuu seera Dilbataa bara dhumaa agarsiisu. Seenaa jalqabaa (1844) fi xumuraa (1863) gidduu jiru keessatti fincilli sochii Miilaraayitii (1856) argama. Kanaafuu, yeroon sun mallattoo “Dhugaa” baata. Deebiin gara Qaadesh yeroo lammaffaatti gaafa Fulbaana 11, 2001tti taʼe, adeemsa qorannoo ergamaa sadaffaa jalqaba agarsiisa; kunis, akkuma bara 1863tti fakkeeffame, seera Dilbataa yeroo dhihoo dhufu sana irratti xumurama.</w:t>
      </w:r>
    </w:p>
    <w:p>
      <w:pPr>
        <w:pStyle w:val="ArticleBody"/>
        <w:jc w:val="left"/>
      </w:pP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परीक्षा</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यरीहो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प्रतिरूपित</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कार्यकारी</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अनुरूप।</w:t>
      </w:r>
      <w:r>
        <w:rPr>
          <w:rFonts w:ascii="Times New Roman" w:hAnsi="Times New Roman" w:eastAsia="Times New Roman" w:cs="Times New Roman"/>
        </w:rPr>
        <w:t xml:space="preserve"> </w:t>
      </w:r>
      <w:r>
        <w:rPr>
          <w:rFonts w:ascii="Nirmala UI" w:hAnsi="Nirmala UI" w:eastAsia="Nirmala UI" w:cs="Nirmala UI"/>
        </w:rPr>
        <w:t>चालीसवाँ</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1798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इकतालीसवें</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शीघ्र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आंतरिक</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मिलेरियों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होकर</w:t>
      </w:r>
      <w:r>
        <w:rPr>
          <w:rFonts w:ascii="Times New Roman" w:hAnsi="Times New Roman" w:eastAsia="Times New Roman" w:cs="Times New Roman"/>
        </w:rPr>
        <w:t xml:space="preserve"> </w:t>
      </w:r>
      <w:r>
        <w:rPr>
          <w:rFonts w:ascii="Nirmala UI" w:hAnsi="Nirmala UI" w:eastAsia="Nirmala UI" w:cs="Nirmala UI"/>
        </w:rPr>
        <w:t>तृतीय</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Leelawadee UI" w:hAnsi="Leelawadee UI" w:eastAsia="Leelawadee UI" w:cs="Leelawadee UI"/>
        </w:rPr>
        <w:t>អំណាចសង្គ្រាមរវាងស្តេចខាងជើង</w:t>
      </w:r>
      <w:r>
        <w:rPr>
          <w:rFonts w:ascii="Times New Roman" w:hAnsi="Times New Roman" w:eastAsia="Times New Roman" w:cs="Times New Roman"/>
        </w:rPr>
        <w:t xml:space="preserve"> </w:t>
      </w:r>
      <w:r>
        <w:rPr>
          <w:rFonts w:ascii="Leelawadee UI" w:hAnsi="Leelawadee UI" w:eastAsia="Leelawadee UI" w:cs="Leelawadee UI"/>
        </w:rPr>
        <w:t>ដែលបានចាប់ផ្តើមជាមួយនឹងការឡើងកាន់អំណាចរបស់ស្តេចខាងត្បូងនៅឆ្នាំ</w:t>
      </w:r>
      <w:r>
        <w:rPr>
          <w:rFonts w:ascii="Times New Roman" w:hAnsi="Times New Roman" w:eastAsia="Times New Roman" w:cs="Times New Roman"/>
        </w:rPr>
        <w:t xml:space="preserve"> 1798 </w:t>
      </w:r>
      <w:r>
        <w:rPr>
          <w:rFonts w:ascii="Leelawadee UI" w:hAnsi="Leelawadee UI" w:eastAsia="Leelawadee UI" w:cs="Leelawadee UI"/>
        </w:rPr>
        <w:t>ត្រូវបាននាំមកដល់ទីបញ្ចប់នៅឆ្នាំ</w:t>
      </w:r>
      <w:r>
        <w:rPr>
          <w:rFonts w:ascii="Times New Roman" w:hAnsi="Times New Roman" w:eastAsia="Times New Roman" w:cs="Times New Roman"/>
        </w:rPr>
        <w:t xml:space="preserve"> 1989 </w:t>
      </w:r>
      <w:r>
        <w:rPr>
          <w:rFonts w:ascii="Leelawadee UI" w:hAnsi="Leelawadee UI" w:eastAsia="Leelawadee UI" w:cs="Leelawadee UI"/>
        </w:rPr>
        <w:t>នៅពេលដែលស្តេចខាងត្បូងត្រូវបានបរាជ័យដោយសម្ព័ន្ធមិត្តមួយរវាងនគរទីប្រាំ</w:t>
      </w:r>
      <w:r>
        <w:rPr>
          <w:rFonts w:ascii="Times New Roman" w:hAnsi="Times New Roman" w:eastAsia="Times New Roman" w:cs="Times New Roman"/>
        </w:rPr>
        <w:t xml:space="preserve"> </w:t>
      </w:r>
      <w:r>
        <w:rPr>
          <w:rFonts w:ascii="Leelawadee UI" w:hAnsi="Leelawadee UI" w:eastAsia="Leelawadee UI" w:cs="Leelawadee UI"/>
        </w:rPr>
        <w:t>និងទីប្រាំមួយនៃព្រះបន្ទូលទំនាយក្នុងព្រះគម្ពីរ។</w:t>
      </w:r>
      <w:r>
        <w:rPr>
          <w:rFonts w:ascii="Times New Roman" w:hAnsi="Times New Roman" w:eastAsia="Times New Roman" w:cs="Times New Roman"/>
        </w:rPr>
        <w:t xml:space="preserve"> </w:t>
      </w:r>
      <w:r>
        <w:rPr>
          <w:rFonts w:ascii="Leelawadee UI" w:hAnsi="Leelawadee UI" w:eastAsia="Leelawadee UI" w:cs="Leelawadee UI"/>
        </w:rPr>
        <w:t>សង្គ្រាមរបស់ស្តេចខាងជើង</w:t>
      </w:r>
      <w:r>
        <w:rPr>
          <w:rFonts w:ascii="Times New Roman" w:hAnsi="Times New Roman" w:eastAsia="Times New Roman" w:cs="Times New Roman"/>
        </w:rPr>
        <w:t xml:space="preserve"> </w:t>
      </w:r>
      <w:r>
        <w:rPr>
          <w:rFonts w:ascii="Leelawadee UI" w:hAnsi="Leelawadee UI" w:eastAsia="Leelawadee UI" w:cs="Leelawadee UI"/>
        </w:rPr>
        <w:t>និងស្តេចខាងត្បូង</w:t>
      </w:r>
      <w:r>
        <w:rPr>
          <w:rFonts w:ascii="Times New Roman" w:hAnsi="Times New Roman" w:eastAsia="Times New Roman" w:cs="Times New Roman"/>
        </w:rPr>
        <w:t xml:space="preserve"> </w:t>
      </w:r>
      <w:r>
        <w:rPr>
          <w:rFonts w:ascii="Leelawadee UI" w:hAnsi="Leelawadee UI" w:eastAsia="Leelawadee UI" w:cs="Leelawadee UI"/>
        </w:rPr>
        <w:t>ដែលបានចាប់ផ្តើមនៅឆ្នាំ</w:t>
      </w:r>
      <w:r>
        <w:rPr>
          <w:rFonts w:ascii="Times New Roman" w:hAnsi="Times New Roman" w:eastAsia="Times New Roman" w:cs="Times New Roman"/>
        </w:rPr>
        <w:t xml:space="preserve"> 1798 </w:t>
      </w:r>
      <w:r>
        <w:rPr>
          <w:rFonts w:ascii="Leelawadee UI" w:hAnsi="Leelawadee UI" w:eastAsia="Leelawadee UI" w:cs="Leelawadee UI"/>
        </w:rPr>
        <w:t>ត្រូវបានក្រុម</w:t>
      </w:r>
      <w:r>
        <w:rPr>
          <w:rFonts w:ascii="Times New Roman" w:hAnsi="Times New Roman" w:eastAsia="Times New Roman" w:cs="Times New Roman"/>
        </w:rPr>
        <w:t xml:space="preserve"> Millerites </w:t>
      </w:r>
      <w:r>
        <w:rPr>
          <w:rFonts w:ascii="Leelawadee UI" w:hAnsi="Leelawadee UI" w:eastAsia="Leelawadee UI" w:cs="Leelawadee UI"/>
        </w:rPr>
        <w:t>ទទួលស្គាល់ថាជាសង្គ្រាមប្រឆាំងនឹងក្រុងរ៉ូម</w:t>
      </w:r>
      <w:r>
        <w:rPr>
          <w:rFonts w:ascii="Times New Roman" w:hAnsi="Times New Roman" w:eastAsia="Times New Roman" w:cs="Times New Roman"/>
        </w:rPr>
        <w:t xml:space="preserve"> </w:t>
      </w:r>
      <w:r>
        <w:rPr>
          <w:rFonts w:ascii="Leelawadee UI" w:hAnsi="Leelawadee UI" w:eastAsia="Leelawadee UI" w:cs="Leelawadee UI"/>
        </w:rPr>
        <w:t>ដែលពួកគេបានមើលឃើញវាថា</w:t>
      </w:r>
      <w:r>
        <w:rPr>
          <w:rFonts w:ascii="Times New Roman" w:hAnsi="Times New Roman" w:eastAsia="Times New Roman" w:cs="Times New Roman"/>
        </w:rPr>
        <w:t xml:space="preserve"> </w:t>
      </w:r>
      <w:r>
        <w:rPr>
          <w:rFonts w:ascii="Leelawadee UI" w:hAnsi="Leelawadee UI" w:eastAsia="Leelawadee UI" w:cs="Leelawadee UI"/>
        </w:rPr>
        <w:t>គ្រាន់តែជាអំណាចបំផ្លាញទាំងពីរ</w:t>
      </w:r>
      <w:r>
        <w:rPr>
          <w:rFonts w:ascii="Times New Roman" w:hAnsi="Times New Roman" w:eastAsia="Times New Roman" w:cs="Times New Roman"/>
        </w:rPr>
        <w:t xml:space="preserve"> </w:t>
      </w:r>
      <w:r>
        <w:rPr>
          <w:rFonts w:ascii="Leelawadee UI" w:hAnsi="Leelawadee UI" w:eastAsia="Leelawadee UI" w:cs="Leelawadee UI"/>
        </w:rPr>
        <w:t>គឺសាសនាពហុទេវនិយម</w:t>
      </w:r>
      <w:r>
        <w:rPr>
          <w:rFonts w:ascii="Times New Roman" w:hAnsi="Times New Roman" w:eastAsia="Times New Roman" w:cs="Times New Roman"/>
        </w:rPr>
        <w:t xml:space="preserve"> </w:t>
      </w:r>
      <w:r>
        <w:rPr>
          <w:rFonts w:ascii="Leelawadee UI" w:hAnsi="Leelawadee UI" w:eastAsia="Leelawadee UI" w:cs="Leelawadee UI"/>
        </w:rPr>
        <w:t>និងអំណាចសម្តេចប៉ាប។</w:t>
      </w:r>
      <w:r>
        <w:rPr>
          <w:rFonts w:ascii="Times New Roman" w:hAnsi="Times New Roman" w:eastAsia="Times New Roman" w:cs="Times New Roman"/>
        </w:rPr>
        <w:t xml:space="preserve"> </w:t>
      </w:r>
      <w:r>
        <w:rPr>
          <w:rFonts w:ascii="Leelawadee UI" w:hAnsi="Leelawadee UI" w:eastAsia="Leelawadee UI" w:cs="Leelawadee UI"/>
        </w:rPr>
        <w:t>នៅពេលសង្គ្រាមនោះបានបញ្ចប់នៅឆ្នាំ</w:t>
      </w:r>
      <w:r>
        <w:rPr>
          <w:rFonts w:ascii="Times New Roman" w:hAnsi="Times New Roman" w:eastAsia="Times New Roman" w:cs="Times New Roman"/>
        </w:rPr>
        <w:t xml:space="preserve"> 1989 </w:t>
      </w:r>
      <w:r>
        <w:rPr>
          <w:rFonts w:ascii="Leelawadee UI" w:hAnsi="Leelawadee UI" w:eastAsia="Leelawadee UI" w:cs="Leelawadee UI"/>
        </w:rPr>
        <w:t>អំណាចបំផ្លាញទាំងបីបានចូលរួមពាក់ព័ន្ធ</w:t>
      </w:r>
      <w:r>
        <w:rPr>
          <w:rFonts w:ascii="Times New Roman" w:hAnsi="Times New Roman" w:eastAsia="Times New Roman" w:cs="Times New Roman"/>
        </w:rPr>
        <w:t xml:space="preserve"> </w:t>
      </w:r>
      <w:r>
        <w:rPr>
          <w:rFonts w:ascii="Leelawadee UI" w:hAnsi="Leelawadee UI" w:eastAsia="Leelawadee UI" w:cs="Leelawadee UI"/>
        </w:rPr>
        <w:t>ហើយវាបានសម្គាល់ការចាប់ផ្តើមនៃគំនូរបង្ហាញទំនាយអំពីអំណាចទាំងបីនោះ</w:t>
      </w:r>
      <w:r>
        <w:rPr>
          <w:rFonts w:ascii="Times New Roman" w:hAnsi="Times New Roman" w:eastAsia="Times New Roman" w:cs="Times New Roman"/>
        </w:rPr>
        <w:t xml:space="preserve"> </w:t>
      </w:r>
      <w:r>
        <w:rPr>
          <w:rFonts w:ascii="Leelawadee UI" w:hAnsi="Leelawadee UI" w:eastAsia="Leelawadee UI" w:cs="Leelawadee UI"/>
        </w:rPr>
        <w:t>ដែលនាំពិភពលោកទៅកាន់</w:t>
      </w:r>
      <w:r>
        <w:rPr>
          <w:rFonts w:ascii="Times New Roman" w:hAnsi="Times New Roman" w:eastAsia="Times New Roman" w:cs="Times New Roman"/>
        </w:rPr>
        <w:t xml:space="preserve"> Armageddon </w:t>
      </w:r>
      <w:r>
        <w:rPr>
          <w:rFonts w:ascii="Leelawadee UI" w:hAnsi="Leelawadee UI" w:eastAsia="Leelawadee UI" w:cs="Leelawadee UI"/>
        </w:rPr>
        <w:t>ដែលត្រូវបានតំណាងតាមភូមិសាស្ត្រនៅក្នុងខ</w:t>
      </w:r>
      <w:r>
        <w:rPr>
          <w:rFonts w:ascii="Times New Roman" w:hAnsi="Times New Roman" w:eastAsia="Times New Roman" w:cs="Times New Roman"/>
        </w:rPr>
        <w:t xml:space="preserve"> 45 </w:t>
      </w:r>
      <w:r>
        <w:rPr>
          <w:rFonts w:ascii="Leelawadee UI" w:hAnsi="Leelawadee UI" w:eastAsia="Leelawadee UI" w:cs="Leelawadee UI"/>
        </w:rPr>
        <w:t>នៃ</w:t>
      </w:r>
      <w:r>
        <w:rPr>
          <w:rFonts w:ascii="Times New Roman" w:hAnsi="Times New Roman" w:eastAsia="Times New Roman" w:cs="Times New Roman"/>
        </w:rPr>
        <w:t xml:space="preserve"> Daniel 11</w:t>
      </w:r>
      <w:r>
        <w:rPr>
          <w:rFonts w:ascii="Leelawadee UI" w:hAnsi="Leelawadee UI" w:eastAsia="Leelawadee UI" w:cs="Leelawadee UI"/>
        </w:rPr>
        <w:t>។</w:t>
      </w:r>
    </w:p>
    <w:p>
      <w:pPr>
        <w:pStyle w:val="ArticleBody"/>
        <w:jc w:val="left"/>
      </w:pPr>
      <w:r>
        <w:rPr>
          <w:rFonts w:ascii="Times New Roman" w:hAnsi="Times New Roman" w:eastAsia="Times New Roman" w:cs="Times New Roman"/>
        </w:rPr>
        <w:t>Ivesi ezingamashumi amane ukuya kwezingamashumi amane anesihlanu ziveza izinqubo zesiprofetho zamandla amathathu aletha upapa ekupheleni kwakhe phakathi kwezilwandle nentaba engcwele ekhazimulayo. Uma kuqondwa ngokufanele, umlando wesiprofetho omelwe evesini lamashumi amane nanye uhlanganisa amavesi amane nanye kuya kwamashumi amane nane.</w:t>
      </w:r>
    </w:p>
    <w:p>
      <w:pPr>
        <w:pStyle w:val="ArticleBody"/>
        <w:jc w:val="left"/>
      </w:pPr>
      <w:r>
        <w:rPr>
          <w:rFonts w:ascii="Times New Roman" w:hAnsi="Times New Roman" w:eastAsia="Times New Roman" w:cs="Times New Roman"/>
        </w:rPr>
        <w:t>Par conséquent, à partir du temps de la fin en 1989, avec le second témoin de 1798, qui identifie le commencement et la fin de la guerre entre le roi du midi et le roi du nord, les versets quarante et un à quarante-quatre identifient la triple union d’une papauté dont la blessure mortelle est guérie, et le verset quarante-cinq est celui où elle arrive à sa fin. Ces versets, lorsqu’ils sont abordés sous cette perspective, présentent une histoire extérieure à l’Église de Dieu, comme le représente également la relation entre les sept sceaux et les sept Églises dans le livre de l’Apocalypse.</w:t>
      </w:r>
    </w:p>
    <w:p>
      <w:pPr>
        <w:pStyle w:val="ArticleBody"/>
        <w:jc w:val="left"/>
      </w:pPr>
      <w:r>
        <w:rPr>
          <w:rFonts w:ascii="Times New Roman" w:hAnsi="Times New Roman" w:eastAsia="Times New Roman" w:cs="Times New Roman"/>
        </w:rPr>
        <w:t>Fa꞉n riangrin pawl hminga 1798 in a langmi cu a hramthok bik ah zohchunhnak thuthennak a langter, cun cuvek hmun ah 1989 in a hramthokmi riangrin cun a hramthok bik ah tuahsuaknak thuthennak a langter. 1798 cun a hramthok bik ah Thukam Palai hrang lam a timhtuahmi palai i hnatuannak a thupi bik in a langter, cun 1989 cun a hramthok bik ah Elijah palai i hnatuannak a thupi bik in a langter.</w:t>
      </w:r>
    </w:p>
    <w:p>
      <w:pPr>
        <w:pStyle w:val="ArticleBody"/>
        <w:jc w:val="left"/>
      </w:pPr>
      <w:r>
        <w:rPr>
          <w:rFonts w:ascii="Times New Roman" w:hAnsi="Times New Roman" w:eastAsia="Times New Roman" w:cs="Times New Roman"/>
        </w:rPr>
        <w:t>Kuanzia mwaka wa 1798, kitabu cha Danieli kilipofunguliwa, tunao ongezeko la maarifa ya historia ya unabii ambapo Kristo huwaongoza watu Wake katika uhusiano wa agano unaotimiza muungano wa kudumu wa uungu na ubinadamu. Agano hilo la siku ya mwisho linatambulishwa mara kwa mara katika Maandiko.</w:t>
      </w:r>
    </w:p>
    <w:p>
      <w:pPr>
        <w:pStyle w:val="ArticleScripture"/>
        <w:jc w:val="left"/>
      </w:pPr>
      <w:r>
        <w:rPr>
          <w:rFonts w:ascii="Times New Roman" w:hAnsi="Times New Roman" w:eastAsia="Times New Roman" w:cs="Times New Roman"/>
        </w:rPr>
        <w:t>Voici, les jours viennent, dit l’Éternel, où je ferai avec la maison d’Israël et avec la maison de Juda une alliance nouvelle; non selon l’alliance que j’ai faite avec leurs pères, le jour où je les ai pris par la main pour les faire sortir du pays d’Égypte, alliance qu’ils ont rompue, quoique je fusse leur époux, dit l’Éternel. Mais voici l’alliance que je ferai avec la maison d’Israël après ces jours-là, dit l’Éternel: Je mettrai ma loi au dedans d’eux, je l’écrirai dans leur cœur; et je serai leur Dieu, et ils seront mon peuple. Celui-ci n’enseignera plus son prochain, ni celui-là son frère, en disant: Connaissez l’Éternel! Car tous me connaîtront, depuis le plus petit d’entre eux jusqu’au plus grand, dit l’Éternel; car je pardonnerai leur iniquité, et je ne me souviendrai plus de leur péché. Jérémie 31:31–34.</w:t>
      </w:r>
    </w:p>
    <w:p>
      <w:pPr>
        <w:pStyle w:val="ArticleBody"/>
        <w:jc w:val="left"/>
      </w:pPr>
      <w:r>
        <w:rPr>
          <w:rFonts w:ascii="Times New Roman" w:hAnsi="Times New Roman" w:eastAsia="Times New Roman" w:cs="Times New Roman"/>
        </w:rPr>
        <w:t>Ndị amụma niile na-akọwapụta ụbọchị ikpeazụ, ma okwu a bụ “ụbọchị ikpeazụ,” n’amụma, na-anọchi anya oge ikpe. Mmụọ-ozi mbụ bịara n’afọ 1798, n’oge ọgwụgwụ, ikwusa mmeghe nke ikpe ahụ n’afọ 1844, nke bụkwa mbata nke ụbọchị ikpeazụ. Ụbọchị ikpeazụ ahụ bụ “ụbọchị” Jeremaịa nke ga-abịa, mgbe Chineke ga-“agbaghara” “ajọ omume” ma “ghara icheta ọzọ” mmehie nke ndị Ya. A na-arụzu ọrụ ahụ site n’aka Kraịst, dịka Onye Nnukwu Nchụàjà, n’ụbọchị mkpuchi mmehie nke ihe nnọchianya ya mezuru, n’oge “ụbọchị ikpeazụ.”</w:t>
      </w:r>
    </w:p>
    <w:p>
      <w:pPr>
        <w:pStyle w:val="ArticleBody"/>
        <w:jc w:val="left"/>
      </w:pP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ऐडभेन्टवादले</w:t>
      </w:r>
      <w:r>
        <w:rPr>
          <w:rFonts w:ascii="Times New Roman" w:hAnsi="Times New Roman" w:eastAsia="Times New Roman" w:cs="Times New Roman"/>
        </w:rPr>
        <w:t xml:space="preserve"> 22 </w:t>
      </w:r>
      <w:r>
        <w:rPr>
          <w:rFonts w:ascii="Nirmala UI" w:hAnsi="Nirmala UI" w:eastAsia="Nirmala UI" w:cs="Nirmala UI"/>
        </w:rPr>
        <w:t>अक्टूबर</w:t>
      </w:r>
      <w:r>
        <w:rPr>
          <w:rFonts w:ascii="Times New Roman" w:hAnsi="Times New Roman" w:eastAsia="Times New Roman" w:cs="Times New Roman"/>
        </w:rPr>
        <w:t xml:space="preserve">, 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प्रगतिशील</w:t>
      </w:r>
      <w:r>
        <w:rPr>
          <w:rFonts w:ascii="Times New Roman" w:hAnsi="Times New Roman" w:eastAsia="Times New Roman" w:cs="Times New Roman"/>
        </w:rPr>
        <w:t xml:space="preserve"> </w:t>
      </w:r>
      <w:r>
        <w:rPr>
          <w:rFonts w:ascii="Nirmala UI" w:hAnsi="Nirmala UI" w:eastAsia="Nirmala UI" w:cs="Nirmala UI"/>
        </w:rPr>
        <w:t>ज्योतिमा</w:t>
      </w:r>
      <w:r>
        <w:rPr>
          <w:rFonts w:ascii="Times New Roman" w:hAnsi="Times New Roman" w:eastAsia="Times New Roman" w:cs="Times New Roman"/>
        </w:rPr>
        <w:t xml:space="preserve"> </w:t>
      </w:r>
      <w:r>
        <w:rPr>
          <w:rFonts w:ascii="Nirmala UI" w:hAnsi="Nirmala UI" w:eastAsia="Nirmala UI" w:cs="Nirmala UI"/>
        </w:rPr>
        <w:t>विश्वासद्वारा</w:t>
      </w:r>
      <w:r>
        <w:rPr>
          <w:rFonts w:ascii="Times New Roman" w:hAnsi="Times New Roman" w:eastAsia="Times New Roman" w:cs="Times New Roman"/>
        </w:rPr>
        <w:t xml:space="preserve"> </w:t>
      </w:r>
      <w:r>
        <w:rPr>
          <w:rFonts w:ascii="Nirmala UI" w:hAnsi="Nirmala UI" w:eastAsia="Nirmala UI" w:cs="Nirmala UI"/>
        </w:rPr>
        <w:t>हिँडिरहन</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राखेको</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येशूसँग</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अनन्त</w:t>
      </w:r>
      <w:r>
        <w:rPr>
          <w:rFonts w:ascii="Times New Roman" w:hAnsi="Times New Roman" w:eastAsia="Times New Roman" w:cs="Times New Roman"/>
        </w:rPr>
        <w:t xml:space="preserve"> </w:t>
      </w:r>
      <w:r>
        <w:rPr>
          <w:rFonts w:ascii="Nirmala UI" w:hAnsi="Nirmala UI" w:eastAsia="Nirmala UI" w:cs="Nirmala UI"/>
        </w:rPr>
        <w:t>निवासमा</w:t>
      </w:r>
      <w:r>
        <w:rPr>
          <w:rFonts w:ascii="Times New Roman" w:hAnsi="Times New Roman" w:eastAsia="Times New Roman" w:cs="Times New Roman"/>
        </w:rPr>
        <w:t xml:space="preserve"> </w:t>
      </w:r>
      <w:r>
        <w:rPr>
          <w:rFonts w:ascii="Nirmala UI" w:hAnsi="Nirmala UI" w:eastAsia="Nirmala UI" w:cs="Nirmala UI"/>
        </w:rPr>
        <w:t>पुगिसकेका</w:t>
      </w:r>
      <w:r>
        <w:rPr>
          <w:rFonts w:ascii="Times New Roman" w:hAnsi="Times New Roman" w:eastAsia="Times New Roman" w:cs="Times New Roman"/>
        </w:rPr>
        <w:t xml:space="preserve"> </w:t>
      </w:r>
      <w:r>
        <w:rPr>
          <w:rFonts w:ascii="Nirmala UI" w:hAnsi="Nirmala UI" w:eastAsia="Nirmala UI" w:cs="Nirmala UI"/>
        </w:rPr>
        <w:t>हुनेथिए।</w:t>
      </w:r>
      <w:r>
        <w:rPr>
          <w:rFonts w:ascii="Times New Roman" w:hAnsi="Times New Roman" w:eastAsia="Times New Roman" w:cs="Times New Roman"/>
        </w:rPr>
        <w:t xml:space="preserve"> </w:t>
      </w:r>
      <w:r>
        <w:rPr>
          <w:rFonts w:ascii="Nirmala UI" w:hAnsi="Nirmala UI" w:eastAsia="Nirmala UI" w:cs="Nirmala UI"/>
        </w:rPr>
        <w:t>यर्मियाले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दिनहरूपछि</w:t>
      </w:r>
      <w:r>
        <w:rPr>
          <w:rFonts w:ascii="Times New Roman" w:hAnsi="Times New Roman" w:eastAsia="Times New Roman" w:cs="Times New Roman"/>
        </w:rPr>
        <w:t xml:space="preserve">” </w:t>
      </w:r>
      <w:r>
        <w:rPr>
          <w:rFonts w:ascii="Nirmala UI" w:hAnsi="Nirmala UI" w:eastAsia="Nirmala UI" w:cs="Nirmala UI"/>
        </w:rPr>
        <w:t>भनेर</w:t>
      </w:r>
      <w:r>
        <w:rPr>
          <w:rFonts w:ascii="Times New Roman" w:hAnsi="Times New Roman" w:eastAsia="Times New Roman" w:cs="Times New Roman"/>
        </w:rPr>
        <w:t xml:space="preserve"> </w:t>
      </w:r>
      <w:r>
        <w:rPr>
          <w:rFonts w:ascii="Nirmala UI" w:hAnsi="Nirmala UI" w:eastAsia="Nirmala UI" w:cs="Nirmala UI"/>
        </w:rPr>
        <w:t>भन्नुको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दिनहरू</w:t>
      </w:r>
      <w:r>
        <w:rPr>
          <w:rFonts w:ascii="Times New Roman" w:hAnsi="Times New Roman" w:eastAsia="Times New Roman" w:cs="Times New Roman"/>
        </w:rPr>
        <w:t xml:space="preserve">” </w:t>
      </w:r>
      <w:r>
        <w:rPr>
          <w:rFonts w:ascii="Nirmala UI" w:hAnsi="Nirmala UI" w:eastAsia="Nirmala UI" w:cs="Nirmala UI"/>
        </w:rPr>
        <w:t>भनेका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अवधिहरू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1844 </w:t>
      </w:r>
      <w:r>
        <w:rPr>
          <w:rFonts w:ascii="Nirmala UI" w:hAnsi="Nirmala UI" w:eastAsia="Nirmala UI" w:cs="Nirmala UI"/>
        </w:rPr>
        <w:t>तर्फ</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w:t>
      </w:r>
      <w:r>
        <w:rPr>
          <w:rFonts w:ascii="Nirmala UI" w:hAnsi="Nirmala UI" w:eastAsia="Nirmala UI" w:cs="Nirmala UI"/>
        </w:rPr>
        <w:t>याए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आएर</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बाह्रले</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दिनहरू</w:t>
      </w:r>
      <w:r>
        <w:rPr>
          <w:rFonts w:ascii="Times New Roman" w:hAnsi="Times New Roman" w:eastAsia="Times New Roman" w:cs="Times New Roman"/>
        </w:rPr>
        <w:t xml:space="preserve">” </w:t>
      </w:r>
      <w:r>
        <w:rPr>
          <w:rFonts w:ascii="Nirmala UI" w:hAnsi="Nirmala UI" w:eastAsia="Nirmala UI" w:cs="Nirmala UI"/>
        </w:rPr>
        <w:t>हुन्।</w:t>
      </w:r>
    </w:p>
    <w:p>
      <w:pPr>
        <w:pStyle w:val="ArticleScripture"/>
        <w:jc w:val="left"/>
      </w:pPr>
      <w:r>
        <w:rPr>
          <w:rFonts w:ascii="Times New Roman" w:hAnsi="Times New Roman" w:eastAsia="Times New Roman" w:cs="Times New Roman"/>
        </w:rPr>
        <w:t>A kodwa hamba indlela yakho kuze kube sekupheleni; ngokuba uyakuphumula, ume esabelweni sakho ekupheleni kwezinsuku. Daniyeli 12:13.</w:t>
      </w:r>
    </w:p>
    <w:p>
      <w:pPr>
        <w:pStyle w:val="ArticleBody"/>
        <w:jc w:val="left"/>
      </w:pPr>
      <w:r>
        <w:rPr>
          <w:rFonts w:ascii="Times New Roman" w:hAnsi="Times New Roman" w:eastAsia="Times New Roman" w:cs="Times New Roman"/>
        </w:rPr>
        <w:t>À la « fin des jours », ou, comme le dit Jérémie, « après ces jours-là », Christ a eu dessein de mettre sa loi au dedans de son peuple et d’écrire sa loi sur les cœurs. Les parties intérieures étant la nature inférieure, ou, comme Paul l’appelle, la chair, et le cœur étant la nature supérieure. L’alliance promet de donner à son peuple un esprit nouveau lors de la conversion, et un corps nouveau lors de la Seconde Venue. L’homme est tombé avec Adam, qui fut créé à l’image de Dieu, et qui fut créé avec une nature supérieure et une nature inférieure. L’alliance du Christ consiste à racheter l’humanité, avec sa nature double, de la malédiction du péché.</w:t>
      </w:r>
    </w:p>
    <w:p>
      <w:pPr>
        <w:pStyle w:val="ArticleScripture"/>
        <w:jc w:val="left"/>
      </w:pPr>
      <w:r>
        <w:rPr>
          <w:rFonts w:ascii="Times New Roman" w:hAnsi="Times New Roman" w:eastAsia="Times New Roman" w:cs="Times New Roman"/>
        </w:rPr>
        <w:t>“Kɛɛ mɔɔliŋa tii a ndunyaa etoŋa mɛŋgbə, Nyaa laaŋa a yila ka a maŋtɔɔ a beŋ tɛɛlii nɛ a nɛɛlii mɔɔ. ‘Kɛɛ lɔɔ nɛ, mi yaa laaŋa maŋtɔɔ wɔn nɛ tɛɛlii boŋbii, nɛ saŋgbanii baŋgbii, nɛ tɛɛlii kpiikpii; nɛ mi yaa pɔɔrɔ pɛrɛ, nɛ kɔfii, nɛ yɔkɔyɔkɔ a ndunyaa nɛ; nɛ mi yaa wɔn kɛ ba laa siɛli nɛ aŋaŋa. Nɛ mi yaa kɔɔrɔ ŋ wɔɔn mi nɛ gbugbɔŋ; ee, mi yaa kɔɔrɔ ŋ wɔɔn mi nɛ tɔŋgbɔ, nɛ buuram, nɛ lɔbɔlɔbɔ, nɛ nɛɛsɛm. Mi yaa kɔɔrɔ ŋ wɔɔn mi nɛ sɔŋmaa; nɛ ŋ yaa mi Nyaa.’</w:t>
      </w:r>
    </w:p>
    <w:p>
      <w:pPr>
        <w:pStyle w:val="ArticleScripture"/>
        <w:jc w:val="left"/>
      </w:pPr>
      <w:r>
        <w:rPr>
          <w:rFonts w:ascii="Times New Roman" w:hAnsi="Times New Roman" w:eastAsia="Times New Roman" w:cs="Times New Roman"/>
        </w:rPr>
        <w:t>“‘E na oʻo mai foʻi i lea aso, ou te tali atu ai, ua fetalai mai ai le Aliʻi; ou te tali atu i le lagi, ma e tali mai le lagi i le lalolagi; ma e tali mai le lalolagi i le saito, ma le uaina, ma le suāuu; ma e tali mai ia mea iā Iesereelu. Ma ou te lūlūina o ia mo aʻu i le lalolagi; ma ou te alofa mutimutivale i lē e leʻi maua le alofa mutimutivale; ma ou te fai atu iā i latou sa lē o loʻu nuʻu, O outou o loʻu nuʻu; ona latou fai mai ai lea, O oe o loʻu Atua.’ Hosea 2:14-23.”</w:t>
      </w:r>
    </w:p>
    <w:p>
      <w:pPr>
        <w:pStyle w:val="ArticleScripture"/>
        <w:jc w:val="left"/>
      </w:pPr>
      <w:r>
        <w:rPr>
          <w:rFonts w:ascii="Times New Roman" w:hAnsi="Times New Roman" w:eastAsia="Times New Roman" w:cs="Times New Roman"/>
        </w:rPr>
        <w:t>“‘Ndziyisiwa kwalelo siku,... masalela ya Israele, ni lava va poneke va yindlu ya Yakobo,... va ta titshega hi Yehovha, Mukwetsimi wa Israele, hi ntiyiso.’ Esaya 10:20. Ku suka eka ‘matiko hinkwawo, ni tinxaka hinkwato, ni tindzimi hinkwato, ni vanhu hinkwavo’ ku ta va ni lava nga ta amukela hi ntsako rungula leri nge, ‘Chavani Xikwembu, mi xi twarisa; hikuva nkarhi wa vuavanyisi bya xona wu fikile.’ Va ta fularhela xikwembu xin’wana ni xin’wana lexi va bohelelaka emisaveni leyi, kutani va ta ‘gandzela loyi a endlaka tilo, ni misava, ni lwandle, ni swihlovo swa mati.’ Va ta titsunxa eka ku phasiwa kun’wana ni kun’wana, kutani va ta yima emahlweni ka misava tanihi switsundzuxo swa tintswalo ta Xikwembu. Hi ku yingisa xilaveko xin’wana ni xin’wana xa le tilweni, va ta tiviwa hi tintsumi ni hi vanhu tanihi lava ‘hlayisaka swileriso swa Xikwembu, ni ripfumelo ra Yesu.’ Nhlavutelo 14:6–7, 12.</w:t>
      </w:r>
    </w:p>
    <w:p>
      <w:pPr>
        <w:pStyle w:val="ArticleScripture"/>
        <w:jc w:val="left"/>
      </w:pPr>
      <w:r>
        <w:rPr>
          <w:rFonts w:ascii="Times New Roman" w:hAnsi="Times New Roman" w:eastAsia="Times New Roman" w:cs="Times New Roman"/>
        </w:rPr>
        <w:t>«Voici, les jours viennent, dit l’Éternel, où le laboureur atteindra le moissonneur, et celui qui foule le raisin celui qui répand la semence; les montagnes ruisselleront de moût, et toutes les collines se fondront. Je ramènerai les captifs de mon peuple d’Israël; ils rebâtiront les villes dévastées et les habiteront; ils planteront des vignes et en boiront le vin; ils établiront aussi des jardins et en mangeront les fruits. Je les planterai dans leur pays, et ils ne seront plus arrachés de leur pays que je leur ai donné, dit l’Éternel, ton Dieu. Amos 9:13–15.» Review and Herald, 26 février 1914.</w:t>
      </w:r>
    </w:p>
    <w:p>
      <w:pPr>
        <w:pStyle w:val="ArticleBody"/>
        <w:jc w:val="left"/>
      </w:pPr>
      <w:r>
        <w:rPr>
          <w:rFonts w:ascii="Times New Roman" w:hAnsi="Times New Roman" w:eastAsia="Times New Roman" w:cs="Times New Roman"/>
        </w:rPr>
        <w:t>Lorsque Jérémie dit « après ces jours-là », les « jours » qui ont précédé l’œuvre représentée par la venue soudaine de Christ dans son temple pour le purifier étaient les périodes prophétiques qui prirent fin en 1798 et en 1844. La fin de ces jours prophétiques (périodes) marqua les quarante-six années durant lesquelles Christ édifia le temple millérite, et lorsqu’Il vint soudainement le 22 octobre 1844, Il accomplissait le chapitre trois de Malachie, qu’Il accomplit également lorsqu’Il purifia le temple au commencement et à la fin de son ministère.</w:t>
      </w:r>
    </w:p>
    <w:p>
      <w:pPr>
        <w:pStyle w:val="ArticleScripture"/>
        <w:jc w:val="left"/>
      </w:pPr>
      <w:r>
        <w:rPr>
          <w:rFonts w:ascii="Times New Roman" w:hAnsi="Times New Roman" w:eastAsia="Times New Roman" w:cs="Times New Roman"/>
        </w:rPr>
        <w:t>“Lidhani mwa kutakasa hekalu na wanunuzi na wauzaji wa ulimwengu, Yesu alitangaza utume Wake wa kutakasa moyo kutokana na unajisi wa dhambi,—kutokana na tamaa za kidunia, matamanio ya ubinafsi, na mazoea maovu, yanayoiharibu nafsi. Malaki 3:1–3 imenukuliwa.” Tumaini la Vizazi Vyote, 161.</w:t>
      </w:r>
    </w:p>
    <w:p>
      <w:pPr>
        <w:pStyle w:val="ArticleBody"/>
        <w:jc w:val="left"/>
      </w:pPr>
      <w:r>
        <w:rPr>
          <w:rFonts w:ascii="Times New Roman" w:hAnsi="Times New Roman" w:eastAsia="Times New Roman" w:cs="Times New Roman"/>
        </w:rPr>
        <w:t>Et « après ces jours-là », Christ avait l’intention de purifier le temple qu’il avait édifié, lequel représentait son œuvre consistant à purifier le cœur de son peuple de la souillure du péché, ou, comme l’énonce Jérémie, à écrire sa loi dans les cœurs et au-dedans d’eux.</w:t>
      </w:r>
    </w:p>
    <w:p>
      <w:pPr>
        <w:pStyle w:val="ArticleScripture"/>
        <w:jc w:val="left"/>
      </w:pP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দোষ</w:t>
      </w:r>
      <w:r>
        <w:rPr>
          <w:rFonts w:ascii="Times New Roman" w:hAnsi="Times New Roman" w:eastAsia="Times New Roman" w:cs="Times New Roman"/>
        </w:rPr>
        <w:t xml:space="preserve"> </w:t>
      </w:r>
      <w:r>
        <w:rPr>
          <w:rFonts w:ascii="Nirmala UI" w:hAnsi="Nirmala UI" w:eastAsia="Nirmala UI" w:cs="Nirmala UI"/>
        </w:rPr>
        <w:t>ধরিয়া</w:t>
      </w:r>
      <w:r>
        <w:rPr>
          <w:rFonts w:ascii="Times New Roman" w:hAnsi="Times New Roman" w:eastAsia="Times New Roman" w:cs="Times New Roman"/>
        </w:rPr>
        <w:t xml:space="preserve"> </w:t>
      </w:r>
      <w:r>
        <w:rPr>
          <w:rFonts w:ascii="Nirmala UI" w:hAnsi="Nirmala UI" w:eastAsia="Nirmala UI" w:cs="Nirmala UI"/>
        </w:rPr>
        <w:t>বলেন</w:t>
      </w:r>
      <w:r>
        <w:rPr>
          <w:rFonts w:ascii="Times New Roman" w:hAnsi="Times New Roman" w:eastAsia="Times New Roman" w:cs="Times New Roman"/>
        </w:rPr>
        <w:t>,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আসিতেছে</w:t>
      </w:r>
      <w:r>
        <w:rPr>
          <w:rFonts w:ascii="Times New Roman" w:hAnsi="Times New Roman" w:eastAsia="Times New Roman" w:cs="Times New Roman"/>
        </w:rPr>
        <w:t xml:space="preserve">,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বলেন</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ইস্রায়েলের</w:t>
      </w:r>
      <w:r>
        <w:rPr>
          <w:rFonts w:ascii="Times New Roman" w:hAnsi="Times New Roman" w:eastAsia="Times New Roman" w:cs="Times New Roman"/>
        </w:rPr>
        <w:t xml:space="preserve"> </w:t>
      </w:r>
      <w:r>
        <w:rPr>
          <w:rFonts w:ascii="Nirmala UI" w:hAnsi="Nirmala UI" w:eastAsia="Nirmala UI" w:cs="Nirmala UI"/>
        </w:rPr>
        <w:t>গৃহের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যিহূদার</w:t>
      </w:r>
      <w:r>
        <w:rPr>
          <w:rFonts w:ascii="Times New Roman" w:hAnsi="Times New Roman" w:eastAsia="Times New Roman" w:cs="Times New Roman"/>
        </w:rPr>
        <w:t xml:space="preserve"> </w:t>
      </w:r>
      <w:r>
        <w:rPr>
          <w:rFonts w:ascii="Nirmala UI" w:hAnsi="Nirmala UI" w:eastAsia="Nirmala UI" w:cs="Nirmala UI"/>
        </w:rPr>
        <w:t>গৃহের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নূতন</w:t>
      </w:r>
      <w:r>
        <w:rPr>
          <w:rFonts w:ascii="Times New Roman" w:hAnsi="Times New Roman" w:eastAsia="Times New Roman" w:cs="Times New Roman"/>
        </w:rPr>
        <w:t xml:space="preserve"> </w:t>
      </w:r>
      <w:r>
        <w:rPr>
          <w:rFonts w:ascii="Nirmala UI" w:hAnsi="Nirmala UI" w:eastAsia="Nirmala UI" w:cs="Nirmala UI"/>
        </w:rPr>
        <w:t>নিয়ম</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নিয়মের</w:t>
      </w:r>
      <w:r>
        <w:rPr>
          <w:rFonts w:ascii="Times New Roman" w:hAnsi="Times New Roman" w:eastAsia="Times New Roman" w:cs="Times New Roman"/>
        </w:rPr>
        <w:t xml:space="preserve"> </w:t>
      </w:r>
      <w:r>
        <w:rPr>
          <w:rFonts w:ascii="Nirmala UI" w:hAnsi="Nirmala UI" w:eastAsia="Nirmala UI" w:cs="Nirmala UI"/>
        </w:rPr>
        <w:t>অনুরূপ</w:t>
      </w:r>
      <w:r>
        <w:rPr>
          <w:rFonts w:ascii="Times New Roman" w:hAnsi="Times New Roman" w:eastAsia="Times New Roman" w:cs="Times New Roman"/>
        </w:rPr>
        <w:t xml:space="preserve"> </w:t>
      </w:r>
      <w:r>
        <w:rPr>
          <w:rFonts w:ascii="Nirmala UI" w:hAnsi="Nirmala UI" w:eastAsia="Nirmala UI" w:cs="Nirmala UI"/>
        </w:rPr>
        <w:t>নহে</w:t>
      </w:r>
      <w:r>
        <w:rPr>
          <w:rFonts w:ascii="Times New Roman" w:hAnsi="Times New Roman" w:eastAsia="Times New Roman" w:cs="Times New Roman"/>
        </w:rPr>
        <w:t xml:space="preserve">, </w:t>
      </w:r>
      <w:r>
        <w:rPr>
          <w:rFonts w:ascii="Nirmala UI" w:hAnsi="Nirmala UI" w:eastAsia="Nirmala UI" w:cs="Nirmala UI"/>
        </w:rPr>
        <w:t>যাহা</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পিতৃপুরুষদের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করিয়াছিলাম</w:t>
      </w:r>
      <w:r>
        <w:rPr>
          <w:rFonts w:ascii="Times New Roman" w:hAnsi="Times New Roman" w:eastAsia="Times New Roman" w:cs="Times New Roman"/>
        </w:rPr>
        <w:t xml:space="preserve">, </w:t>
      </w:r>
      <w:r>
        <w:rPr>
          <w:rFonts w:ascii="Nirmala UI" w:hAnsi="Nirmala UI" w:eastAsia="Nirmala UI" w:cs="Nirmala UI"/>
        </w:rPr>
        <w:t>যেদিন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ধরিয়া</w:t>
      </w:r>
      <w:r>
        <w:rPr>
          <w:rFonts w:ascii="Times New Roman" w:hAnsi="Times New Roman" w:eastAsia="Times New Roman" w:cs="Times New Roman"/>
        </w:rPr>
        <w:t xml:space="preserve"> </w:t>
      </w:r>
      <w:r>
        <w:rPr>
          <w:rFonts w:ascii="Nirmala UI" w:hAnsi="Nirmala UI" w:eastAsia="Nirmala UI" w:cs="Nirmala UI"/>
        </w:rPr>
        <w:t>মিশরদেশ</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বাহির</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আনিবার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লইয়া</w:t>
      </w:r>
      <w:r>
        <w:rPr>
          <w:rFonts w:ascii="Times New Roman" w:hAnsi="Times New Roman" w:eastAsia="Times New Roman" w:cs="Times New Roman"/>
        </w:rPr>
        <w:t xml:space="preserve"> </w:t>
      </w:r>
      <w:r>
        <w:rPr>
          <w:rFonts w:ascii="Nirmala UI" w:hAnsi="Nirmala UI" w:eastAsia="Nirmala UI" w:cs="Nirmala UI"/>
        </w:rPr>
        <w:t>গিয়াছিলাম</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নিয়মে</w:t>
      </w:r>
      <w:r>
        <w:rPr>
          <w:rFonts w:ascii="Times New Roman" w:hAnsi="Times New Roman" w:eastAsia="Times New Roman" w:cs="Times New Roman"/>
        </w:rPr>
        <w:t xml:space="preserve"> </w:t>
      </w:r>
      <w:r>
        <w:rPr>
          <w:rFonts w:ascii="Nirmala UI" w:hAnsi="Nirmala UI" w:eastAsia="Nirmala UI" w:cs="Nirmala UI"/>
        </w:rPr>
        <w:t>স্থির</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আমিও</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দৃষ্টি</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বলেন।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ইস্রায়েলের</w:t>
      </w:r>
      <w:r>
        <w:rPr>
          <w:rFonts w:ascii="Times New Roman" w:hAnsi="Times New Roman" w:eastAsia="Times New Roman" w:cs="Times New Roman"/>
        </w:rPr>
        <w:t xml:space="preserve"> </w:t>
      </w:r>
      <w:r>
        <w:rPr>
          <w:rFonts w:ascii="Nirmala UI" w:hAnsi="Nirmala UI" w:eastAsia="Nirmala UI" w:cs="Nirmala UI"/>
        </w:rPr>
        <w:t>গৃহের</w:t>
      </w:r>
      <w:r>
        <w:rPr>
          <w:rFonts w:ascii="Times New Roman" w:hAnsi="Times New Roman" w:eastAsia="Times New Roman" w:cs="Times New Roman"/>
        </w:rPr>
        <w:t xml:space="preserve"> </w:t>
      </w:r>
      <w:r>
        <w:rPr>
          <w:rFonts w:ascii="Nirmala UI" w:hAnsi="Nirmala UI" w:eastAsia="Nirmala UI" w:cs="Nirmala UI"/>
        </w:rPr>
        <w:t>সহিত</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নিয়ম</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বলেন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ব্যবস্থা</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মনে</w:t>
      </w:r>
      <w:r>
        <w:rPr>
          <w:rFonts w:ascii="Times New Roman" w:hAnsi="Times New Roman" w:eastAsia="Times New Roman" w:cs="Times New Roman"/>
        </w:rPr>
        <w:t xml:space="preserve"> </w:t>
      </w:r>
      <w:r>
        <w:rPr>
          <w:rFonts w:ascii="Nirmala UI" w:hAnsi="Nirmala UI" w:eastAsia="Nirmala UI" w:cs="Nirmala UI"/>
        </w:rPr>
        <w:t>স্থাপন</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হৃদয়ে</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লিখিব</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প্রজা</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ইব্রীয়</w:t>
      </w:r>
      <w:r>
        <w:rPr>
          <w:rFonts w:ascii="Times New Roman" w:hAnsi="Times New Roman" w:eastAsia="Times New Roman" w:cs="Times New Roman"/>
        </w:rPr>
        <w:t xml:space="preserve"> 8:8–10</w:t>
      </w:r>
      <w:r>
        <w:rPr>
          <w:rFonts w:ascii="Nirmala UI" w:hAnsi="Nirmala UI" w:eastAsia="Nirmala UI" w:cs="Nirmala UI"/>
        </w:rPr>
        <w:t>।</w:t>
      </w:r>
    </w:p>
    <w:p>
      <w:pPr>
        <w:pStyle w:val="ArticleBody"/>
        <w:jc w:val="left"/>
      </w:pPr>
      <w:r>
        <w:rPr>
          <w:rFonts w:ascii="Times New Roman" w:hAnsi="Times New Roman" w:eastAsia="Times New Roman" w:cs="Times New Roman"/>
        </w:rPr>
        <w:t>“Those days” mots furent les “fin des jours” de Daniel, qui s’achevèrent en 1798 et en 1844. La ligne de la corne protestante qui commence en 1798, au verset quarante de Daniel onze, met l’accent sur la relation d’alliance établie avec les cent quarante-quatre mille. Le mot hébreu “lot” désigne une petite pierre utilisée pour déterminer la destinée de quelqu’un. Il fut dit à Daniel de s’en aller et de se reposer (dans la mort) jusqu’à “la fin des jours”, lorsque, en 1844, le jugement commencerait et que sa destinée serait déterminée.</w:t>
      </w:r>
    </w:p>
    <w:p>
      <w:pPr>
        <w:pStyle w:val="ArticleScripture"/>
        <w:jc w:val="left"/>
      </w:pPr>
      <w:r>
        <w:rPr>
          <w:rFonts w:ascii="Times New Roman" w:hAnsi="Times New Roman" w:eastAsia="Times New Roman" w:cs="Times New Roman"/>
        </w:rPr>
        <w:t>Mais va, toi, jusqu’à la fin; car tu te reposeras, et tu te tiendras dans ton lot à la fin des jours. Daniel 12:13.</w:t>
      </w:r>
    </w:p>
    <w:p>
      <w:pPr>
        <w:pStyle w:val="ArticleBody"/>
        <w:jc w:val="left"/>
      </w:pPr>
      <w:r>
        <w:rPr>
          <w:rFonts w:ascii="Times New Roman" w:hAnsi="Times New Roman" w:eastAsia="Times New Roman" w:cs="Times New Roman"/>
        </w:rPr>
        <w:t>Die „Tage“ des „Endes der Tage“ bezeichnen die Zeitweissagungen, die im Jahr 1844 endeten; denn danach sollte prophetische Zeit nicht mehr sein. Die zweitausenddreihundert Jahre, welche die Marah-Vision waren, das heißt das plötzliche Erscheinen Christi in seinem Heiligtum, endeten damals ebenfalls; ebenso endeten die zweitausendfünfhundertzwanzig Jahre der letzten Entrüstung, so wie die Tage der ersten Entrüstung zur Zeit des Endes im Jahr 1798 geendet hatten. „Nach jenen Tagen“, worauf Jeremia sich bezog, wurde danach von Paulus aufgegriffen. Paulus nimmt zweimal auf Jeremias „nach jenen Tagen“ Bezug; denn Paulus behandelt nicht lediglich den Bund, der „nach jenen Tagen“ eingesetzt werden sollte, sondern vor allem kennzeichnet er das Werk Christi als Hoherpriester.</w:t>
      </w:r>
    </w:p>
    <w:p>
      <w:pPr>
        <w:pStyle w:val="ArticleScripture"/>
        <w:jc w:val="left"/>
      </w:pPr>
      <w:r>
        <w:rPr>
          <w:rFonts w:ascii="Times New Roman" w:hAnsi="Times New Roman" w:eastAsia="Times New Roman" w:cs="Times New Roman"/>
        </w:rPr>
        <w:t>Car par une seule offrande il a rendu parfaits à perpétuité ceux qui sont sanctifiés. Et le Saint-Esprit aussi nous en rend témoignage; car, après avoir dit auparavant: Voici l’alliance que je ferai avec eux après ces jours-là, dit le Seigneur: Je mettrai mes lois dans leurs cœurs, et je les écrirai dans leur esprit; et je ne me souviendrai plus de leurs péchés ni de leurs iniquités. Or, là où il y a rémission de ces choses, il n’y a plus d’offrande pour le péché. Ayant donc, frères, l’assurance d’entrer dans le lieu très saint par le sang de Jésus, par une voie nouvelle et vivante, qu’il a consacrée pour nous à travers le voile, c’est-à-dire sa chair; et ayant un grand prêtre établi sur la maison de Dieu. Hébreux 10:14–21.</w:t>
      </w:r>
    </w:p>
    <w:p>
      <w:pPr>
        <w:pStyle w:val="ArticleBody"/>
        <w:jc w:val="left"/>
      </w:pPr>
      <w:r>
        <w:rPr>
          <w:rFonts w:ascii="Times New Roman" w:hAnsi="Times New Roman" w:eastAsia="Times New Roman" w:cs="Times New Roman"/>
        </w:rPr>
        <w:t>Duiwatahundred na baynte katuig nga nagdugtong sa tagna sang marah nga panan-awon sang pagpakita ni Cristo, sa tagna nga duha ka libo lima ka gatos kag baynte katuig sang chazon nga panan-awon sang tagnaon nga kasaysayan, nagatali ukon nagadugtong sang sinugdanan sang sadtong duha ka tagnaon nga mga tinion paagi sa isa ka simboliko nga kadugtongan nga nagarepresentar sang paghiusa sang katawohan kag pagka-Dios, nga amo ang buluhaton nga ginatuman ni Cristo sa paghinlo nga nagakatabo sa tion sang lihok sang ikatlo nga anghel, kag nagahingyo sa katipan nga Iya ginhimo sa isa ka gatos kag kap-atan kag apat ka libo.</w:t>
      </w:r>
    </w:p>
    <w:p>
      <w:pPr>
        <w:pStyle w:val="ArticleBody"/>
        <w:jc w:val="left"/>
      </w:pP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चिन्हन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chazon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मन्दिरक</w:t>
      </w:r>
      <w:r>
        <w:rPr>
          <w:rFonts w:ascii="Times New Roman" w:hAnsi="Times New Roman" w:eastAsia="Times New Roman" w:cs="Times New Roman"/>
        </w:rPr>
        <w:t xml:space="preserve"> </w:t>
      </w:r>
      <w:r>
        <w:rPr>
          <w:rFonts w:ascii="Nirmala UI" w:hAnsi="Nirmala UI" w:eastAsia="Nirmala UI" w:cs="Nirmala UI"/>
        </w:rPr>
        <w:t>रौंदल</w:t>
      </w:r>
      <w:r>
        <w:rPr>
          <w:rFonts w:ascii="Times New Roman" w:hAnsi="Times New Roman" w:eastAsia="Times New Roman" w:cs="Times New Roman"/>
        </w:rPr>
        <w:t xml:space="preserve"> </w:t>
      </w:r>
      <w:r>
        <w:rPr>
          <w:rFonts w:ascii="Nirmala UI" w:hAnsi="Nirmala UI" w:eastAsia="Nirmala UI" w:cs="Nirmala UI"/>
        </w:rPr>
        <w:t>जाएब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देखबैत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मानवजातिक</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अवस्थाक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पापक</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रौंदल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आदमक</w:t>
      </w:r>
      <w:r>
        <w:rPr>
          <w:rFonts w:ascii="Times New Roman" w:hAnsi="Times New Roman" w:eastAsia="Times New Roman" w:cs="Times New Roman"/>
        </w:rPr>
        <w:t xml:space="preserve"> </w:t>
      </w:r>
      <w:r>
        <w:rPr>
          <w:rFonts w:ascii="Nirmala UI" w:hAnsi="Nirmala UI" w:eastAsia="Nirmala UI" w:cs="Nirmala UI"/>
        </w:rPr>
        <w:t>अदनक</w:t>
      </w:r>
      <w:r>
        <w:rPr>
          <w:rFonts w:ascii="Times New Roman" w:hAnsi="Times New Roman" w:eastAsia="Times New Roman" w:cs="Times New Roman"/>
        </w:rPr>
        <w:t xml:space="preserve"> </w:t>
      </w:r>
      <w:r>
        <w:rPr>
          <w:rFonts w:ascii="Nirmala UI" w:hAnsi="Nirmala UI" w:eastAsia="Nirmala UI" w:cs="Nirmala UI"/>
        </w:rPr>
        <w:t>बागमे</w:t>
      </w:r>
      <w:r>
        <w:rPr>
          <w:rFonts w:ascii="Times New Roman" w:hAnsi="Times New Roman" w:eastAsia="Times New Roman" w:cs="Times New Roman"/>
        </w:rPr>
        <w:t xml:space="preserve"> </w:t>
      </w:r>
      <w:r>
        <w:rPr>
          <w:rFonts w:ascii="Nirmala UI" w:hAnsi="Nirmala UI" w:eastAsia="Nirmala UI" w:cs="Nirmala UI"/>
        </w:rPr>
        <w:t>विद्रोहक</w:t>
      </w:r>
      <w:r>
        <w:rPr>
          <w:rFonts w:ascii="Times New Roman" w:hAnsi="Times New Roman" w:eastAsia="Times New Roman" w:cs="Times New Roman"/>
        </w:rPr>
        <w:t xml:space="preserve"> </w:t>
      </w:r>
      <w:r>
        <w:rPr>
          <w:rFonts w:ascii="Nirmala UI" w:hAnsi="Nirmala UI" w:eastAsia="Nirmala UI" w:cs="Nirmala UI"/>
        </w:rPr>
        <w:t>कालसँ</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marah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ओहि</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मसीहक</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पुनर्स्थापित</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करबाक</w:t>
      </w:r>
      <w:r>
        <w:rPr>
          <w:rFonts w:ascii="Times New Roman" w:hAnsi="Times New Roman" w:eastAsia="Times New Roman" w:cs="Times New Roman"/>
        </w:rPr>
        <w:t xml:space="preserve"> </w:t>
      </w:r>
      <w:r>
        <w:rPr>
          <w:rFonts w:ascii="Nirmala UI" w:hAnsi="Nirmala UI" w:eastAsia="Nirmala UI" w:cs="Nirmala UI"/>
        </w:rPr>
        <w:t>काज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देखबैत</w:t>
      </w:r>
      <w:r>
        <w:rPr>
          <w:rFonts w:ascii="Times New Roman" w:hAnsi="Times New Roman" w:eastAsia="Times New Roman" w:cs="Times New Roman"/>
        </w:rPr>
        <w:t xml:space="preserve"> </w:t>
      </w:r>
      <w:r>
        <w:rPr>
          <w:rFonts w:ascii="Nirmala UI" w:hAnsi="Nirmala UI" w:eastAsia="Nirmala UI" w:cs="Nirmala UI"/>
        </w:rPr>
        <w:t>अछि</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22 </w:t>
      </w:r>
      <w:r>
        <w:rPr>
          <w:rFonts w:ascii="Nirmala UI" w:hAnsi="Nirmala UI" w:eastAsia="Nirmala UI" w:cs="Nirmala UI"/>
        </w:rPr>
        <w:t>अक्टूबर</w:t>
      </w:r>
      <w:r>
        <w:rPr>
          <w:rFonts w:ascii="Times New Roman" w:hAnsi="Times New Roman" w:eastAsia="Times New Roman" w:cs="Times New Roman"/>
        </w:rPr>
        <w:t xml:space="preserve">, 1844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कोपक</w:t>
      </w:r>
      <w:r>
        <w:rPr>
          <w:rFonts w:ascii="Times New Roman" w:hAnsi="Times New Roman" w:eastAsia="Times New Roman" w:cs="Times New Roman"/>
        </w:rPr>
        <w:t xml:space="preserve"> </w:t>
      </w:r>
      <w:r>
        <w:rPr>
          <w:rFonts w:ascii="Nirmala UI" w:hAnsi="Nirmala UI" w:eastAsia="Nirmala UI" w:cs="Nirmala UI"/>
        </w:rPr>
        <w:t>दुइटा</w:t>
      </w:r>
      <w:r>
        <w:rPr>
          <w:rFonts w:ascii="Times New Roman" w:hAnsi="Times New Roman" w:eastAsia="Times New Roman" w:cs="Times New Roman"/>
        </w:rPr>
        <w:t xml:space="preserve"> </w:t>
      </w:r>
      <w:r>
        <w:rPr>
          <w:rFonts w:ascii="Nirmala UI" w:hAnsi="Nirmala UI" w:eastAsia="Nirmala UI" w:cs="Nirmala UI"/>
        </w:rPr>
        <w:t>पच्चीस</w:t>
      </w:r>
      <w:r>
        <w:rPr>
          <w:rFonts w:ascii="Times New Roman" w:hAnsi="Times New Roman" w:eastAsia="Times New Roman" w:cs="Times New Roman"/>
        </w:rPr>
        <w:t>-</w:t>
      </w:r>
      <w:r>
        <w:rPr>
          <w:rFonts w:ascii="Nirmala UI" w:hAnsi="Nirmala UI" w:eastAsia="Nirmala UI" w:cs="Nirmala UI"/>
        </w:rPr>
        <w:t>सए</w:t>
      </w:r>
      <w:r>
        <w:rPr>
          <w:rFonts w:ascii="Times New Roman" w:hAnsi="Times New Roman" w:eastAsia="Times New Roman" w:cs="Times New Roman"/>
        </w:rPr>
        <w:t>-</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छथि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सैन्यदल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पवित्रस्थानक</w:t>
      </w:r>
      <w:r>
        <w:rPr>
          <w:rFonts w:ascii="Times New Roman" w:hAnsi="Times New Roman" w:eastAsia="Times New Roman" w:cs="Times New Roman"/>
        </w:rPr>
        <w:t xml:space="preserve"> </w:t>
      </w:r>
      <w:r>
        <w:rPr>
          <w:rFonts w:ascii="Nirmala UI" w:hAnsi="Nirmala UI" w:eastAsia="Nirmala UI" w:cs="Nirmala UI"/>
        </w:rPr>
        <w:t>रौंदल</w:t>
      </w:r>
      <w:r>
        <w:rPr>
          <w:rFonts w:ascii="Times New Roman" w:hAnsi="Times New Roman" w:eastAsia="Times New Roman" w:cs="Times New Roman"/>
        </w:rPr>
        <w:t xml:space="preserve"> </w:t>
      </w:r>
      <w:r>
        <w:rPr>
          <w:rFonts w:ascii="Nirmala UI" w:hAnsi="Nirmala UI" w:eastAsia="Nirmala UI" w:cs="Nirmala UI"/>
        </w:rPr>
        <w:t>जाएबक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छथि।</w:t>
      </w:r>
    </w:p>
    <w:p>
      <w:pPr>
        <w:pStyle w:val="ArticleBody"/>
        <w:jc w:val="left"/>
      </w:pPr>
      <w:r>
        <w:rPr>
          <w:rFonts w:ascii="Times New Roman" w:hAnsi="Times New Roman" w:eastAsia="Times New Roman" w:cs="Times New Roman"/>
        </w:rPr>
        <w:t>Na biyu daga cikin waɗannan annabce-annabcen suna wakiltar takawa ƙasa ga ’yan Adam, wadda za a mai da ita ta wurin hangen nesa na marah. Waɗannan fushin biyu na Allah a kan mutanensa suna wakiltar fushin da yake a kan ɗan Adam da ya fāɗi, wanda aikin Almasihu kaɗai ne zai cece shi ya kuma maido da shi, ta wurin sāke gini da tsarkake haikalin da ya fāɗi.</w:t>
      </w:r>
    </w:p>
    <w:p>
      <w:pPr>
        <w:pStyle w:val="ArticleBody"/>
        <w:jc w:val="left"/>
      </w:pPr>
      <w:r>
        <w:rPr>
          <w:rFonts w:ascii="Times New Roman" w:hAnsi="Times New Roman" w:eastAsia="Times New Roman" w:cs="Times New Roman"/>
        </w:rPr>
        <w:t>Les deux indignations représentent la nature supérieure et la nature inférieure de l’humanité. Lors de la chute d’Adam, la nature inférieure prit la suprématie sur la nature supérieure, tandis que le dessein de Christ pour les hommes était que la nature supérieure dominât la nature inférieure. Lors de la chute d’Adam, la nature supérieure tomba sous les convoitises de la nature inférieure, et le dessein de Dieu fut renversé. C’est là ce que l’on entend par la « conversion » biblique. Être converti signifie que la nature supérieure est rétablie dans sa position de gouvernement sur la nature inférieure. Convertir signifie renverser, ou mettre sens dessus dessous.</w:t>
      </w:r>
    </w:p>
    <w:p>
      <w:pPr>
        <w:pStyle w:val="ArticleBody"/>
        <w:jc w:val="left"/>
      </w:pPr>
      <w:r>
        <w:rPr>
          <w:rFonts w:ascii="Times New Roman" w:hAnsi="Times New Roman" w:eastAsia="Times New Roman" w:cs="Times New Roman"/>
        </w:rPr>
        <w:t>L’indignation première contre le royaume du nord fut l’indignation contre la nature inférieure, qui, lors de la chute, assujettit la nature supérieure. Cette indignation vint d’abord, car le Christ entreprit l’œuvre de la rédemption précisément là où elle avait commencé en premier lieu, et elle avait commencé par la convoitise de la nature inférieure, laquelle était la convoitise de l’appétit. Le Christ commença Son œuvre par quarante jours de jeûne.</w:t>
      </w:r>
    </w:p>
    <w:p>
      <w:pPr>
        <w:pStyle w:val="ArticleScripture"/>
        <w:jc w:val="left"/>
      </w:pPr>
      <w:r>
        <w:rPr>
          <w:rFonts w:ascii="Times New Roman" w:hAnsi="Times New Roman" w:eastAsia="Times New Roman" w:cs="Times New Roman"/>
        </w:rPr>
        <w:t>“Christ savait que, pour mener à bien le plan du salut, Il devait commencer l’œuvre de la rédemption de l’homme précisément là où la ruine avait commencé. Adam est tombé par l’indulgence de l’appétit. Afin d’imprimer à l’homme ses obligations d’obéir à la loi de Dieu, Christ commença Son œuvre de rédemption en réformant les habitudes physiques de l’homme. Le déclin de la vertu et la dégénérescence de la race sont principalement attribuables à l’indulgence d’un appétit perverti.” Testimonies, volume 3, 486.</w:t>
      </w:r>
    </w:p>
    <w:p>
      <w:pPr>
        <w:pStyle w:val="ArticleBody"/>
        <w:jc w:val="left"/>
      </w:pPr>
      <w:r>
        <w:rPr>
          <w:rFonts w:ascii="Microsoft YaHei" w:hAnsi="Microsoft YaHei" w:eastAsia="Microsoft YaHei" w:cs="Microsoft YaHei"/>
        </w:rPr>
        <w:t>第二</w:t>
      </w:r>
      <w:r>
        <w:rPr>
          <w:rFonts w:ascii="MS Gothic" w:hAnsi="MS Gothic" w:eastAsia="MS Gothic" w:cs="MS Gothic"/>
        </w:rPr>
        <w:t>の</w:t>
      </w:r>
      <w:r>
        <w:rPr>
          <w:rFonts w:ascii="Microsoft YaHei" w:hAnsi="Microsoft YaHei" w:eastAsia="Microsoft YaHei" w:cs="Microsoft YaHei"/>
        </w:rPr>
        <w:t>憤</w:t>
      </w:r>
      <w:r>
        <w:rPr>
          <w:rFonts w:ascii="MS Gothic" w:hAnsi="MS Gothic" w:eastAsia="MS Gothic" w:cs="MS Gothic"/>
        </w:rPr>
        <w:t>りは</w:t>
      </w:r>
      <w:r>
        <w:rPr>
          <w:rFonts w:ascii="Microsoft YaHei" w:hAnsi="Microsoft YaHei" w:eastAsia="Microsoft YaHei" w:cs="Microsoft YaHei"/>
        </w:rPr>
        <w:t>、</w:t>
      </w:r>
      <w:r>
        <w:rPr>
          <w:rFonts w:ascii="MS Gothic" w:hAnsi="MS Gothic" w:eastAsia="MS Gothic" w:cs="MS Gothic"/>
        </w:rPr>
        <w:t>エルサレムの</w:t>
      </w:r>
      <w:r>
        <w:rPr>
          <w:rFonts w:ascii="Microsoft YaHei" w:hAnsi="Microsoft YaHei" w:eastAsia="Microsoft YaHei" w:cs="Microsoft YaHei"/>
        </w:rPr>
        <w:t>所在</w:t>
      </w:r>
      <w:r>
        <w:rPr>
          <w:rFonts w:ascii="MS Gothic" w:hAnsi="MS Gothic" w:eastAsia="MS Gothic" w:cs="MS Gothic"/>
        </w:rPr>
        <w:t>する</w:t>
      </w:r>
      <w:r>
        <w:rPr>
          <w:rFonts w:ascii="Microsoft YaHei" w:hAnsi="Microsoft YaHei" w:eastAsia="Microsoft YaHei" w:cs="Microsoft YaHei"/>
        </w:rPr>
        <w:t>南王国</w:t>
      </w:r>
      <w:r>
        <w:rPr>
          <w:rFonts w:ascii="MS Gothic" w:hAnsi="MS Gothic" w:eastAsia="MS Gothic" w:cs="MS Gothic"/>
        </w:rPr>
        <w:t>によって</w:t>
      </w:r>
      <w:r>
        <w:rPr>
          <w:rFonts w:ascii="Microsoft YaHei" w:hAnsi="Microsoft YaHei" w:eastAsia="Microsoft YaHei" w:cs="Microsoft YaHei"/>
        </w:rPr>
        <w:t>表</w:t>
      </w:r>
      <w:r>
        <w:rPr>
          <w:rFonts w:ascii="MS Gothic" w:hAnsi="MS Gothic" w:eastAsia="MS Gothic" w:cs="MS Gothic"/>
        </w:rPr>
        <w:t>される</w:t>
      </w:r>
      <w:r>
        <w:rPr>
          <w:rFonts w:ascii="Microsoft YaHei" w:hAnsi="Microsoft YaHei" w:eastAsia="Microsoft YaHei" w:cs="Microsoft YaHei"/>
        </w:rPr>
        <w:t>、</w:t>
      </w:r>
      <w:r>
        <w:rPr>
          <w:rFonts w:ascii="MS Gothic" w:hAnsi="MS Gothic" w:eastAsia="MS Gothic" w:cs="MS Gothic"/>
        </w:rPr>
        <w:t>より</w:t>
      </w:r>
      <w:r>
        <w:rPr>
          <w:rFonts w:ascii="Microsoft YaHei" w:hAnsi="Microsoft YaHei" w:eastAsia="Microsoft YaHei" w:cs="Microsoft YaHei"/>
        </w:rPr>
        <w:t>高</w:t>
      </w:r>
      <w:r>
        <w:rPr>
          <w:rFonts w:ascii="MS Gothic" w:hAnsi="MS Gothic" w:eastAsia="MS Gothic" w:cs="MS Gothic"/>
        </w:rPr>
        <w:t>い</w:t>
      </w:r>
      <w:r>
        <w:rPr>
          <w:rFonts w:ascii="Microsoft YaHei" w:hAnsi="Microsoft YaHei" w:eastAsia="Microsoft YaHei" w:cs="Microsoft YaHei"/>
        </w:rPr>
        <w:t>性質</w:t>
      </w:r>
      <w:r>
        <w:rPr>
          <w:rFonts w:ascii="MS Gothic" w:hAnsi="MS Gothic" w:eastAsia="MS Gothic" w:cs="MS Gothic"/>
        </w:rPr>
        <w:t>に</w:t>
      </w:r>
      <w:r>
        <w:rPr>
          <w:rFonts w:ascii="Microsoft YaHei" w:hAnsi="Microsoft YaHei" w:eastAsia="Microsoft YaHei" w:cs="Microsoft YaHei"/>
        </w:rPr>
        <w:t>対</w:t>
      </w:r>
      <w:r>
        <w:rPr>
          <w:rFonts w:ascii="MS Gothic" w:hAnsi="MS Gothic" w:eastAsia="MS Gothic" w:cs="MS Gothic"/>
        </w:rPr>
        <w:t>するものであった</w:t>
      </w:r>
      <w:r>
        <w:rPr>
          <w:rFonts w:ascii="Times New Roman" w:hAnsi="Times New Roman" w:eastAsia="Times New Roman" w:cs="Times New Roman"/>
        </w:rPr>
        <w:t>.</w:t>
      </w:r>
      <w:r>
        <w:rPr>
          <w:rFonts w:ascii="MS Gothic" w:hAnsi="MS Gothic" w:eastAsia="MS Gothic" w:cs="MS Gothic"/>
        </w:rPr>
        <w:t>エルサレムは</w:t>
      </w:r>
      <w:r>
        <w:rPr>
          <w:rFonts w:ascii="Microsoft YaHei" w:hAnsi="Microsoft YaHei" w:eastAsia="Microsoft YaHei" w:cs="Microsoft YaHei"/>
        </w:rPr>
        <w:t>、神</w:t>
      </w:r>
      <w:r>
        <w:rPr>
          <w:rFonts w:ascii="MS Gothic" w:hAnsi="MS Gothic" w:eastAsia="MS Gothic" w:cs="MS Gothic"/>
        </w:rPr>
        <w:t>が</w:t>
      </w:r>
      <w:r>
        <w:rPr>
          <w:rFonts w:ascii="Microsoft YaHei" w:hAnsi="Microsoft YaHei" w:eastAsia="Microsoft YaHei" w:cs="Microsoft YaHei"/>
        </w:rPr>
        <w:t>御名</w:t>
      </w:r>
      <w:r>
        <w:rPr>
          <w:rFonts w:ascii="MS Gothic" w:hAnsi="MS Gothic" w:eastAsia="MS Gothic" w:cs="MS Gothic"/>
        </w:rPr>
        <w:t>を</w:t>
      </w:r>
      <w:r>
        <w:rPr>
          <w:rFonts w:ascii="Microsoft YaHei" w:hAnsi="Microsoft YaHei" w:eastAsia="Microsoft YaHei" w:cs="Microsoft YaHei"/>
        </w:rPr>
        <w:t>置</w:t>
      </w:r>
      <w:r>
        <w:rPr>
          <w:rFonts w:ascii="MS Gothic" w:hAnsi="MS Gothic" w:eastAsia="MS Gothic" w:cs="MS Gothic"/>
        </w:rPr>
        <w:t>くために</w:t>
      </w:r>
      <w:r>
        <w:rPr>
          <w:rFonts w:ascii="Microsoft YaHei" w:hAnsi="Microsoft YaHei" w:eastAsia="Microsoft YaHei" w:cs="Microsoft YaHei"/>
        </w:rPr>
        <w:t>選</w:t>
      </w:r>
      <w:r>
        <w:rPr>
          <w:rFonts w:ascii="MS Gothic" w:hAnsi="MS Gothic" w:eastAsia="MS Gothic" w:cs="MS Gothic"/>
        </w:rPr>
        <w:t>ばれた</w:t>
      </w:r>
      <w:r>
        <w:rPr>
          <w:rFonts w:ascii="Microsoft YaHei" w:hAnsi="Microsoft YaHei" w:eastAsia="Microsoft YaHei" w:cs="Microsoft YaHei"/>
        </w:rPr>
        <w:t>都</w:t>
      </w:r>
      <w:r>
        <w:rPr>
          <w:rFonts w:ascii="MS Gothic" w:hAnsi="MS Gothic" w:eastAsia="MS Gothic" w:cs="MS Gothic"/>
        </w:rPr>
        <w:t>である</w:t>
      </w:r>
      <w:r>
        <w:rPr>
          <w:rFonts w:ascii="Times New Roman" w:hAnsi="Times New Roman" w:eastAsia="Times New Roman" w:cs="Times New Roman"/>
        </w:rPr>
        <w:t>.1844</w:t>
      </w:r>
      <w:r>
        <w:rPr>
          <w:rFonts w:ascii="Microsoft YaHei" w:hAnsi="Microsoft YaHei" w:eastAsia="Microsoft YaHei" w:cs="Microsoft YaHei"/>
        </w:rPr>
        <w:t>年</w:t>
      </w:r>
      <w:r>
        <w:rPr>
          <w:rFonts w:ascii="Times New Roman" w:hAnsi="Times New Roman" w:eastAsia="Times New Roman" w:cs="Times New Roman"/>
        </w:rPr>
        <w:t>10</w:t>
      </w:r>
      <w:r>
        <w:rPr>
          <w:rFonts w:ascii="Microsoft YaHei" w:hAnsi="Microsoft YaHei" w:eastAsia="Microsoft YaHei" w:cs="Microsoft YaHei"/>
        </w:rPr>
        <w:t>月</w:t>
      </w:r>
      <w:r>
        <w:rPr>
          <w:rFonts w:ascii="Times New Roman" w:hAnsi="Times New Roman" w:eastAsia="Times New Roman" w:cs="Times New Roman"/>
        </w:rPr>
        <w:t>22</w:t>
      </w:r>
      <w:r>
        <w:rPr>
          <w:rFonts w:ascii="Microsoft YaHei" w:hAnsi="Microsoft YaHei" w:eastAsia="Microsoft YaHei" w:cs="Microsoft YaHei"/>
        </w:rPr>
        <w:t>日</w:t>
      </w:r>
      <w:r>
        <w:rPr>
          <w:rFonts w:ascii="MS Gothic" w:hAnsi="MS Gothic" w:eastAsia="MS Gothic" w:cs="MS Gothic"/>
        </w:rPr>
        <w:t>に</w:t>
      </w:r>
      <w:r>
        <w:rPr>
          <w:rFonts w:ascii="Microsoft YaHei" w:hAnsi="Microsoft YaHei" w:eastAsia="Microsoft YaHei" w:cs="Microsoft YaHei"/>
        </w:rPr>
        <w:t>、</w:t>
      </w:r>
      <w:r>
        <w:rPr>
          <w:rFonts w:ascii="MS Gothic" w:hAnsi="MS Gothic" w:eastAsia="MS Gothic" w:cs="MS Gothic"/>
        </w:rPr>
        <w:t>キリストが</w:t>
      </w:r>
      <w:r>
        <w:rPr>
          <w:rFonts w:ascii="Microsoft YaHei" w:hAnsi="Microsoft YaHei" w:eastAsia="Microsoft YaHei" w:cs="Microsoft YaHei"/>
        </w:rPr>
        <w:t>行</w:t>
      </w:r>
      <w:r>
        <w:rPr>
          <w:rFonts w:ascii="MS Gothic" w:hAnsi="MS Gothic" w:eastAsia="MS Gothic" w:cs="MS Gothic"/>
        </w:rPr>
        <w:t>おうと</w:t>
      </w:r>
      <w:r>
        <w:rPr>
          <w:rFonts w:ascii="Microsoft YaHei" w:hAnsi="Microsoft YaHei" w:eastAsia="Microsoft YaHei" w:cs="Microsoft YaHei"/>
        </w:rPr>
        <w:t>意図</w:t>
      </w:r>
      <w:r>
        <w:rPr>
          <w:rFonts w:ascii="MS Gothic" w:hAnsi="MS Gothic" w:eastAsia="MS Gothic" w:cs="MS Gothic"/>
        </w:rPr>
        <w:t>された</w:t>
      </w:r>
      <w:r>
        <w:rPr>
          <w:rFonts w:ascii="Microsoft YaHei" w:hAnsi="Microsoft YaHei" w:eastAsia="Microsoft YaHei" w:cs="Microsoft YaHei"/>
        </w:rPr>
        <w:t>働</w:t>
      </w:r>
      <w:r>
        <w:rPr>
          <w:rFonts w:ascii="MS Gothic" w:hAnsi="MS Gothic" w:eastAsia="MS Gothic" w:cs="MS Gothic"/>
        </w:rPr>
        <w:t>き</w:t>
      </w:r>
      <w:r>
        <w:rPr>
          <w:rFonts w:ascii="Microsoft YaHei" w:hAnsi="Microsoft YaHei" w:eastAsia="Microsoft YaHei" w:cs="Microsoft YaHei"/>
        </w:rPr>
        <w:t>、</w:t>
      </w:r>
      <w:r>
        <w:rPr>
          <w:rFonts w:ascii="MS Gothic" w:hAnsi="MS Gothic" w:eastAsia="MS Gothic" w:cs="MS Gothic"/>
        </w:rPr>
        <w:t>そして</w:t>
      </w:r>
      <w:r>
        <w:rPr>
          <w:rFonts w:ascii="Microsoft YaHei" w:hAnsi="Microsoft YaHei" w:eastAsia="Microsoft YaHei" w:cs="Microsoft YaHei"/>
        </w:rPr>
        <w:t>今</w:t>
      </w:r>
      <w:r>
        <w:rPr>
          <w:rFonts w:ascii="MS Gothic" w:hAnsi="MS Gothic" w:eastAsia="MS Gothic" w:cs="MS Gothic"/>
        </w:rPr>
        <w:t>まさに</w:t>
      </w:r>
      <w:r>
        <w:rPr>
          <w:rFonts w:ascii="Microsoft YaHei" w:hAnsi="Microsoft YaHei" w:eastAsia="Microsoft YaHei" w:cs="Microsoft YaHei"/>
        </w:rPr>
        <w:t>成</w:t>
      </w:r>
      <w:r>
        <w:rPr>
          <w:rFonts w:ascii="MS Gothic" w:hAnsi="MS Gothic" w:eastAsia="MS Gothic" w:cs="MS Gothic"/>
        </w:rPr>
        <w:t>し</w:t>
      </w:r>
      <w:r>
        <w:rPr>
          <w:rFonts w:ascii="Microsoft YaHei" w:hAnsi="Microsoft YaHei" w:eastAsia="Microsoft YaHei" w:cs="Microsoft YaHei"/>
        </w:rPr>
        <w:t>遂</w:t>
      </w:r>
      <w:r>
        <w:rPr>
          <w:rFonts w:ascii="MS Gothic" w:hAnsi="MS Gothic" w:eastAsia="MS Gothic" w:cs="MS Gothic"/>
        </w:rPr>
        <w:t>げておられる</w:t>
      </w:r>
      <w:r>
        <w:rPr>
          <w:rFonts w:ascii="Microsoft YaHei" w:hAnsi="Microsoft YaHei" w:eastAsia="Microsoft YaHei" w:cs="Microsoft YaHei"/>
        </w:rPr>
        <w:t>働</w:t>
      </w:r>
      <w:r>
        <w:rPr>
          <w:rFonts w:ascii="MS Gothic" w:hAnsi="MS Gothic" w:eastAsia="MS Gothic" w:cs="MS Gothic"/>
        </w:rPr>
        <w:t>きは</w:t>
      </w:r>
      <w:r>
        <w:rPr>
          <w:rFonts w:ascii="Microsoft YaHei" w:hAnsi="Microsoft YaHei" w:eastAsia="Microsoft YaHei" w:cs="Microsoft YaHei"/>
        </w:rPr>
        <w:t>、</w:t>
      </w:r>
      <w:r>
        <w:rPr>
          <w:rFonts w:ascii="MS Gothic" w:hAnsi="MS Gothic" w:eastAsia="MS Gothic" w:cs="MS Gothic"/>
        </w:rPr>
        <w:t>エゼキエルの</w:t>
      </w:r>
      <w:r>
        <w:rPr>
          <w:rFonts w:ascii="Microsoft YaHei" w:hAnsi="Microsoft YaHei" w:eastAsia="Microsoft YaHei" w:cs="Microsoft YaHei"/>
        </w:rPr>
        <w:t>二本</w:t>
      </w:r>
      <w:r>
        <w:rPr>
          <w:rFonts w:ascii="MS Gothic" w:hAnsi="MS Gothic" w:eastAsia="MS Gothic" w:cs="MS Gothic"/>
        </w:rPr>
        <w:t>の</w:t>
      </w:r>
      <w:r>
        <w:rPr>
          <w:rFonts w:ascii="Microsoft YaHei" w:hAnsi="Microsoft YaHei" w:eastAsia="Microsoft YaHei" w:cs="Microsoft YaHei"/>
        </w:rPr>
        <w:t>杖</w:t>
      </w:r>
      <w:r>
        <w:rPr>
          <w:rFonts w:ascii="MS Gothic" w:hAnsi="MS Gothic" w:eastAsia="MS Gothic" w:cs="MS Gothic"/>
        </w:rPr>
        <w:t>によって</w:t>
      </w:r>
      <w:r>
        <w:rPr>
          <w:rFonts w:ascii="Microsoft YaHei" w:hAnsi="Microsoft YaHei" w:eastAsia="Microsoft YaHei" w:cs="Microsoft YaHei"/>
        </w:rPr>
        <w:t>表</w:t>
      </w:r>
      <w:r>
        <w:rPr>
          <w:rFonts w:ascii="MS Gothic" w:hAnsi="MS Gothic" w:eastAsia="MS Gothic" w:cs="MS Gothic"/>
        </w:rPr>
        <w:t>されている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Lorsque les deux bâtons d’Ézéchiel sont réunis en un seul bâton pour toujours, cela désigne l’alliance par laquelle le Christ ôte le péché de Son peuple pour toujours, et par laquelle les natures supérieure et inférieure sont ramenées à l’ordre hiérarchique qui leur convient, et les hommes redeviennent entiers. Dans l’état non converti, la nature inférieure de l’homme, représentée par la première indignation, dominait la nature supérieure de l’homme, représentée par la dernière indignation. Ainsi, la première indignation était dirigée contre le royaume du nord, qui se trouvait géographiquement « au-dessus » du royaume du sud.</w:t>
      </w:r>
    </w:p>
    <w:p>
      <w:pPr>
        <w:pStyle w:val="ArticleBody"/>
        <w:jc w:val="left"/>
      </w:pPr>
      <w:r>
        <w:rPr>
          <w:rFonts w:ascii="Times New Roman" w:hAnsi="Times New Roman" w:eastAsia="Times New Roman" w:cs="Times New Roman"/>
        </w:rPr>
        <w:t>Die zweihundertzwanzig Jahre, welche die beiden Visionen von marah und chazon mit der Gottheit und der Menschheit in ihren jeweiligen Anfängen verbinden, kommen beide zu einem Stab zusammen, wenn Christus das Werk des dritten Engels mit den Hundertvierundvierzigtausend vollendet. Es ist die Weissagung der letzten Entrüstung gegen das südliche Königreich, die mit der Weissagung des Erscheinens im Jahre 1844 verbunden ist; denn der Bund verleiht bei der Bekehrung einen neuen Sinn, doch der neue Leib (das nördliche Königreich) wird erst bei der Wiederkunft in einem Augenblick wiederhergestellt.</w:t>
      </w:r>
    </w:p>
    <w:p>
      <w:pPr>
        <w:pStyle w:val="ArticleBody"/>
        <w:jc w:val="left"/>
      </w:pPr>
      <w:r>
        <w:rPr>
          <w:rFonts w:ascii="Times New Roman" w:hAnsi="Times New Roman" w:eastAsia="Times New Roman" w:cs="Times New Roman"/>
        </w:rPr>
        <w:t>Daniel 11:40 hingi a biluvano byombi bya “ebiseera eby’enkomerero,” era mu kukola ekyo essira aliteeka ku lunyiriri olw’omunda n’olw’ebweru olw’ebyafaayo eby’obunnabbi mu kiseera ky’ensiisinkano ey’ensolo ey’oku nsi eyogerwako mu Okubikkulirwa essuula 13. Amazima agabikkulwa mu lunyiriri olwo gakiikirira byombi, ennono ey’omunda n’ey’ebweru ez’amazima Kristo ze yajja okulaga n’okutuukiriza munda mu bantu Be. Amazima nti obuntu obwegasse n’obwakatonda tebukola kibi, bukiikirirwa mu musana ogukwatagana n’ebiva mu kubikkulwa kw’okumanya, era bukiikirira amazima ag’omunda ag’abantu ba Katonda mu nnaku ez’oluvannyuma. Omusana ogukiikirirwa olutalo wakati w’amaanyi agakulembera ensi eri Alamagedoni ge mazima ag’ebweru ag’abantu ba Katonda mu nnaku ez’oluvannyuma.</w:t>
      </w:r>
    </w:p>
    <w:p>
      <w:pPr>
        <w:pStyle w:val="ArticleBody"/>
        <w:jc w:val="left"/>
      </w:pPr>
      <w:r>
        <w:rPr>
          <w:rFonts w:ascii="Times New Roman" w:hAnsi="Times New Roman" w:eastAsia="Times New Roman" w:cs="Times New Roman"/>
        </w:rPr>
        <w:t>Poursuivrons cette étude dans l’article suivant.</w:t>
      </w:r>
    </w:p>
    <w:p>
      <w:pPr>
        <w:pStyle w:val="ArticleScripture"/>
        <w:jc w:val="left"/>
      </w:pPr>
      <w:r>
        <w:rPr>
          <w:rFonts w:ascii="Times New Roman" w:hAnsi="Times New Roman" w:eastAsia="Times New Roman" w:cs="Times New Roman"/>
        </w:rPr>
        <w:t>Шуниндэ Эзэнэй үгэ намда дахин хүрэжэ, иигэжэ айлдаба: “Тиихэдэ, хүнэй хүбүүн, ши өөртөө нэгэ модо абаад, дээрэнь: «Иудад ба тэрэнэй нүхэд болохо Израилиин хүбүүдтэ» гэжэ бэшэ. Дараа нь өөр нэгэ модо абаад, дээрэнь: «Иосифта, Ефраимай модондо, ба тэрэнэй нүхэд болохо Израилиин бүхы гэртэ» гэжэ бэшэ. Тэдэниие бэе бэетэйнь нэгэдүүлэн нэгэ модо болго; тиигээд тэдэнэр шинии гартa нэгэн болохо. Харин шинии арадай хүбүүд шамда хандан: «Эдэ юун удхатайб гэжэ бидэндэ харуулхагүй аалши?» гэжэ хэлэхэдэнь, тэдэндэ иигэжэ хэлэ: «Иигэжэ Дээдын Эзэн Бурхан айлдана: бологты, би Ефраимай гартa байһан Иосифай модые, мүн тэрэнэй нүхэд болохо Израилиин омогуудые абажа, Иудагийн модотой хамта нэгэдүүлжэ, нэгэ модо болгохоб; тиигээд тэдэнэр Минии гартa нэгэн болохо. Ши дээрэнь бэшэһэн модонуудые өөрынгөө гартa тэдэнэй нюдэнэй урда байлга. Тэдэндэ иигэжэ хэлэ: «Иигэжэ Дээдын Эзэн Бурхан айлдана: бологты, би Израилиин хүбүүдэй ошон тараһан харь угсаатанай дундаһаа тэдэниие абажа, тала бүхэнтэһөө суглуулан, өөрынь газарта асархаб. Би тэдэниие Израилиин уула хада дээрэхи тэрэ газарта нэгэ үндэһэн яһатан болгохоб; тэдэнэй бүгэдынь дээрэ нэгэ хаан хаан болохо; тэдэнэр дахин хэзээдэшье хоёр үндэһэн яһатан байхаа болихо, хоёр хаанта улс болоод хубаагдахаа болихо. Тэдэнэр мүн дахин өөрынгөө шүтөөнүүдээр, жэрхэмшэгтэ юумэнүүдээрээ, али бүхы гэм нүгэлөөрөө өөрсэдыгөө бузарлахаа болихо; харин би тэдэниие нүгэл үйлэдэһэн бүхы һуурин газаруудһаань абаран, арюудхахаб. Тиихэдэнь тэдэнэр Минии арад болохо, харин Би тэдэнэй Бурхан болохоб. Минии зараса Давид тэдэнэй дээрэ хаан болохо; тэдэнэр бүгэдэ нэгэ хоншоортой байха; тэдэнэр Минии шиидхэбэринүүдээр ябажа, Минии тогтоолнуудые сахин, тэдэниие үйлэдэхэ. Тэдэнэр Минии зарасa Яковта үгэһэн, танай эсэгэнэрэй һуужа байһан газарта һууха; тэдэнэр, өөрсэдөөшье, тэдэнэй үхибүүдшье, үхибүүдэйнь үхибүүдшье, тэндэ хэтын хэтэдэ һууха; Минии зараса Давид тэдэнэй ноён хэтын хэтэдэ байха. Тэрэшэлэн Би тэдэнтэй амгалан байдалай гэрээ байгуулахаб; тэрэнь тэдэнтэй хэтын гэрээ байха; Би тэдэниие тогтоожо, олошоруулжа, Өөрынгөө ариун газараа тэдэнэй дунда хэтын хэтэдэ табихаб. Минии асар майхан мүн тэдэнтэй хамта байха; үнэхөөрөө, Би тэдэнэй Бурхан байха, тэдэнэр Минии арад байха. Харь угсаатан Минии, Эзэнэй, Израилиие ариусуулдагые Минии ариун газар тэдэнэй дунда хэтын хэтэдэ байха үедэ мэдэхэ». Езекииль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كتاب دانيال - المئة والخامس والعشرون</dc:title>
  <dc:subject>Разкривање на пророчкото значење: толкување на Даниел 11:40 и неговите импликации за современото христијанство</dc:subject>
  <dc:creator>Jeff Pippenger</dc:creator>
  <cp:keywords/>
  <dc:description>Generated by ArticleDigger from daniel\125_daniel.json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