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Kitabu cha Danieli - Mia Moja na Ishirini na Saba</w:t>
      </w:r>
    </w:p>
    <w:p>
      <w:pPr>
        <w:pStyle w:val="ArticleSubtitle"/>
        <w:jc w:val="left"/>
      </w:pPr>
      <w:r>
        <w:rPr>
          <w:rFonts w:ascii="Leelawadee UI" w:hAnsi="Leelawadee UI" w:eastAsia="Leelawadee UI" w:cs="Leelawadee UI"/>
        </w:rPr>
        <w:t>បើកបង្ហាញលក្ខណៈព្យាករណ៍នៃសម័ន្ធភាពអាក្រក់៖</w:t>
      </w:r>
      <w:r>
        <w:rPr>
          <w:rFonts w:ascii="Arial" w:hAnsi="Arial" w:eastAsia="Arial" w:cs="Arial"/>
        </w:rPr>
        <w:t xml:space="preserve"> </w:t>
      </w:r>
      <w:r>
        <w:rPr>
          <w:rFonts w:ascii="Leelawadee UI" w:hAnsi="Leelawadee UI" w:eastAsia="Leelawadee UI" w:cs="Leelawadee UI"/>
        </w:rPr>
        <w:t>ការយល់ដឹងពីអេសាយ</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2024-03-10</w:t>
      </w:r>
    </w:p>
    <w:p>
      <w:pPr>
        <w:pStyle w:val="ArticleBody"/>
        <w:jc w:val="left"/>
      </w:pPr>
      <w:r>
        <w:rPr>
          <w:rFonts w:ascii="Times New Roman" w:hAnsi="Times New Roman" w:eastAsia="Times New Roman" w:cs="Times New Roman"/>
        </w:rPr>
        <w:t>Boprofeta ya dragone ezali bokangami ya lisanga, ndenge Yisaya amonisaki.</w:t>
      </w:r>
    </w:p>
    <w:p>
      <w:pPr>
        <w:pStyle w:val="ArticleScripture"/>
        <w:jc w:val="left"/>
      </w:pPr>
      <w:r>
        <w:rPr>
          <w:rFonts w:ascii="Leelawadee UI" w:hAnsi="Leelawadee UI" w:eastAsia="Leelawadee UI" w:cs="Leelawadee UI"/>
        </w:rPr>
        <w:t>ຈົ່ງຮ່ວມກັນເຖີດ</w:t>
      </w:r>
      <w:r>
        <w:rPr>
          <w:rFonts w:ascii="Times New Roman" w:hAnsi="Times New Roman" w:eastAsia="Times New Roman" w:cs="Times New Roman"/>
        </w:rPr>
        <w:t xml:space="preserve">, </w:t>
      </w:r>
      <w:r>
        <w:rPr>
          <w:rFonts w:ascii="Leelawadee UI" w:hAnsi="Leelawadee UI" w:eastAsia="Leelawadee UI" w:cs="Leelawadee UI"/>
        </w:rPr>
        <w:t>ໂອ</w:t>
      </w:r>
      <w:r>
        <w:rPr>
          <w:rFonts w:ascii="Times New Roman" w:hAnsi="Times New Roman" w:eastAsia="Times New Roman" w:cs="Times New Roman"/>
        </w:rPr>
        <w:t xml:space="preserve"> </w:t>
      </w:r>
      <w:r>
        <w:rPr>
          <w:rFonts w:ascii="Leelawadee UI" w:hAnsi="Leelawadee UI" w:eastAsia="Leelawadee UI" w:cs="Leelawadee UI"/>
        </w:rPr>
        <w:t>ຊົນຊາດທັງຫລາຍ</w:t>
      </w:r>
      <w:r>
        <w:rPr>
          <w:rFonts w:ascii="Times New Roman" w:hAnsi="Times New Roman" w:eastAsia="Times New Roman" w:cs="Times New Roman"/>
        </w:rPr>
        <w:t xml:space="preserve">, </w:t>
      </w:r>
      <w:r>
        <w:rPr>
          <w:rFonts w:ascii="Leelawadee UI" w:hAnsi="Leelawadee UI" w:eastAsia="Leelawadee UI" w:cs="Leelawadee UI"/>
        </w:rPr>
        <w:t>ແລະພວກເຈົ້າຈະຖືກທຳລາຍເປັນຊິ້ນໆ</w:t>
      </w:r>
      <w:r>
        <w:rPr>
          <w:rFonts w:ascii="Times New Roman" w:hAnsi="Times New Roman" w:eastAsia="Times New Roman" w:cs="Times New Roman"/>
        </w:rPr>
        <w:t xml:space="preserve">; </w:t>
      </w:r>
      <w:r>
        <w:rPr>
          <w:rFonts w:ascii="Leelawadee UI" w:hAnsi="Leelawadee UI" w:eastAsia="Leelawadee UI" w:cs="Leelawadee UI"/>
        </w:rPr>
        <w:t>ແລະຈົ່ງຟັງ</w:t>
      </w:r>
      <w:r>
        <w:rPr>
          <w:rFonts w:ascii="Times New Roman" w:hAnsi="Times New Roman" w:eastAsia="Times New Roman" w:cs="Times New Roman"/>
        </w:rPr>
        <w:t xml:space="preserve">, </w:t>
      </w:r>
      <w:r>
        <w:rPr>
          <w:rFonts w:ascii="Leelawadee UI" w:hAnsi="Leelawadee UI" w:eastAsia="Leelawadee UI" w:cs="Leelawadee UI"/>
        </w:rPr>
        <w:t>ທ່ານທັງຫລາຍຜູ້ຢູ່ແດນໄກ</w:t>
      </w:r>
      <w:r>
        <w:rPr>
          <w:rFonts w:ascii="Times New Roman" w:hAnsi="Times New Roman" w:eastAsia="Times New Roman" w:cs="Times New Roman"/>
        </w:rPr>
        <w:t xml:space="preserve">: </w:t>
      </w:r>
      <w:r>
        <w:rPr>
          <w:rFonts w:ascii="Leelawadee UI" w:hAnsi="Leelawadee UI" w:eastAsia="Leelawadee UI" w:cs="Leelawadee UI"/>
        </w:rPr>
        <w:t>ຈົ່ງຄາດແອວໄວ້</w:t>
      </w:r>
      <w:r>
        <w:rPr>
          <w:rFonts w:ascii="Times New Roman" w:hAnsi="Times New Roman" w:eastAsia="Times New Roman" w:cs="Times New Roman"/>
        </w:rPr>
        <w:t xml:space="preserve">, </w:t>
      </w:r>
      <w:r>
        <w:rPr>
          <w:rFonts w:ascii="Leelawadee UI" w:hAnsi="Leelawadee UI" w:eastAsia="Leelawadee UI" w:cs="Leelawadee UI"/>
        </w:rPr>
        <w:t>ແລະພວກເຈົ້າຈະຖືກທຳລາຍເປັນຊິ້ນໆ</w:t>
      </w:r>
      <w:r>
        <w:rPr>
          <w:rFonts w:ascii="Times New Roman" w:hAnsi="Times New Roman" w:eastAsia="Times New Roman" w:cs="Times New Roman"/>
        </w:rPr>
        <w:t xml:space="preserve">; </w:t>
      </w:r>
      <w:r>
        <w:rPr>
          <w:rFonts w:ascii="Leelawadee UI" w:hAnsi="Leelawadee UI" w:eastAsia="Leelawadee UI" w:cs="Leelawadee UI"/>
        </w:rPr>
        <w:t>ຈົ່ງຄາດແອວໄວ້</w:t>
      </w:r>
      <w:r>
        <w:rPr>
          <w:rFonts w:ascii="Times New Roman" w:hAnsi="Times New Roman" w:eastAsia="Times New Roman" w:cs="Times New Roman"/>
        </w:rPr>
        <w:t xml:space="preserve">, </w:t>
      </w:r>
      <w:r>
        <w:rPr>
          <w:rFonts w:ascii="Leelawadee UI" w:hAnsi="Leelawadee UI" w:eastAsia="Leelawadee UI" w:cs="Leelawadee UI"/>
        </w:rPr>
        <w:t>ແລະພວກເຈົ້າຈະຖືກທຳລາຍເປັນຊິ້ນໆ</w:t>
      </w:r>
      <w:r>
        <w:rPr>
          <w:rFonts w:ascii="Times New Roman" w:hAnsi="Times New Roman" w:eastAsia="Times New Roman" w:cs="Times New Roman"/>
        </w:rPr>
        <w:t xml:space="preserve">. </w:t>
      </w:r>
      <w:r>
        <w:rPr>
          <w:rFonts w:ascii="Leelawadee UI" w:hAnsi="Leelawadee UI" w:eastAsia="Leelawadee UI" w:cs="Leelawadee UI"/>
        </w:rPr>
        <w:t>ຈົ່ງປຶກສາກັນເຖີດ</w:t>
      </w:r>
      <w:r>
        <w:rPr>
          <w:rFonts w:ascii="Times New Roman" w:hAnsi="Times New Roman" w:eastAsia="Times New Roman" w:cs="Times New Roman"/>
        </w:rPr>
        <w:t xml:space="preserve">, </w:t>
      </w:r>
      <w:r>
        <w:rPr>
          <w:rFonts w:ascii="Leelawadee UI" w:hAnsi="Leelawadee UI" w:eastAsia="Leelawadee UI" w:cs="Leelawadee UI"/>
        </w:rPr>
        <w:t>ແຕ່ມັນຈະສູນເປົ່າໄປ</w:t>
      </w:r>
      <w:r>
        <w:rPr>
          <w:rFonts w:ascii="Times New Roman" w:hAnsi="Times New Roman" w:eastAsia="Times New Roman" w:cs="Times New Roman"/>
        </w:rPr>
        <w:t xml:space="preserve">; </w:t>
      </w:r>
      <w:r>
        <w:rPr>
          <w:rFonts w:ascii="Leelawadee UI" w:hAnsi="Leelawadee UI" w:eastAsia="Leelawadee UI" w:cs="Leelawadee UI"/>
        </w:rPr>
        <w:t>ຈົ່ງກ່າວຖ້ອຍຄຳເຖີດ</w:t>
      </w:r>
      <w:r>
        <w:rPr>
          <w:rFonts w:ascii="Times New Roman" w:hAnsi="Times New Roman" w:eastAsia="Times New Roman" w:cs="Times New Roman"/>
        </w:rPr>
        <w:t xml:space="preserve">, </w:t>
      </w:r>
      <w:r>
        <w:rPr>
          <w:rFonts w:ascii="Leelawadee UI" w:hAnsi="Leelawadee UI" w:eastAsia="Leelawadee UI" w:cs="Leelawadee UI"/>
        </w:rPr>
        <w:t>ແຕ່ມັນຈະບໍ່ຕັ້ງຢູ່ໄດ້</w:t>
      </w:r>
      <w:r>
        <w:rPr>
          <w:rFonts w:ascii="Times New Roman" w:hAnsi="Times New Roman" w:eastAsia="Times New Roman" w:cs="Times New Roman"/>
        </w:rPr>
        <w:t xml:space="preserve">: </w:t>
      </w:r>
      <w:r>
        <w:rPr>
          <w:rFonts w:ascii="Leelawadee UI" w:hAnsi="Leelawadee UI" w:eastAsia="Leelawadee UI" w:cs="Leelawadee UI"/>
        </w:rPr>
        <w:t>ເພາະພຣະເຈົ້າສະຖິດກັບພວກເຮົາ</w:t>
      </w:r>
      <w:r>
        <w:rPr>
          <w:rFonts w:ascii="Times New Roman" w:hAnsi="Times New Roman" w:eastAsia="Times New Roman" w:cs="Times New Roman"/>
        </w:rPr>
        <w:t xml:space="preserve">. </w:t>
      </w:r>
      <w:r>
        <w:rPr>
          <w:rFonts w:ascii="Leelawadee UI" w:hAnsi="Leelawadee UI" w:eastAsia="Leelawadee UI" w:cs="Leelawadee UI"/>
        </w:rPr>
        <w:t>ເພາະພຣະອົງຜູ້ເປັນພຣະຢາເວໄດ້ຕັດກັບຂ້າພະເຈົ້າດັ່ງນີ້ດ້ວຍພຣະຫັດອັນເຂັ້ມແຂງ</w:t>
      </w:r>
      <w:r>
        <w:rPr>
          <w:rFonts w:ascii="Times New Roman" w:hAnsi="Times New Roman" w:eastAsia="Times New Roman" w:cs="Times New Roman"/>
        </w:rPr>
        <w:t xml:space="preserve">, </w:t>
      </w:r>
      <w:r>
        <w:rPr>
          <w:rFonts w:ascii="Leelawadee UI" w:hAnsi="Leelawadee UI" w:eastAsia="Leelawadee UI" w:cs="Leelawadee UI"/>
        </w:rPr>
        <w:t>ແລະຊົງຕັກເຕືອນຂ້າພະເຈົ້າບໍ່ໃຫ້ດຳເນີນໃນທາງຂອງຊົນຊາດນີ້</w:t>
      </w:r>
      <w:r>
        <w:rPr>
          <w:rFonts w:ascii="Times New Roman" w:hAnsi="Times New Roman" w:eastAsia="Times New Roman" w:cs="Times New Roman"/>
        </w:rPr>
        <w:t xml:space="preserve">, </w:t>
      </w:r>
      <w:r>
        <w:rPr>
          <w:rFonts w:ascii="Leelawadee UI" w:hAnsi="Leelawadee UI" w:eastAsia="Leelawadee UI" w:cs="Leelawadee UI"/>
        </w:rPr>
        <w:t>ຕັດວ່າ</w:t>
      </w:r>
      <w:r>
        <w:rPr>
          <w:rFonts w:ascii="Times New Roman" w:hAnsi="Times New Roman" w:eastAsia="Times New Roman" w:cs="Times New Roman"/>
        </w:rPr>
        <w:t xml:space="preserve">, </w:t>
      </w:r>
      <w:r>
        <w:rPr>
          <w:rFonts w:ascii="Leelawadee UI" w:hAnsi="Leelawadee UI" w:eastAsia="Leelawadee UI" w:cs="Leelawadee UI"/>
        </w:rPr>
        <w:t>ຢ່າເອີ້ນວ່າ</w:t>
      </w:r>
      <w:r>
        <w:rPr>
          <w:rFonts w:ascii="Times New Roman" w:hAnsi="Times New Roman" w:eastAsia="Times New Roman" w:cs="Times New Roman"/>
        </w:rPr>
        <w:t xml:space="preserve">, </w:t>
      </w:r>
      <w:r>
        <w:rPr>
          <w:rFonts w:ascii="Leelawadee UI" w:hAnsi="Leelawadee UI" w:eastAsia="Leelawadee UI" w:cs="Leelawadee UI"/>
        </w:rPr>
        <w:t>ການສົມຄົບຄິດ</w:t>
      </w:r>
      <w:r>
        <w:rPr>
          <w:rFonts w:ascii="Times New Roman" w:hAnsi="Times New Roman" w:eastAsia="Times New Roman" w:cs="Times New Roman"/>
        </w:rPr>
        <w:t xml:space="preserve">, </w:t>
      </w:r>
      <w:r>
        <w:rPr>
          <w:rFonts w:ascii="Leelawadee UI" w:hAnsi="Leelawadee UI" w:eastAsia="Leelawadee UI" w:cs="Leelawadee UI"/>
        </w:rPr>
        <w:t>ແກ່ທຸກສິ່ງທີ່ຊົນຊາດນີ້ຈະເອີ້ນວ່າ</w:t>
      </w:r>
      <w:r>
        <w:rPr>
          <w:rFonts w:ascii="Times New Roman" w:hAnsi="Times New Roman" w:eastAsia="Times New Roman" w:cs="Times New Roman"/>
        </w:rPr>
        <w:t xml:space="preserve">, </w:t>
      </w:r>
      <w:r>
        <w:rPr>
          <w:rFonts w:ascii="Leelawadee UI" w:hAnsi="Leelawadee UI" w:eastAsia="Leelawadee UI" w:cs="Leelawadee UI"/>
        </w:rPr>
        <w:t>ການສົມຄົບຄິດ</w:t>
      </w:r>
      <w:r>
        <w:rPr>
          <w:rFonts w:ascii="Times New Roman" w:hAnsi="Times New Roman" w:eastAsia="Times New Roman" w:cs="Times New Roman"/>
        </w:rPr>
        <w:t xml:space="preserve">; </w:t>
      </w:r>
      <w:r>
        <w:rPr>
          <w:rFonts w:ascii="Leelawadee UI" w:hAnsi="Leelawadee UI" w:eastAsia="Leelawadee UI" w:cs="Leelawadee UI"/>
        </w:rPr>
        <w:t>ແລະຢ່າຢ້ານຕາມຄວາມຢ້ານຂອງເຂົາທັງຫລາຍ</w:t>
      </w:r>
      <w:r>
        <w:rPr>
          <w:rFonts w:ascii="Times New Roman" w:hAnsi="Times New Roman" w:eastAsia="Times New Roman" w:cs="Times New Roman"/>
        </w:rPr>
        <w:t xml:space="preserve">, </w:t>
      </w:r>
      <w:r>
        <w:rPr>
          <w:rFonts w:ascii="Leelawadee UI" w:hAnsi="Leelawadee UI" w:eastAsia="Leelawadee UI" w:cs="Leelawadee UI"/>
        </w:rPr>
        <w:t>ຫລືຄວັ່ນກົວ</w:t>
      </w:r>
      <w:r>
        <w:rPr>
          <w:rFonts w:ascii="Times New Roman" w:hAnsi="Times New Roman" w:eastAsia="Times New Roman" w:cs="Times New Roman"/>
        </w:rPr>
        <w:t xml:space="preserve">. </w:t>
      </w:r>
      <w:r>
        <w:rPr>
          <w:rFonts w:ascii="Leelawadee UI" w:hAnsi="Leelawadee UI" w:eastAsia="Leelawadee UI" w:cs="Leelawadee UI"/>
        </w:rPr>
        <w:t>ຈົ່ງຖືວ່າພຣະຢາເວຈອມໂຍທາທັງຫລາຍເປັນຜູ້ບໍລິສຸດ</w:t>
      </w:r>
      <w:r>
        <w:rPr>
          <w:rFonts w:ascii="Times New Roman" w:hAnsi="Times New Roman" w:eastAsia="Times New Roman" w:cs="Times New Roman"/>
        </w:rPr>
        <w:t xml:space="preserve">; </w:t>
      </w:r>
      <w:r>
        <w:rPr>
          <w:rFonts w:ascii="Leelawadee UI" w:hAnsi="Leelawadee UI" w:eastAsia="Leelawadee UI" w:cs="Leelawadee UI"/>
        </w:rPr>
        <w:t>ແລະໃຫ້ພຣະອົງເປັນຄວາມຢ້ານຂອງພວກເຈົ້າ</w:t>
      </w:r>
      <w:r>
        <w:rPr>
          <w:rFonts w:ascii="Times New Roman" w:hAnsi="Times New Roman" w:eastAsia="Times New Roman" w:cs="Times New Roman"/>
        </w:rPr>
        <w:t xml:space="preserve">, </w:t>
      </w:r>
      <w:r>
        <w:rPr>
          <w:rFonts w:ascii="Leelawadee UI" w:hAnsi="Leelawadee UI" w:eastAsia="Leelawadee UI" w:cs="Leelawadee UI"/>
        </w:rPr>
        <w:t>ແລະໃຫ້ພຣະອົງເປັນຄວາມຄວັ່ນກົວຂອງພວກເຈົ້າ</w:t>
      </w:r>
      <w:r>
        <w:rPr>
          <w:rFonts w:ascii="Times New Roman" w:hAnsi="Times New Roman" w:eastAsia="Times New Roman" w:cs="Times New Roman"/>
        </w:rPr>
        <w:t xml:space="preserve">. </w:t>
      </w:r>
      <w:r>
        <w:rPr>
          <w:rFonts w:ascii="Leelawadee UI" w:hAnsi="Leelawadee UI" w:eastAsia="Leelawadee UI" w:cs="Leelawadee UI"/>
        </w:rPr>
        <w:t>ແລະພຣະອົງຈະເປັນສະຖານບໍລິສຸດແຫ່ງໜຶ່ງ</w:t>
      </w:r>
      <w:r>
        <w:rPr>
          <w:rFonts w:ascii="Times New Roman" w:hAnsi="Times New Roman" w:eastAsia="Times New Roman" w:cs="Times New Roman"/>
        </w:rPr>
        <w:t xml:space="preserve">; </w:t>
      </w:r>
      <w:r>
        <w:rPr>
          <w:rFonts w:ascii="Leelawadee UI" w:hAnsi="Leelawadee UI" w:eastAsia="Leelawadee UI" w:cs="Leelawadee UI"/>
        </w:rPr>
        <w:t>ແຕ່ຈະເປັນຫີນທີ່ເຮັດໃຫ້ສະດຸດ</w:t>
      </w:r>
      <w:r>
        <w:rPr>
          <w:rFonts w:ascii="Times New Roman" w:hAnsi="Times New Roman" w:eastAsia="Times New Roman" w:cs="Times New Roman"/>
        </w:rPr>
        <w:t xml:space="preserve"> </w:t>
      </w:r>
      <w:r>
        <w:rPr>
          <w:rFonts w:ascii="Leelawadee UI" w:hAnsi="Leelawadee UI" w:eastAsia="Leelawadee UI" w:cs="Leelawadee UI"/>
        </w:rPr>
        <w:t>ແລະເປັນສີລາແຫ່ງການຂຸ່ນເຄືອງແກ່ເຮືອນທັງສອງຂອງອິດສະຣາເອນ</w:t>
      </w:r>
      <w:r>
        <w:rPr>
          <w:rFonts w:ascii="Times New Roman" w:hAnsi="Times New Roman" w:eastAsia="Times New Roman" w:cs="Times New Roman"/>
        </w:rPr>
        <w:t xml:space="preserve">, </w:t>
      </w:r>
      <w:r>
        <w:rPr>
          <w:rFonts w:ascii="Leelawadee UI" w:hAnsi="Leelawadee UI" w:eastAsia="Leelawadee UI" w:cs="Leelawadee UI"/>
        </w:rPr>
        <w:t>ເປັນບ້ວງດັກ</w:t>
      </w:r>
      <w:r>
        <w:rPr>
          <w:rFonts w:ascii="Times New Roman" w:hAnsi="Times New Roman" w:eastAsia="Times New Roman" w:cs="Times New Roman"/>
        </w:rPr>
        <w:t xml:space="preserve"> </w:t>
      </w:r>
      <w:r>
        <w:rPr>
          <w:rFonts w:ascii="Leelawadee UI" w:hAnsi="Leelawadee UI" w:eastAsia="Leelawadee UI" w:cs="Leelawadee UI"/>
        </w:rPr>
        <w:t>ແລະເປັນກັບດັກແກ່ຊາວເຢຣູຊາເລັມ</w:t>
      </w:r>
      <w:r>
        <w:rPr>
          <w:rFonts w:ascii="Times New Roman" w:hAnsi="Times New Roman" w:eastAsia="Times New Roman" w:cs="Times New Roman"/>
        </w:rPr>
        <w:t xml:space="preserve">. </w:t>
      </w:r>
      <w:r>
        <w:rPr>
          <w:rFonts w:ascii="Leelawadee UI" w:hAnsi="Leelawadee UI" w:eastAsia="Leelawadee UI" w:cs="Leelawadee UI"/>
        </w:rPr>
        <w:t>ແລະຫລາຍຄົນໃນພວກເຂົາຈະສະດຸດ</w:t>
      </w:r>
      <w:r>
        <w:rPr>
          <w:rFonts w:ascii="Times New Roman" w:hAnsi="Times New Roman" w:eastAsia="Times New Roman" w:cs="Times New Roman"/>
        </w:rPr>
        <w:t xml:space="preserve">, </w:t>
      </w:r>
      <w:r>
        <w:rPr>
          <w:rFonts w:ascii="Leelawadee UI" w:hAnsi="Leelawadee UI" w:eastAsia="Leelawadee UI" w:cs="Leelawadee UI"/>
        </w:rPr>
        <w:t>ແລະລົ້ມລົງ</w:t>
      </w:r>
      <w:r>
        <w:rPr>
          <w:rFonts w:ascii="Times New Roman" w:hAnsi="Times New Roman" w:eastAsia="Times New Roman" w:cs="Times New Roman"/>
        </w:rPr>
        <w:t xml:space="preserve">, </w:t>
      </w:r>
      <w:r>
        <w:rPr>
          <w:rFonts w:ascii="Leelawadee UI" w:hAnsi="Leelawadee UI" w:eastAsia="Leelawadee UI" w:cs="Leelawadee UI"/>
        </w:rPr>
        <w:t>ແລະແຕກຫັກ</w:t>
      </w:r>
      <w:r>
        <w:rPr>
          <w:rFonts w:ascii="Times New Roman" w:hAnsi="Times New Roman" w:eastAsia="Times New Roman" w:cs="Times New Roman"/>
        </w:rPr>
        <w:t xml:space="preserve">, </w:t>
      </w:r>
      <w:r>
        <w:rPr>
          <w:rFonts w:ascii="Leelawadee UI" w:hAnsi="Leelawadee UI" w:eastAsia="Leelawadee UI" w:cs="Leelawadee UI"/>
        </w:rPr>
        <w:t>ແລະຖືກດັກ</w:t>
      </w:r>
      <w:r>
        <w:rPr>
          <w:rFonts w:ascii="Times New Roman" w:hAnsi="Times New Roman" w:eastAsia="Times New Roman" w:cs="Times New Roman"/>
        </w:rPr>
        <w:t xml:space="preserve">, </w:t>
      </w:r>
      <w:r>
        <w:rPr>
          <w:rFonts w:ascii="Leelawadee UI" w:hAnsi="Leelawadee UI" w:eastAsia="Leelawadee UI" w:cs="Leelawadee UI"/>
        </w:rPr>
        <w:t>ແລະຖືກຈັບໄປ</w:t>
      </w:r>
      <w:r>
        <w:rPr>
          <w:rFonts w:ascii="Times New Roman" w:hAnsi="Times New Roman" w:eastAsia="Times New Roman" w:cs="Times New Roman"/>
        </w:rPr>
        <w:t xml:space="preserve">. </w:t>
      </w:r>
      <w:r>
        <w:rPr>
          <w:rFonts w:ascii="Leelawadee UI" w:hAnsi="Leelawadee UI" w:eastAsia="Leelawadee UI" w:cs="Leelawadee UI"/>
        </w:rPr>
        <w:t>ຈົ່ງມັດຄຳພະຍານໄວ້</w:t>
      </w:r>
      <w:r>
        <w:rPr>
          <w:rFonts w:ascii="Times New Roman" w:hAnsi="Times New Roman" w:eastAsia="Times New Roman" w:cs="Times New Roman"/>
        </w:rPr>
        <w:t xml:space="preserve">, </w:t>
      </w:r>
      <w:r>
        <w:rPr>
          <w:rFonts w:ascii="Leelawadee UI" w:hAnsi="Leelawadee UI" w:eastAsia="Leelawadee UI" w:cs="Leelawadee UI"/>
        </w:rPr>
        <w:t>ຈົ່ງປະທັບຕາພຣະບັນຍັດໄວ້ທ່າມກາງພວກສາວົກຂອງຂ້ອຍ</w:t>
      </w:r>
      <w:r>
        <w:rPr>
          <w:rFonts w:ascii="Times New Roman" w:hAnsi="Times New Roman" w:eastAsia="Times New Roman" w:cs="Times New Roman"/>
        </w:rPr>
        <w:t xml:space="preserve">. </w:t>
      </w:r>
      <w:r>
        <w:rPr>
          <w:rFonts w:ascii="Leelawadee UI" w:hAnsi="Leelawadee UI" w:eastAsia="Leelawadee UI" w:cs="Leelawadee UI"/>
        </w:rPr>
        <w:t>ອິຊາຢາ</w:t>
      </w:r>
      <w:r>
        <w:rPr>
          <w:rFonts w:ascii="Times New Roman" w:hAnsi="Times New Roman" w:eastAsia="Times New Roman" w:cs="Times New Roman"/>
        </w:rPr>
        <w:t xml:space="preserve"> 8:9–16.</w:t>
      </w:r>
    </w:p>
    <w:p>
      <w:pPr>
        <w:pStyle w:val="ArticleBody"/>
        <w:jc w:val="left"/>
      </w:pPr>
      <w:r>
        <w:rPr>
          <w:rFonts w:ascii="Times New Roman" w:hAnsi="Times New Roman" w:eastAsia="Times New Roman" w:cs="Times New Roman"/>
        </w:rPr>
        <w:t>Dans les derniers jours, au temps du scellement des cent quarante-quatre mille, lorsque Ésaïe dit : « Enferme ce témoignage, scelle cette loi parmi mes disciples », il existe sur la planète Terre une « mauvaise confédération ». Il importe de comprendre que l’histoire des États-Unis, conduisant à la loi du dimanche, préfigure les mêmes événements à l’échelle mondiale.</w:t>
      </w:r>
    </w:p>
    <w:p>
      <w:pPr>
        <w:pStyle w:val="ArticleScripture"/>
        <w:jc w:val="left"/>
      </w:pPr>
      <w:r>
        <w:rPr>
          <w:rFonts w:ascii="Times New Roman" w:hAnsi="Times New Roman" w:eastAsia="Times New Roman" w:cs="Times New Roman"/>
        </w:rPr>
        <w:t>« Les nations étrangères suivront l’exemple des États-Unis. Bien qu’ils ouvrent la voie, la même crise surviendra néanmoins pour notre peuple dans toutes les parties du monde. » Testimonies, volume 6, 395.</w:t>
      </w:r>
    </w:p>
    <w:p>
      <w:pPr>
        <w:pStyle w:val="ArticleBody"/>
        <w:jc w:val="left"/>
      </w:pPr>
      <w:r>
        <w:rPr>
          <w:rFonts w:ascii="Times New Roman" w:hAnsi="Times New Roman" w:eastAsia="Times New Roman" w:cs="Times New Roman"/>
        </w:rPr>
        <w:t>Сестра Уайт тщательно определяет, кто составляет «злой союз», и он представляет прогрессивный либерализм современных глобалистов. Делая это, она неоднократно цитирует предыдущие стихи книги Исаии, которые указывают на злой союз во время запечатления ста сорока четырёх тысяч.</w:t>
      </w:r>
    </w:p>
    <w:p>
      <w:pPr>
        <w:pStyle w:val="ArticleScripture"/>
        <w:jc w:val="left"/>
      </w:pPr>
      <w:r>
        <w:rPr>
          <w:rFonts w:ascii="Times New Roman" w:hAnsi="Times New Roman" w:eastAsia="Times New Roman" w:cs="Times New Roman"/>
        </w:rPr>
        <w:t>“Seigneur déclare par le prophète Ésaïe : Ésaïe 8:9–13 cité.”</w:t>
      </w:r>
    </w:p>
    <w:p>
      <w:pPr>
        <w:pStyle w:val="ArticleScripture"/>
        <w:jc w:val="left"/>
      </w:pPr>
      <w:r>
        <w:rPr>
          <w:rFonts w:ascii="Times New Roman" w:hAnsi="Times New Roman" w:eastAsia="Times New Roman" w:cs="Times New Roman"/>
        </w:rPr>
        <w:t>“Es gibt solche, die in Frage stellen, ob es für Christen recht ist, den Freimaurern und anderen Geheimgesellschaften anzugehören. Alle, die so denken, mögen die eben angeführten Schriftstellen bedenken. Wenn wir überhaupt Christen sind, dann müssen wir überall Christen sein und den Rat beachten und befolgen, der uns gegeben ist, damit wir nach dem Maßstab des Wortes Gottes Christen seien.” Evangelism, 617, 618.</w:t>
      </w:r>
    </w:p>
    <w:p>
      <w:pPr>
        <w:pStyle w:val="ArticleBody"/>
        <w:jc w:val="left"/>
      </w:pPr>
      <w:r>
        <w:rPr>
          <w:rFonts w:ascii="Times New Roman" w:hAnsi="Times New Roman" w:eastAsia="Times New Roman" w:cs="Times New Roman"/>
        </w:rPr>
        <w:t>Àjùmọ̀ṣe búburú ti àwọn ọjọ́ ìkẹyìn ní ìbáṣepọ̀ pẹ̀lú àwọn Freemason, àti àwọn àjọ aṣírí mìíràn. Ẹ̀sìn rẹ̀ ni ẹ̀mí-èrò, a sì kó ọ jọ láti inú àwọn olùfowópamọ́ ayé àti àwọn oníṣòwò ọlọ́rọ̀-bílíọ̀nù ilẹ̀ ayé, àwọn tí “wọ́n ń ṣàkójọ ọrọ̀ àti agbára ayé sí àárín kan,” tí wọ́n sì ń gbé irú àwọn ìgbésẹ̀ bíi Antifa àti Black Lives Matter lárugẹ láti ru “ẹ̀mí àìfarabalẹ̀, ti ìrúkèrúdò àti ìtàjẹ̀sílẹ̀” sókè ní “ìwọ̀n àgbáyé,” nínú ìsapá láti tún àìṣètò ti “Ìyíká Faranse” ṣe.</w:t>
      </w:r>
    </w:p>
    <w:p>
      <w:pPr>
        <w:pStyle w:val="ArticleScripture"/>
        <w:jc w:val="left"/>
      </w:pPr>
      <w:r>
        <w:rPr>
          <w:rFonts w:ascii="Times New Roman" w:hAnsi="Times New Roman" w:eastAsia="Times New Roman" w:cs="Times New Roman"/>
        </w:rPr>
        <w:t>«Աստվածապաշտությունը պնդում է, թե մարդիկ անկում չապրած կիսաստվածներ են, թե «յուրաքանչյուր միտք ինքն իրեն պիտի դատի», թե «ճշմարիտ գիտությունը մարդուն վեր է դասում ամեն օրենքից», թե «գործված բոլոր մեղքերն անմեղ են», որովհետև «ինչ որ կա, ճիշտ է», և «Աստված չի դատապարտում»։ Մարդկանց միջից ամենաստորիններին այն ներկայացնում է որպես երկնքում եղող և այնտեղ մեծապես բարձրացված։ Այսպես այն բոլոր մարդկանց հայտարարում է. «Կարևոր չէ, թե ինչ եք անում. ապրեք ինչպես ցանկանում եք, երկինքն ձեր տունն է»։ Այսպիսով բազմություններ առաջնորդվում են հավատալու, թե ցանկությունը բարձրագույն օրենքն է, թե սանձարձակությունը ազատություն է, և թե մարդը պատասխանատու է միայն ինքն իրեն»։</w:t>
      </w:r>
    </w:p>
    <w:p>
      <w:pPr>
        <w:pStyle w:val="ArticleScripture"/>
        <w:jc w:val="left"/>
      </w:pPr>
      <w:r>
        <w:rPr>
          <w:rFonts w:ascii="Times New Roman" w:hAnsi="Times New Roman" w:eastAsia="Times New Roman" w:cs="Times New Roman"/>
        </w:rPr>
        <w:t>“Sa gayong katuruang ibinibigay sa pinakasimula ng buhay, kapag ang bugso ng damdamin ay pinakamalakas, at ang pangangailangan para sa pagpipigil sa sarili at kadalisayan ay pinakamatindi, nasaan ang mga pananggalang ng kagandahang-asal? ano ang pipigil upang ang sanlibutan ay hindi maging ikalawang Sodoma? Kasabay nito, ang anarkiya ay nagsisikap na walisin ang lahat ng kautusan, hindi lamang ang banal, kundi maging ang makatao. Ang pagsasentralisa ng kayamanan at kapangyarihan; ang malalawak na pagsasanib upang payamanin ang iilan kapinsalaan ng nakararami; ang mga pagkakaisa ng mga maralitang uri upang ipagtanggol ang kanilang mga kapakanan at mga pag-aangkin; ang diwa ng pagkabalisa, ng kaguluhan at pagdanak ng dugo; ang pandaigdigang pagpapalaganap ng mismong mga katuruang humantong sa Rebolusyong Pranses—lahat ng ito ay umaakay upang isangkot ang buong sanlibutan sa isang tunggaliang katulad niyaong nagpayanig sa Pransiya.” Education, 227, 228.</w:t>
      </w:r>
    </w:p>
    <w:p>
      <w:pPr>
        <w:pStyle w:val="ArticleBody"/>
        <w:jc w:val="left"/>
      </w:pPr>
      <w:r>
        <w:rPr>
          <w:rFonts w:ascii="Times New Roman" w:hAnsi="Times New Roman" w:eastAsia="Times New Roman" w:cs="Times New Roman"/>
        </w:rPr>
        <w:t>Hver einasti hugsandi maður ætti að spyrja sjálfan sig hvað fari fram á samkomum sem þeim er nýlega áttu sér stað í Davos, þar sem menn setja fram áform sín um plánetuna jörð án nokkurs tillits til annarra íbúa jarðarinnar. Hvaða leyndarmál voru þar rædd? Að sjálfsögðu er Davos einfaldlega einn af nokkrum leynilegum, lokuðum fundum auðkýfinga heimsins, bankamanna, spilltra stjórnmálamanna og siðferðilega spilltra manna sem móta upphafin áform sín fyrir plánetuna jörð.</w:t>
      </w:r>
    </w:p>
    <w:p>
      <w:pPr>
        <w:pStyle w:val="ArticleScripture"/>
        <w:jc w:val="left"/>
      </w:pPr>
      <w:r>
        <w:rPr>
          <w:rFonts w:ascii="Times New Roman" w:hAnsi="Times New Roman" w:eastAsia="Times New Roman" w:cs="Times New Roman"/>
        </w:rPr>
        <w:t>«En ces derniers jours, il s’élève d’étranges erreurs et des théories fabriquées par les hommes, que Dieu déclare devoir être mises en pièces. L’esprit de convoitise a conduit les hommes à rechercher l’avantage mondain, et, par l’extravagance et l’ostentation, ils ont essayé de dissimuler les actions mauvaises qu’ils ont commises afin d’atteindre leur but. Des hommes occupant de hautes charges de confiance ont manifesté ce désir illégitime de gain ; ils ont pratiqué l’extorsion et le vol, et ont satisfait les passions mauvaises de leur cœur, jusqu’à ce que nos villes soient corrompues par leur perversité. Dieu a déclaré qu’il mettra au jour ces œuvres de tromperie et de rapine par leur propre action. Dans certains cas, les jugements de Dieu sont déjà tombés lourdement sur ces villes.»</w:t>
      </w:r>
    </w:p>
    <w:p>
      <w:pPr>
        <w:pStyle w:val="ArticleScripture"/>
        <w:jc w:val="left"/>
      </w:pPr>
      <w:r>
        <w:rPr>
          <w:rFonts w:ascii="Times New Roman" w:hAnsi="Times New Roman" w:eastAsia="Times New Roman" w:cs="Times New Roman"/>
        </w:rPr>
        <w:t>« Ésaïe 8:8–12 cité. » Review and Herald, 18 juillet 1907.</w:t>
      </w:r>
    </w:p>
    <w:p>
      <w:pPr>
        <w:pStyle w:val="ArticleBody"/>
        <w:jc w:val="left"/>
      </w:pPr>
      <w:r>
        <w:rPr>
          <w:rFonts w:ascii="Times New Roman" w:hAnsi="Times New Roman" w:eastAsia="Times New Roman" w:cs="Times New Roman"/>
        </w:rPr>
        <w:t>Le città sono state corrotte, come predetto nel passo precedente, e tale corruzione è prodotta dall’empia confederazione di Isaia capitolo otto. Esse sono state corrotte da “uomini che occupano alte posizioni di fiducia”, i quali “hanno rivelato” il loro “illecito desiderio di guadagno”. Le città corrotte si vedono facilmente negli Stati i cui procuratori generali sono stati eletti con i fondi di comunisti quali George Soros. Ciò si può vedere quando leggi stabilite non vengono fatte rispettare da politici corrotti a Washington, DC. Lo si può vedere in leggi che vengono applicate soltanto contro coloro che stanno dall’altro lato dello spettro politico, come illustrato da persone quali Nancy Pelosi e Adam Schiff.</w:t>
      </w:r>
    </w:p>
    <w:p>
      <w:pPr>
        <w:pStyle w:val="ArticleScripture"/>
        <w:jc w:val="left"/>
      </w:pPr>
      <w:r>
        <w:rPr>
          <w:rFonts w:ascii="Microsoft YaHei" w:hAnsi="Microsoft YaHei" w:eastAsia="Microsoft YaHei" w:cs="Microsoft YaHei"/>
        </w:rPr>
        <w:t>甚叛逆</w:t>
      </w:r>
      <w:r>
        <w:rPr>
          <w:rFonts w:ascii="Times New Roman" w:hAnsi="Times New Roman" w:eastAsia="Times New Roman" w:cs="Times New Roman"/>
        </w:rPr>
        <w:t>,</w:t>
      </w:r>
      <w:r>
        <w:rPr>
          <w:rFonts w:ascii="Microsoft YaHei" w:hAnsi="Microsoft YaHei" w:eastAsia="Microsoft YaHei" w:cs="Microsoft YaHei"/>
        </w:rPr>
        <w:t>訧棄絕</w:t>
      </w:r>
      <w:r>
        <w:rPr>
          <w:rFonts w:ascii="SimSun-ExtB" w:hAnsi="SimSun-ExtB" w:eastAsia="SimSun-ExtB" w:cs="SimSun-ExtB"/>
        </w:rPr>
        <w:t>𠊧</w:t>
      </w:r>
      <w:r>
        <w:rPr>
          <w:rFonts w:ascii="Microsoft YaHei" w:hAnsi="Microsoft YaHei" w:eastAsia="Microsoft YaHei" w:cs="Microsoft YaHei"/>
        </w:rPr>
        <w:t>之天主</w:t>
      </w:r>
      <w:r>
        <w:rPr>
          <w:rFonts w:ascii="Times New Roman" w:hAnsi="Times New Roman" w:eastAsia="Times New Roman" w:cs="Times New Roman"/>
        </w:rPr>
        <w:t>,</w:t>
      </w:r>
      <w:r>
        <w:rPr>
          <w:rFonts w:ascii="Microsoft YaHei" w:hAnsi="Microsoft YaHei" w:eastAsia="Microsoft YaHei" w:cs="Microsoft YaHei"/>
        </w:rPr>
        <w:t>出言欺壓與悖逆</w:t>
      </w:r>
      <w:r>
        <w:rPr>
          <w:rFonts w:ascii="Times New Roman" w:hAnsi="Times New Roman" w:eastAsia="Times New Roman" w:cs="Times New Roman"/>
        </w:rPr>
        <w:t>,</w:t>
      </w:r>
      <w:r>
        <w:rPr>
          <w:rFonts w:ascii="Microsoft YaHei" w:hAnsi="Microsoft YaHei" w:eastAsia="Microsoft YaHei" w:cs="Microsoft YaHei"/>
        </w:rPr>
        <w:t>心中懷藏虛謊之言而發於口</w:t>
      </w:r>
      <w:r>
        <w:rPr>
          <w:rFonts w:ascii="Times New Roman" w:hAnsi="Times New Roman" w:eastAsia="Times New Roman" w:cs="Times New Roman"/>
        </w:rPr>
        <w:t>.</w:t>
      </w:r>
      <w:r>
        <w:rPr>
          <w:rFonts w:ascii="Microsoft YaHei" w:hAnsi="Microsoft YaHei" w:eastAsia="Microsoft YaHei" w:cs="Microsoft YaHei"/>
        </w:rPr>
        <w:t>公平退後</w:t>
      </w:r>
      <w:r>
        <w:rPr>
          <w:rFonts w:ascii="Times New Roman" w:hAnsi="Times New Roman" w:eastAsia="Times New Roman" w:cs="Times New Roman"/>
        </w:rPr>
        <w:t>,</w:t>
      </w:r>
      <w:r>
        <w:rPr>
          <w:rFonts w:ascii="Microsoft YaHei" w:hAnsi="Microsoft YaHei" w:eastAsia="Microsoft YaHei" w:cs="Microsoft YaHei"/>
        </w:rPr>
        <w:t>公義遠立</w:t>
      </w:r>
      <w:r>
        <w:rPr>
          <w:rFonts w:ascii="Times New Roman" w:hAnsi="Times New Roman" w:eastAsia="Times New Roman" w:cs="Times New Roman"/>
        </w:rPr>
        <w:t>;</w:t>
      </w:r>
      <w:r>
        <w:rPr>
          <w:rFonts w:ascii="Microsoft YaHei" w:hAnsi="Microsoft YaHei" w:eastAsia="Microsoft YaHei" w:cs="Microsoft YaHei"/>
        </w:rPr>
        <w:t>誠實仆倒於街市</w:t>
      </w:r>
      <w:r>
        <w:rPr>
          <w:rFonts w:ascii="Times New Roman" w:hAnsi="Times New Roman" w:eastAsia="Times New Roman" w:cs="Times New Roman"/>
        </w:rPr>
        <w:t>,</w:t>
      </w:r>
      <w:r>
        <w:rPr>
          <w:rFonts w:ascii="Microsoft YaHei" w:hAnsi="Microsoft YaHei" w:eastAsia="Microsoft YaHei" w:cs="Microsoft YaHei"/>
        </w:rPr>
        <w:t>正直不得進入</w:t>
      </w:r>
      <w:r>
        <w:rPr>
          <w:rFonts w:ascii="Times New Roman" w:hAnsi="Times New Roman" w:eastAsia="Times New Roman" w:cs="Times New Roman"/>
        </w:rPr>
        <w:t>.</w:t>
      </w:r>
      <w:r>
        <w:rPr>
          <w:rFonts w:ascii="Microsoft YaHei" w:hAnsi="Microsoft YaHei" w:eastAsia="Microsoft YaHei" w:cs="Microsoft YaHei"/>
        </w:rPr>
        <w:t>誠然</w:t>
      </w:r>
      <w:r>
        <w:rPr>
          <w:rFonts w:ascii="Times New Roman" w:hAnsi="Times New Roman" w:eastAsia="Times New Roman" w:cs="Times New Roman"/>
        </w:rPr>
        <w:t>,</w:t>
      </w:r>
      <w:r>
        <w:rPr>
          <w:rFonts w:ascii="Microsoft YaHei" w:hAnsi="Microsoft YaHei" w:eastAsia="Microsoft YaHei" w:cs="Microsoft YaHei"/>
        </w:rPr>
        <w:t>真理缺乏</w:t>
      </w:r>
      <w:r>
        <w:rPr>
          <w:rFonts w:ascii="Times New Roman" w:hAnsi="Times New Roman" w:eastAsia="Times New Roman" w:cs="Times New Roman"/>
        </w:rPr>
        <w:t>;</w:t>
      </w:r>
      <w:r>
        <w:rPr>
          <w:rFonts w:ascii="Microsoft YaHei" w:hAnsi="Microsoft YaHei" w:eastAsia="Microsoft YaHei" w:cs="Microsoft YaHei"/>
        </w:rPr>
        <w:t>離惡者反成掠物</w:t>
      </w:r>
      <w:r>
        <w:rPr>
          <w:rFonts w:ascii="Times New Roman" w:hAnsi="Times New Roman" w:eastAsia="Times New Roman" w:cs="Times New Roman"/>
        </w:rPr>
        <w:t>.</w:t>
      </w:r>
      <w:r>
        <w:rPr>
          <w:rFonts w:ascii="Microsoft YaHei" w:hAnsi="Microsoft YaHei" w:eastAsia="Microsoft YaHei" w:cs="Microsoft YaHei"/>
        </w:rPr>
        <w:t>上主見此</w:t>
      </w:r>
      <w:r>
        <w:rPr>
          <w:rFonts w:ascii="Times New Roman" w:hAnsi="Times New Roman" w:eastAsia="Times New Roman" w:cs="Times New Roman"/>
        </w:rPr>
        <w:t>,</w:t>
      </w:r>
      <w:r>
        <w:rPr>
          <w:rFonts w:ascii="Microsoft YaHei" w:hAnsi="Microsoft YaHei" w:eastAsia="Microsoft YaHei" w:cs="Microsoft YaHei"/>
        </w:rPr>
        <w:t>因無公平</w:t>
      </w:r>
      <w:r>
        <w:rPr>
          <w:rFonts w:ascii="Times New Roman" w:hAnsi="Times New Roman" w:eastAsia="Times New Roman" w:cs="Times New Roman"/>
        </w:rPr>
        <w:t>,</w:t>
      </w:r>
      <w:r>
        <w:rPr>
          <w:rFonts w:ascii="Microsoft YaHei" w:hAnsi="Microsoft YaHei" w:eastAsia="Microsoft YaHei" w:cs="Microsoft YaHei"/>
        </w:rPr>
        <w:t>便以為不悅</w:t>
      </w:r>
      <w:r>
        <w:rPr>
          <w:rFonts w:ascii="Times New Roman" w:hAnsi="Times New Roman" w:eastAsia="Times New Roman" w:cs="Times New Roman"/>
        </w:rPr>
        <w:t>.</w:t>
      </w:r>
      <w:r>
        <w:rPr>
          <w:rFonts w:ascii="Microsoft YaHei" w:hAnsi="Microsoft YaHei" w:eastAsia="Microsoft YaHei" w:cs="Microsoft YaHei"/>
        </w:rPr>
        <w:t>以賽亞書</w:t>
      </w:r>
      <w:r>
        <w:rPr>
          <w:rFonts w:ascii="Times New Roman" w:hAnsi="Times New Roman" w:eastAsia="Times New Roman" w:cs="Times New Roman"/>
        </w:rPr>
        <w:t xml:space="preserve"> 59:13–15.</w:t>
      </w:r>
    </w:p>
    <w:p>
      <w:pPr>
        <w:pStyle w:val="ArticleBody"/>
        <w:jc w:val="left"/>
      </w:pPr>
      <w:r>
        <w:rPr>
          <w:rFonts w:ascii="Times New Roman" w:hAnsi="Times New Roman" w:eastAsia="Times New Roman" w:cs="Times New Roman"/>
        </w:rPr>
        <w:t>Dans le passage précédent tiré de la Review and Herald, les hommes qui occupent des postes élevés de confiance désignent des politiciens corrompus dont les portefeuilles de Wall Street dépassent toujours les meilleurs rendements possibles, en raison de leur action législative consistant à légaliser pour eux-mêmes le « délit d’initié », et pour personne d’autre. Passez en revue l’histoire de Martha Stewart. Les villes mentionnées dans le passage sont corrompues par leur perversité, et cela est particulièrement manifeste dans les villes et les États gouvernés par les démocrates mondialistes.</w:t>
      </w:r>
    </w:p>
    <w:p>
      <w:pPr>
        <w:pStyle w:val="ArticleBody"/>
        <w:jc w:val="left"/>
      </w:pPr>
      <w:r>
        <w:rPr>
          <w:rFonts w:ascii="Times New Roman" w:hAnsi="Times New Roman" w:eastAsia="Times New Roman" w:cs="Times New Roman"/>
        </w:rPr>
        <w:t>Koalisi jahat pada akhir zaman terdiri dari naga, binatang, dan nabi palsu; dan binatang serta nabi palsu memiliki ciri-ciri kenabian jahat mereka sendiri, tetapi ciri-ciri yang demikian nyata dalam globalisme liberal adalah sifat-sifat naga.</w:t>
      </w:r>
    </w:p>
    <w:p>
      <w:pPr>
        <w:pStyle w:val="ArticleScripture"/>
        <w:jc w:val="left"/>
      </w:pPr>
      <w:r>
        <w:rPr>
          <w:rFonts w:ascii="Times New Roman" w:hAnsi="Times New Roman" w:eastAsia="Times New Roman" w:cs="Times New Roman"/>
        </w:rPr>
        <w:t>«Αποκάλυψις 17:13–14» παρατίθεται. «Οὗτοι μίαν γνώμην ἔχουσιν.» Θα υπάρξει ένας παγκόσμιος δεσμός ενώσεως, μία μεγάλη αρμονία, μία συνομοσπονδία των δυνάμεων του Σατανά. «Καὶ τὴν δύναμιν καὶ ἐξουσίαν αὐτῶν τῷ θηρίῳ διδόασιν.» Έτσι εκδηλώνεται η ίδια αυθαίρετη, καταπιεστική εξουσία εναντίον της θρησκευτικής ελευθερίας, της ελευθερίας να λατρεύει κανείς τον Θεό σύμφωνα με τις επιταγές της συνειδήσεως, όπως εκδηλώθηκε από τον παπισμό, όταν στο παρελθόν καταδίωκε εκείνους που τολμούσαν να αρνηθούν να συμμορφωθούν προς τα θρησκευτικά τελετουργικά και τις τελετές του Ρωμαισμού.</w:t>
      </w:r>
    </w:p>
    <w:p>
      <w:pPr>
        <w:pStyle w:val="ArticleScripture"/>
        <w:jc w:val="left"/>
      </w:pPr>
      <w:r>
        <w:rPr>
          <w:rFonts w:ascii="Times New Roman" w:hAnsi="Times New Roman" w:eastAsia="Times New Roman" w:cs="Times New Roman"/>
        </w:rPr>
        <w:t>“Am Kampf, der in den letzten Tagen geführt werden wird, werden sich im Widerstand gegen Gottes Volk alle verderbten Mächte vereinen, die von der Treue zum Gesetz Jehovas abgefallen sind. In diesem Kampf wird der Sabbat des vierten Gebotes der große Streitpunkt sein; denn im Sabbatgebot offenbart sich der große Gesetzgeber selbst als der Schöpfer des Himmels und der Erde.” The Seventh-day Adventist Bible Commentary, 983.</w:t>
      </w:r>
    </w:p>
    <w:p>
      <w:pPr>
        <w:pStyle w:val="ArticleBody"/>
        <w:jc w:val="left"/>
      </w:pPr>
      <w:r>
        <w:rPr>
          <w:rFonts w:ascii="Times New Roman" w:hAnsi="Times New Roman" w:eastAsia="Times New Roman" w:cs="Times New Roman"/>
        </w:rPr>
        <w:t>ئەم خەسڵەتە پێغەمبەرانەییەکانی ئاژەڵەکە و پروتستانتییە دەستوورلابردووەکە لە وتارەکانی داهاتوودا دەخەینە بەرچاو. گرنگە بناسین کە چی ئاشکرا کراوە سەبارەت بەوەی کام پارتەی سیاسی پێشەنگی دەکات و لە پشت پەردەوە هەموو شتەکان دەجوڵێنێت لە سەپاندنی یاسای یەکشەممەدا. بە دڵنیاییەوە، هەردوو پارتەکە (دیموکرات و کۆماری) لە بابەتی یاسای یەکشەممەدا یەکدەگرن، هەروەک فەریسییەکان و سەدوقییەکان لەسەر خاچەکە یەکگرتوون؛ بەڵام هیچ هۆکارێکی شیاو و بەرپرس نەبووە بۆ ئەوەی پێشبینی بکرێت ناونیشانی «پروتستانت» یان «پروتستانتیی دەستوورلابردوو» بتوانرێت بە پارتەی دیموکرات بپەیوەسترێت، چونکە بە ڕوونی هێزی ئەژدیهاکەیە.</w:t>
      </w:r>
    </w:p>
    <w:p>
      <w:pPr>
        <w:pStyle w:val="ArticleBody"/>
        <w:jc w:val="left"/>
      </w:pPr>
      <w:r>
        <w:rPr>
          <w:rFonts w:ascii="Times New Roman" w:hAnsi="Times New Roman" w:eastAsia="Times New Roman" w:cs="Times New Roman"/>
        </w:rPr>
        <w:t>L’histoire du scellement des cent quarante-quatre mille est l’histoire dans laquelle la mauvaise confédération d’Ésaïe au chapitre huit est identifiée. Cette histoire a commencé le 11 septembre 2001, lorsque le quatrième président, Bush le second, était au pouvoir. Dans cette histoire, le sixième président paraîtrait en 2016, et il réveillerait (susciterait) tout le royaume de la Grèce, car il réveillerait le monde à la lutte entre la puissance du dragon et le protestantisme apostat, laquelle accomplit l’œuvre de restaurer la bête sur le trône de la terre.</w:t>
      </w:r>
    </w:p>
    <w:p>
      <w:pPr>
        <w:pStyle w:val="ArticleBody"/>
        <w:jc w:val="left"/>
      </w:pPr>
      <w:r>
        <w:rPr>
          <w:rFonts w:ascii="Times New Roman" w:hAnsi="Times New Roman" w:eastAsia="Times New Roman" w:cs="Times New Roman"/>
        </w:rPr>
        <w:t>La haine aveugle et déraisonnable dirigée contre Trump est considérée par beaucoup comme une forme de folie, car elle repose sur la malhonnêteté et une logique irrationnelle. Le monde tente de définir cette haine injustifiable envers Trump, mais la réalité est qu’il ne s’agit pas, de la part des mondialistes, d’une simple folie humaine; c’est la manifestation surnaturelle de l’accomplissement de la prophétie au cours de l’histoire du scellement des cent quarante-quatre mille.</w:t>
      </w:r>
    </w:p>
    <w:p>
      <w:pPr>
        <w:pStyle w:val="ArticleScripture"/>
        <w:jc w:val="left"/>
      </w:pPr>
      <w:r>
        <w:rPr>
          <w:rFonts w:ascii="Times New Roman" w:hAnsi="Times New Roman" w:eastAsia="Times New Roman" w:cs="Times New Roman"/>
        </w:rPr>
        <w:t>“Naku la, baya ga mutanen Allah su kasance da fahimtar halakar da ke gabatowa ta dubban birane, waɗanda yanzu kusan an ba da su ga bautar gumaka! Amma da yawa daga cikin waɗanda ya kamata su kasance suna shelar gaskiya suna zargi da hukunta ’yan’uwansu. Sa’ad da ikon tuba na Allah ya sauko a kan zukata, za a sami tabbataccen canji. Mutane ba za su kasance da wani hali na yin suka da rushewa ba. Ba za su tsaya a matsayin da ke hana haske haskakawa ga duniya ba. Sukarsu da zarge-zargensu za su ƙare. Ƙarfin ikon maƙiyi yana tattaruwa domin yaƙi. Mummunan gwagwarmaya yana gabanmu. Ku matso kusa, ’yan’uwana maza da mata, ku matso kusa. Ku daure kanku ga Almasihu. ‘Kada ku ce, A makarkashiya,... kada kuma ku ji tsoron abin da suke tsoro, kada ku firgita. Ku tsarkake Ubangijin runduna shi kaɗai; shi ne zai zama tsoronku, shi ne kuma zai zama razanarku. Zai kuwa zama wurin tsarki; amma dutse na tuntuɓe da dutsen laifi ga gidaje biyu na Isra’ila, tarko da kuma tarkon kama ga mazaunan Urushalima. Da yawa kuwa a cikinsu za su yi tuntuɓe, su faɗi, a karya su, a kama su da tarko, a kuma kama su.’”</w:t>
      </w:r>
    </w:p>
    <w:p>
      <w:pPr>
        <w:pStyle w:val="ArticleScripture"/>
        <w:jc w:val="left"/>
      </w:pPr>
      <w:r>
        <w:rPr>
          <w:rFonts w:ascii="Times New Roman" w:hAnsi="Times New Roman" w:eastAsia="Times New Roman" w:cs="Times New Roman"/>
        </w:rPr>
        <w:t>„Lewatle ke lebala la ditiragalo. Baatleletsi, e leng baagi ba yone, ba ipaakanyetsa go dira karolo ya bone mo terameng e kgolo ya bofelo. Modimo ga a sa lemogiwa. Mo bontsing jo bogolo jwa batho ga go na bongwe, fa e se fela jaaka batho ba ikopanya go fitlhelela maikaelelo a bone a boithati. Modimo o lebile. Maikaelelo a gagwe malebana le baagi ba gagwe ba ba tsuologileng a tla diragadiwa. Lefatshe ga le a neelwa mo diatleng tsa batho, le fa Modimo a letla gore dithata tsa tlhakatlhakano le tlhakatlhakano ya taolo di buse ka nakwana. Thata nngwe e e tswang kwa tlase e a dira go tlisa ditiragalo tse dikgolo tsa bofelo mo terameng,—Satane a tla jaaka Keresete, mme a dira ka tsietso tsotlhe tsa tshiamololo mo go ba ba ikgokelelang mmogo mo mekgatlhong ya sephiri. Ba ba ineelang mo keletsong ya go ikopanya ba diragatsa maano a mmaba. Sebaka se tla latelwa ke ditlamorago tsa sone.”</w:t>
      </w:r>
    </w:p>
    <w:p>
      <w:pPr>
        <w:pStyle w:val="ArticleScripture"/>
        <w:jc w:val="left"/>
      </w:pPr>
      <w:r>
        <w:rPr>
          <w:rFonts w:ascii="Times New Roman" w:hAnsi="Times New Roman" w:eastAsia="Times New Roman" w:cs="Times New Roman"/>
        </w:rPr>
        <w:t>«La transgression a presque atteint sa limite. La confusion remplit le monde, et une grande terreur va bientôt s’abattre sur les êtres humains. La fin est très proche. Nous qui connaissons la vérité, nous devrions nous préparer à ce qui va bientôt fondre sur le monde comme une surprise accablante.» Review and Herald, 10 septembre 1903.</w:t>
      </w:r>
    </w:p>
    <w:p>
      <w:pPr>
        <w:pStyle w:val="ArticleBody"/>
        <w:jc w:val="left"/>
      </w:pPr>
      <w:r>
        <w:rPr>
          <w:rFonts w:ascii="Times New Roman" w:hAnsi="Times New Roman" w:eastAsia="Times New Roman" w:cs="Times New Roman"/>
        </w:rPr>
        <w:t>Le troisième malheur de l’islam est sur le point de frapper « des milliers de villes », et l’adventisme laodicéen n’a aucun sentiment de la destruction imminente qui est sur le point de survenir. Dans la période où la mauvaise confédération d’Ésaïe accomplit son œuvre, il y a une « puissance d’en bas » satanique qui « agit pour amener les dernières grandes scènes du drame », et ces choses viennent comme une « surprise accablante ». La folie exercée à l’égard de Trump est causée par une puissance d’en bas. Elle constitue un élément des dernières scènes de l’histoire de la terre.</w:t>
      </w:r>
    </w:p>
    <w:p>
      <w:pPr>
        <w:pStyle w:val="ArticleBody"/>
        <w:jc w:val="left"/>
      </w:pPr>
      <w:r>
        <w:rPr>
          <w:rFonts w:ascii="Times New Roman" w:hAnsi="Times New Roman" w:eastAsia="Times New Roman" w:cs="Times New Roman"/>
        </w:rPr>
        <w:t>Ceci ne doit pas être compris comme un appui à Trump ; c’est simplement la Parole de Dieu, qui ne faillît jamais. Durant le scellement des cent quarante-quatre mille, Dieu répand sa puissance d’en haut, tandis que Satan exerce sa puissance d’en bas.</w:t>
      </w:r>
    </w:p>
    <w:p>
      <w:pPr>
        <w:pStyle w:val="ArticleScripture"/>
        <w:jc w:val="left"/>
      </w:pPr>
      <w:r>
        <w:rPr>
          <w:rFonts w:ascii="Times New Roman" w:hAnsi="Times New Roman" w:eastAsia="Times New Roman" w:cs="Times New Roman"/>
        </w:rPr>
        <w:t>“</w:t>
      </w:r>
      <w:r>
        <w:rPr>
          <w:rFonts w:ascii="Nirmala UI" w:hAnsi="Nirmala UI" w:eastAsia="Nirmala UI" w:cs="Nirmala UI"/>
        </w:rPr>
        <w:t>यदि</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आत्मा</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सामर्थ्य</w:t>
      </w:r>
      <w:r>
        <w:rPr>
          <w:rFonts w:ascii="Times New Roman" w:hAnsi="Times New Roman" w:eastAsia="Times New Roman" w:cs="Times New Roman"/>
        </w:rPr>
        <w:t xml:space="preserve"> </w:t>
      </w:r>
      <w:r>
        <w:rPr>
          <w:rFonts w:ascii="Nirmala UI" w:hAnsi="Nirmala UI" w:eastAsia="Nirmala UI" w:cs="Nirmala UI"/>
        </w:rPr>
        <w:t>प्राप्त</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सुसमाचार</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हाथ</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हाथ</w:t>
      </w:r>
      <w:r>
        <w:rPr>
          <w:rFonts w:ascii="Times New Roman" w:hAnsi="Times New Roman" w:eastAsia="Times New Roman" w:cs="Times New Roman"/>
        </w:rPr>
        <w:t xml:space="preserve"> </w:t>
      </w:r>
      <w:r>
        <w:rPr>
          <w:rFonts w:ascii="Nirmala UI" w:hAnsi="Nirmala UI" w:eastAsia="Nirmala UI" w:cs="Nirmala UI"/>
        </w:rPr>
        <w:t>डाले</w:t>
      </w:r>
      <w:r>
        <w:rPr>
          <w:rFonts w:ascii="Times New Roman" w:hAnsi="Times New Roman" w:eastAsia="Times New Roman" w:cs="Times New Roman"/>
        </w:rPr>
        <w:t xml:space="preserve"> </w:t>
      </w:r>
      <w:r>
        <w:rPr>
          <w:rFonts w:ascii="Nirmala UI" w:hAnsi="Nirmala UI" w:eastAsia="Nirmala UI" w:cs="Nirmala UI"/>
        </w:rPr>
        <w:t>चलते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अधोलोक</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शक्ति</w:t>
      </w:r>
      <w:r>
        <w:rPr>
          <w:rFonts w:ascii="Times New Roman" w:hAnsi="Times New Roman" w:eastAsia="Times New Roman" w:cs="Times New Roman"/>
        </w:rPr>
        <w:t xml:space="preserve"> </w:t>
      </w:r>
      <w:r>
        <w:rPr>
          <w:rFonts w:ascii="Nirmala UI" w:hAnsi="Nirmala UI" w:eastAsia="Nirmala UI" w:cs="Nirmala UI"/>
        </w:rPr>
        <w:t>अवज्ञा</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सन्तानों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उभार</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निष्फल</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तले</w:t>
      </w:r>
      <w:r>
        <w:rPr>
          <w:rFonts w:ascii="Times New Roman" w:hAnsi="Times New Roman" w:eastAsia="Times New Roman" w:cs="Times New Roman"/>
        </w:rPr>
        <w:t xml:space="preserve"> </w:t>
      </w:r>
      <w:r>
        <w:rPr>
          <w:rFonts w:ascii="Nirmala UI" w:hAnsi="Nirmala UI" w:eastAsia="Nirmala UI" w:cs="Nirmala UI"/>
        </w:rPr>
        <w:t>रौंदें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हमारी</w:t>
      </w:r>
      <w:r>
        <w:rPr>
          <w:rFonts w:ascii="Times New Roman" w:hAnsi="Times New Roman" w:eastAsia="Times New Roman" w:cs="Times New Roman"/>
        </w:rPr>
        <w:t xml:space="preserve"> </w:t>
      </w:r>
      <w:r>
        <w:rPr>
          <w:rFonts w:ascii="Nirmala UI" w:hAnsi="Nirmala UI" w:eastAsia="Nirmala UI" w:cs="Nirmala UI"/>
        </w:rPr>
        <w:t>धार्मिकता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वैसे</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ऊपर</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शक्ति</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हृदयों</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निष्ठावान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महान</w:t>
      </w:r>
      <w:r>
        <w:rPr>
          <w:rFonts w:ascii="Times New Roman" w:hAnsi="Times New Roman" w:eastAsia="Times New Roman" w:cs="Times New Roman"/>
        </w:rPr>
        <w:t xml:space="preserve"> </w:t>
      </w:r>
      <w:r>
        <w:rPr>
          <w:rFonts w:ascii="Nirmala UI" w:hAnsi="Nirmala UI" w:eastAsia="Nirmala UI" w:cs="Nirmala UI"/>
        </w:rPr>
        <w:t>ठहराया</w:t>
      </w:r>
      <w:r>
        <w:rPr>
          <w:rFonts w:ascii="Times New Roman" w:hAnsi="Times New Roman" w:eastAsia="Times New Roman" w:cs="Times New Roman"/>
        </w:rPr>
        <w:t xml:space="preserve"> </w:t>
      </w:r>
      <w:r>
        <w:rPr>
          <w:rFonts w:ascii="Nirmala UI" w:hAnsi="Nirmala UI" w:eastAsia="Nirmala UI" w:cs="Nirmala UI"/>
        </w:rPr>
        <w:t>जाए</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यीशु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पूर्ण</w:t>
      </w:r>
      <w:r>
        <w:rPr>
          <w:rFonts w:ascii="Times New Roman" w:hAnsi="Times New Roman" w:eastAsia="Times New Roman" w:cs="Times New Roman"/>
        </w:rPr>
        <w:t xml:space="preserve"> </w:t>
      </w:r>
      <w:r>
        <w:rPr>
          <w:rFonts w:ascii="Nirmala UI" w:hAnsi="Nirmala UI" w:eastAsia="Nirmala UI" w:cs="Nirmala UI"/>
        </w:rPr>
        <w:t>उद्धारकर्ता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ऊँचा</w:t>
      </w:r>
      <w:r>
        <w:rPr>
          <w:rFonts w:ascii="Times New Roman" w:hAnsi="Times New Roman" w:eastAsia="Times New Roman" w:cs="Times New Roman"/>
        </w:rPr>
        <w:t xml:space="preserve"> </w:t>
      </w:r>
      <w:r>
        <w:rPr>
          <w:rFonts w:ascii="Nirmala UI" w:hAnsi="Nirmala UI" w:eastAsia="Nirmala UI" w:cs="Nirmala UI"/>
        </w:rPr>
        <w:t>उठाया</w:t>
      </w:r>
      <w:r>
        <w:rPr>
          <w:rFonts w:ascii="Times New Roman" w:hAnsi="Times New Roman" w:eastAsia="Times New Roman" w:cs="Times New Roman"/>
        </w:rPr>
        <w:t xml:space="preserve"> </w:t>
      </w:r>
      <w:r>
        <w:rPr>
          <w:rFonts w:ascii="Nirmala UI" w:hAnsi="Nirmala UI" w:eastAsia="Nirmala UI" w:cs="Nirmala UI"/>
        </w:rPr>
        <w:t>जाए।</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दैवीय</w:t>
      </w:r>
      <w:r>
        <w:rPr>
          <w:rFonts w:ascii="Times New Roman" w:hAnsi="Times New Roman" w:eastAsia="Times New Roman" w:cs="Times New Roman"/>
        </w:rPr>
        <w:t xml:space="preserve"> </w:t>
      </w:r>
      <w:r>
        <w:rPr>
          <w:rFonts w:ascii="Nirmala UI" w:hAnsi="Nirmala UI" w:eastAsia="Nirmala UI" w:cs="Nirmala UI"/>
        </w:rPr>
        <w:t>शक्ति</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प्रजा</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अनुभव</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लाई</w:t>
      </w:r>
      <w:r>
        <w:rPr>
          <w:rFonts w:ascii="Times New Roman" w:hAnsi="Times New Roman" w:eastAsia="Times New Roman" w:cs="Times New Roman"/>
        </w:rPr>
        <w:t xml:space="preserve"> </w:t>
      </w:r>
      <w:r>
        <w:rPr>
          <w:rFonts w:ascii="Nirmala UI" w:hAnsi="Nirmala UI" w:eastAsia="Nirmala UI" w:cs="Nirmala UI"/>
        </w:rPr>
        <w:t>जाए</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मिथ्या</w:t>
      </w:r>
      <w:r>
        <w:rPr>
          <w:rFonts w:ascii="Times New Roman" w:hAnsi="Times New Roman" w:eastAsia="Times New Roman" w:cs="Times New Roman"/>
        </w:rPr>
        <w:t xml:space="preserve"> </w:t>
      </w:r>
      <w:r>
        <w:rPr>
          <w:rFonts w:ascii="Nirmala UI" w:hAnsi="Nirmala UI" w:eastAsia="Nirmala UI" w:cs="Nirmala UI"/>
        </w:rPr>
        <w:t>सिद्धान्त</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धारणाएँ</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बन्दी</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धार्मिकता</w:t>
      </w:r>
      <w:r>
        <w:rPr>
          <w:rFonts w:ascii="Times New Roman" w:hAnsi="Times New Roman" w:eastAsia="Times New Roman" w:cs="Times New Roman"/>
        </w:rPr>
        <w:t xml:space="preserve"> </w:t>
      </w:r>
      <w:r>
        <w:rPr>
          <w:rFonts w:ascii="Nirmala UI" w:hAnsi="Nirmala UI" w:eastAsia="Nirmala UI" w:cs="Nirmala UI"/>
        </w:rPr>
        <w:t>बहुतों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अनुभव</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बाहर</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दिए</w:t>
      </w:r>
      <w:r>
        <w:rPr>
          <w:rFonts w:ascii="Times New Roman" w:hAnsi="Times New Roman" w:eastAsia="Times New Roman" w:cs="Times New Roman"/>
        </w:rPr>
        <w:t xml:space="preserve"> </w:t>
      </w:r>
      <w:r>
        <w:rPr>
          <w:rFonts w:ascii="Nirmala UI" w:hAnsi="Nirmala UI" w:eastAsia="Nirmala UI" w:cs="Nirmala UI"/>
        </w:rPr>
        <w:t>जाएँगे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विश्वास</w:t>
      </w:r>
      <w:r>
        <w:rPr>
          <w:rFonts w:ascii="Times New Roman" w:hAnsi="Times New Roman" w:eastAsia="Times New Roman" w:cs="Times New Roman"/>
        </w:rPr>
        <w:t xml:space="preserve"> </w:t>
      </w:r>
      <w:r>
        <w:rPr>
          <w:rFonts w:ascii="Nirmala UI" w:hAnsi="Nirmala UI" w:eastAsia="Nirmala UI" w:cs="Nirmala UI"/>
        </w:rPr>
        <w:t>सामर्थ्य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जीवन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रहित</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Gospel Workers, 161.</w:t>
      </w:r>
    </w:p>
    <w:p>
      <w:pPr>
        <w:pStyle w:val="ArticleBody"/>
        <w:jc w:val="left"/>
      </w:pPr>
      <w:r>
        <w:rPr>
          <w:rFonts w:ascii="Times New Roman" w:hAnsi="Times New Roman" w:eastAsia="Times New Roman" w:cs="Times New Roman"/>
        </w:rPr>
        <w:t>La manifestation de la puissance satanique qui se produit avant la loi dominicale imminente, et qui y conduit, préfigure l’acte culminant de la puissance de Satan qui se manifeste lors de cette loi dominicale imminente.</w:t>
      </w:r>
    </w:p>
    <w:p>
      <w:pPr>
        <w:pStyle w:val="ArticleScripture"/>
        <w:jc w:val="left"/>
      </w:pPr>
      <w:r>
        <w:rPr>
          <w:rFonts w:ascii="Times New Roman" w:hAnsi="Times New Roman" w:eastAsia="Times New Roman" w:cs="Times New Roman"/>
        </w:rPr>
        <w:t>“</w:t>
      </w:r>
      <w:r>
        <w:rPr>
          <w:rFonts w:ascii="Microsoft YaHei" w:hAnsi="Microsoft YaHei" w:eastAsia="Microsoft YaHei" w:cs="Microsoft YaHei"/>
        </w:rPr>
        <w:t>通过强制设立教皇制度、并公然违背上帝律法的法令</w:t>
      </w:r>
      <w:r>
        <w:rPr>
          <w:rFonts w:ascii="Times New Roman" w:hAnsi="Times New Roman" w:eastAsia="Times New Roman" w:cs="Times New Roman"/>
        </w:rPr>
        <w:t>,</w:t>
      </w:r>
      <w:r>
        <w:rPr>
          <w:rFonts w:ascii="Microsoft YaHei" w:hAnsi="Microsoft YaHei" w:eastAsia="Microsoft YaHei" w:cs="Microsoft YaHei"/>
        </w:rPr>
        <w:t>我们的国家必将使自己完全与公义断绝</w:t>
      </w:r>
      <w:r>
        <w:rPr>
          <w:rFonts w:ascii="Times New Roman" w:hAnsi="Times New Roman" w:eastAsia="Times New Roman" w:cs="Times New Roman"/>
        </w:rPr>
        <w:t>.</w:t>
      </w:r>
      <w:r>
        <w:rPr>
          <w:rFonts w:ascii="Microsoft YaHei" w:hAnsi="Microsoft YaHei" w:eastAsia="Microsoft YaHei" w:cs="Microsoft YaHei"/>
        </w:rPr>
        <w:t>当新教伸手越过鸿沟</w:t>
      </w:r>
      <w:r>
        <w:rPr>
          <w:rFonts w:ascii="Times New Roman" w:hAnsi="Times New Roman" w:eastAsia="Times New Roman" w:cs="Times New Roman"/>
        </w:rPr>
        <w:t>,</w:t>
      </w:r>
      <w:r>
        <w:rPr>
          <w:rFonts w:ascii="Microsoft YaHei" w:hAnsi="Microsoft YaHei" w:eastAsia="Microsoft YaHei" w:cs="Microsoft YaHei"/>
        </w:rPr>
        <w:t>去握住罗马势力的手</w:t>
      </w:r>
      <w:r>
        <w:rPr>
          <w:rFonts w:ascii="Times New Roman" w:hAnsi="Times New Roman" w:eastAsia="Times New Roman" w:cs="Times New Roman"/>
        </w:rPr>
        <w:t>;</w:t>
      </w:r>
      <w:r>
        <w:rPr>
          <w:rFonts w:ascii="Microsoft YaHei" w:hAnsi="Microsoft YaHei" w:eastAsia="Microsoft YaHei" w:cs="Microsoft YaHei"/>
        </w:rPr>
        <w:t>当她越过深渊</w:t>
      </w:r>
      <w:r>
        <w:rPr>
          <w:rFonts w:ascii="Times New Roman" w:hAnsi="Times New Roman" w:eastAsia="Times New Roman" w:cs="Times New Roman"/>
        </w:rPr>
        <w:t>,</w:t>
      </w:r>
      <w:r>
        <w:rPr>
          <w:rFonts w:ascii="Microsoft YaHei" w:hAnsi="Microsoft YaHei" w:eastAsia="Microsoft YaHei" w:cs="Microsoft YaHei"/>
        </w:rPr>
        <w:t>与招魂术握手</w:t>
      </w:r>
      <w:r>
        <w:rPr>
          <w:rFonts w:ascii="Times New Roman" w:hAnsi="Times New Roman" w:eastAsia="Times New Roman" w:cs="Times New Roman"/>
        </w:rPr>
        <w:t>;</w:t>
      </w:r>
      <w:r>
        <w:rPr>
          <w:rFonts w:ascii="Microsoft YaHei" w:hAnsi="Microsoft YaHei" w:eastAsia="Microsoft YaHei" w:cs="Microsoft YaHei"/>
        </w:rPr>
        <w:t>当在这三重联合的影响之下</w:t>
      </w:r>
      <w:r>
        <w:rPr>
          <w:rFonts w:ascii="Times New Roman" w:hAnsi="Times New Roman" w:eastAsia="Times New Roman" w:cs="Times New Roman"/>
        </w:rPr>
        <w:t>,</w:t>
      </w:r>
      <w:r>
        <w:rPr>
          <w:rFonts w:ascii="Microsoft YaHei" w:hAnsi="Microsoft YaHei" w:eastAsia="Microsoft YaHei" w:cs="Microsoft YaHei"/>
        </w:rPr>
        <w:t>我们的国家将否弃其作为一个新教且共和政体之宪法的一切原则</w:t>
      </w:r>
      <w:r>
        <w:rPr>
          <w:rFonts w:ascii="Times New Roman" w:hAnsi="Times New Roman" w:eastAsia="Times New Roman" w:cs="Times New Roman"/>
        </w:rPr>
        <w:t>,</w:t>
      </w:r>
      <w:r>
        <w:rPr>
          <w:rFonts w:ascii="Microsoft YaHei" w:hAnsi="Microsoft YaHei" w:eastAsia="Microsoft YaHei" w:cs="Microsoft YaHei"/>
        </w:rPr>
        <w:t>并为传播教皇制度的谬妄与迷惑预作安排之时</w:t>
      </w:r>
      <w:r>
        <w:rPr>
          <w:rFonts w:ascii="Times New Roman" w:hAnsi="Times New Roman" w:eastAsia="Times New Roman" w:cs="Times New Roman"/>
        </w:rPr>
        <w:t>,</w:t>
      </w:r>
      <w:r>
        <w:rPr>
          <w:rFonts w:ascii="Microsoft YaHei" w:hAnsi="Microsoft YaHei" w:eastAsia="Microsoft YaHei" w:cs="Microsoft YaHei"/>
        </w:rPr>
        <w:t>我们便可以知道</w:t>
      </w:r>
      <w:r>
        <w:rPr>
          <w:rFonts w:ascii="Times New Roman" w:hAnsi="Times New Roman" w:eastAsia="Times New Roman" w:cs="Times New Roman"/>
        </w:rPr>
        <w:t>,</w:t>
      </w:r>
      <w:r>
        <w:rPr>
          <w:rFonts w:ascii="Microsoft YaHei" w:hAnsi="Microsoft YaHei" w:eastAsia="Microsoft YaHei" w:cs="Microsoft YaHei"/>
        </w:rPr>
        <w:t>撒但奇异作为的时候已经来到</w:t>
      </w:r>
      <w:r>
        <w:rPr>
          <w:rFonts w:ascii="Times New Roman" w:hAnsi="Times New Roman" w:eastAsia="Times New Roman" w:cs="Times New Roman"/>
        </w:rPr>
        <w:t>,</w:t>
      </w:r>
      <w:r>
        <w:rPr>
          <w:rFonts w:ascii="Microsoft YaHei" w:hAnsi="Microsoft YaHei" w:eastAsia="Microsoft YaHei" w:cs="Microsoft YaHei"/>
        </w:rPr>
        <w:t>而且末日近了</w:t>
      </w:r>
      <w:r>
        <w:rPr>
          <w:rFonts w:ascii="Times New Roman" w:hAnsi="Times New Roman" w:eastAsia="Times New Roman" w:cs="Times New Roman"/>
        </w:rPr>
        <w:t>.”«</w:t>
      </w:r>
      <w:r>
        <w:rPr>
          <w:rFonts w:ascii="Microsoft YaHei" w:hAnsi="Microsoft YaHei" w:eastAsia="Microsoft YaHei" w:cs="Microsoft YaHei"/>
        </w:rPr>
        <w:t>证言</w:t>
      </w:r>
      <w:r>
        <w:rPr>
          <w:rFonts w:ascii="Times New Roman" w:hAnsi="Times New Roman" w:eastAsia="Times New Roman" w:cs="Times New Roman"/>
        </w:rPr>
        <w:t>»</w:t>
      </w:r>
      <w:r>
        <w:rPr>
          <w:rFonts w:ascii="Microsoft YaHei" w:hAnsi="Microsoft YaHei" w:eastAsia="Microsoft YaHei" w:cs="Microsoft YaHei"/>
        </w:rPr>
        <w:t>卷五</w:t>
      </w:r>
      <w:r>
        <w:rPr>
          <w:rFonts w:ascii="Times New Roman" w:hAnsi="Times New Roman" w:eastAsia="Times New Roman" w:cs="Times New Roman"/>
        </w:rPr>
        <w:t>,451</w:t>
      </w:r>
      <w:r>
        <w:rPr>
          <w:rFonts w:ascii="Microsoft YaHei" w:hAnsi="Microsoft YaHei" w:eastAsia="Microsoft YaHei" w:cs="Microsoft YaHei"/>
        </w:rPr>
        <w:t>页</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Le mobile qui procède actuellement d’en bas, et qui manifeste son activité chez les représentants mondialistes du dragon aux États-Unis, se reproduira dans les nations du monde lorsque la loi du dimanche sera promulguée. Dès à présent, les nations du monde manifestent la même folie surnaturelle à l’égard de Trump.</w:t>
      </w:r>
    </w:p>
    <w:p>
      <w:pPr>
        <w:pStyle w:val="ArticleScripture"/>
        <w:jc w:val="left"/>
      </w:pPr>
      <w:r>
        <w:rPr>
          <w:rFonts w:ascii="Times New Roman" w:hAnsi="Times New Roman" w:eastAsia="Times New Roman" w:cs="Times New Roman"/>
        </w:rPr>
        <w:t>“Les nations étrangères suivront l’exemple des États-Unis. Bien qu’ils prennent l’initiative, la même crise surviendra néanmoins pour notre peuple dans toutes les parties du monde.” Testimonies, volume 6, 395.</w:t>
      </w:r>
    </w:p>
    <w:p>
      <w:pPr>
        <w:pStyle w:val="ArticleBody"/>
        <w:jc w:val="left"/>
      </w:pPr>
      <w:r>
        <w:rPr>
          <w:rFonts w:ascii="Times New Roman" w:hAnsi="Times New Roman" w:eastAsia="Times New Roman" w:cs="Times New Roman"/>
        </w:rPr>
        <w:t>WaseRepublican base-United States abachaza njengobuhlanya ngasecaleni lamaDemocrat ekuphikisaneni kwawo okungenangqondo noTrump, empeleni kuwukubonakaliswa okungaphezu kwemvelo kwamandla kaSathane, okugcwalisa uDaniyeli isahluko seshumi nanye, ivesi lesibili. UTrump, ongumongameli wesithupha kusukela esikhathini sokuphela ngo-1989, wayezovusa “stir up” (awaken), ama-globalist ezenhlalo zososayensi emhlabeni wonke. Inzondo emelene naye ingaphezu kwemvelo, futhi iyisandulelo sokubonakaliswa kwamandla kaSathane okufika ngobukhulu obukhulu ngokwengeziwe emthethweni weSonto osuzayo maduze.</w:t>
      </w:r>
    </w:p>
    <w:p>
      <w:pPr>
        <w:pStyle w:val="ArticleBody"/>
        <w:jc w:val="left"/>
      </w:pPr>
      <w:r>
        <w:rPr>
          <w:rFonts w:ascii="Times New Roman" w:hAnsi="Times New Roman" w:eastAsia="Times New Roman" w:cs="Times New Roman"/>
        </w:rPr>
        <w:t>La manifestation de la puissance d’en bas, selon la référence de sœur White, a lieu durant la confédération du mal, contre laquelle Ésaïe met en garde au chapitre huit, et durant cette période le scellement du peuple de Dieu est en cours.</w:t>
      </w:r>
    </w:p>
    <w:p>
      <w:pPr>
        <w:pStyle w:val="ArticleScripture"/>
        <w:jc w:val="left"/>
      </w:pPr>
      <w:r>
        <w:rPr>
          <w:rFonts w:ascii="Times New Roman" w:hAnsi="Times New Roman" w:eastAsia="Times New Roman" w:cs="Times New Roman"/>
        </w:rPr>
        <w:t>Kemahilah kesaksian itu, meteraikanlah hukum Taurat di antara murid-murid-Ku. Yesaya 8:16.</w:t>
      </w:r>
    </w:p>
    <w:p>
      <w:pPr>
        <w:pStyle w:val="ArticleBody"/>
        <w:jc w:val="left"/>
      </w:pP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अध्ययन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अगले</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जारी</w:t>
      </w:r>
      <w:r>
        <w:rPr>
          <w:rFonts w:ascii="Times New Roman" w:hAnsi="Times New Roman" w:eastAsia="Times New Roman" w:cs="Times New Roman"/>
        </w:rPr>
        <w:t xml:space="preserve"> </w:t>
      </w:r>
      <w:r>
        <w:rPr>
          <w:rFonts w:ascii="Nirmala UI" w:hAnsi="Nirmala UI" w:eastAsia="Nirmala UI" w:cs="Nirmala UI"/>
        </w:rPr>
        <w:t>रखेंगे।</w:t>
      </w:r>
    </w:p>
    <w:p>
      <w:pPr>
        <w:pStyle w:val="ArticleScripture"/>
        <w:jc w:val="left"/>
      </w:pPr>
      <w:r>
        <w:rPr>
          <w:rFonts w:ascii="Times New Roman" w:hAnsi="Times New Roman" w:eastAsia="Times New Roman" w:cs="Times New Roman"/>
        </w:rPr>
        <w:t>« Des spectacles terrifiants d’un caractère surnaturel seront bientôt révélés dans les cieux, comme signe de la puissance des démons faiseurs de miracles. Les esprits de démons s’en iront vers les rois de la terre et vers le monde entier, afin de les enfermer dans la séduction et de les pousser à s’unir à Satan dans sa dernière lutte contre le gouvernement du ciel. Par ces agents, les gouvernants comme les sujets seront pareillement séduits. Des personnes s’élèveront, se prétendant le Christ Lui-même, et revendiquant le titre et l’adoration qui appartiennent au Rédempteur du monde. Elles accompliront de merveilleux miracles de guérison et prétendront avoir des révélations venant du ciel qui contrediront le témoignage des Écritures. »</w:t>
      </w:r>
    </w:p>
    <w:p>
      <w:pPr>
        <w:pStyle w:val="ArticleScripture"/>
        <w:jc w:val="left"/>
      </w:pPr>
      <w:r>
        <w:rPr>
          <w:rFonts w:ascii="Times New Roman" w:hAnsi="Times New Roman" w:eastAsia="Times New Roman" w:cs="Times New Roman"/>
        </w:rPr>
        <w:t>“En la ĉefkulmina ago de la granda dramo de trompo, Satano mem personigos Kriston. La eklezio jam delonge konfesis, ke ŝi atendas la alvenon de la Savanto kiel la plenumiĝon de siaj esperoj. Nun la granda trompanto igos ŝajni, ke Kristo venis. En diversaj partoj de la tero, Satano aperigos sin inter homoj kiel majeste majestan estaĵon de blindiga heleco, similan al la priskribo de la Filo de Dio donita de Johano en la Revelacio. Revelation 1:13–15. La gloro, kiu lin ĉirkaŭas, estas nesuperebla de io ajn, kion mortemaj okuloj ĝis nun vidis. La triumfkrio sonas tra la aero: ‘Kristo venis! Kristo venis!’ La homoj falas antaŭ li teren en adoro, dum li levas siajn manojn kaj eldiras benon super ili, kiel Kristo benis Siajn disĉiplojn, kiam Li estis sur la tero. Lia voĉo estas milda kaj kvieta, tamen plena de melodio. Per mildaj, kompatemaj tonoj li prezentas kelkajn el la samaj graciaj, ĉielaj veroj, kiujn la Savanto elparolis; li resanigas la malsanojn de la homoj, kaj poste, en sia alprenita rolo de Kristo, li asertas, ke li ŝanĝis la Sabaton al dimanĉo, kaj ordonas al ĉiuj sanktigi la tagon, kiun li benis. Li deklaras, ke tiuj, kiuj persistas en la sankta observado de la sepa tago, blasfemas lian nomon per tio, ke ili rifuzas aŭskulti liajn anĝelojn, senditajn al ili kun lumo kaj vero. Tio estas la forta, preskaŭ superforta trompo. Kiel la Samarianoj, kiuj estis trompitaj de Simon Magus, la homamasoj, de la plej malgrandaj ĝis la plej grandaj, atentas tiujn sorĉojn, dirante: Ĉi tiu estas ‘la granda potenco de Dio.’ Acts 8:10.”</w:t>
      </w:r>
    </w:p>
    <w:p>
      <w:pPr>
        <w:pStyle w:val="ArticleScripture"/>
        <w:jc w:val="left"/>
      </w:pPr>
      <w:r>
        <w:rPr>
          <w:rFonts w:ascii="Times New Roman" w:hAnsi="Times New Roman" w:eastAsia="Times New Roman" w:cs="Times New Roman"/>
        </w:rPr>
        <w:t>“Lakini watu wa Mungu hawatapotoshwa. Mafundisho ya huyu kristo wa uongo hayapatani na Maandiko. Baraka yake inatangazwa juu ya waabuduo wa mnyama na sanamu yake, yaani kundi lilelile ambalo Biblia inatangaza kwamba ghadhabu ya Mungu isiyochanganyika itamwagwa juu yao.” The Great Controversy, 624, 625.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Kitabu cha Danieli - Mia Moja na Ishirini na Saba</dc:title>
  <dc:subject>បើកបង្ហាញលក្ខណៈព្យាករណ៍នៃសម័ន្ធភាពអាក្រក់៖ ការយល់ដឹងពីអេសាយ</dc:subject>
  <dc:creator>Jeff Pippenger</dc:creator>
  <cp:keywords/>
  <dc:description>Generated by ArticleDigger from daniel\127_daniel.json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