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ایک سو اٹھائیسواں حصہ</w:t>
      </w:r>
    </w:p>
    <w:p>
      <w:pPr>
        <w:pStyle w:val="ArticleSubtitle"/>
        <w:jc w:val="left"/>
      </w:pPr>
      <w:r>
        <w:rPr>
          <w:rFonts w:ascii="Arial" w:hAnsi="Arial" w:eastAsia="Arial" w:cs="Arial"/>
        </w:rPr>
        <w:t>Kristus’ dåbs og fristelses profetiske betydning: En afdækning af tre verdensmagters karakteristika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La scellature commença le 11 septembre 2001, lorsque l’ange puissant du chapitre dix-huit de l’Apocalypse descendit. Sa descente était préfigurée par la descente de l’ange d’Apocalypse dix, le 11 août 1840, et aussi par la descente du Saint-Esprit au baptême du Christ. Le baptême du Christ annonce d’avance la pluie de l’arrière-saison lorsqu’étaient abattus les grands édifices de la ville de New York. La puissance d’en haut commença, et aussi, en ce même temps, la puissance d’en bas (l’abîme) devait être manifestée, car la Parole de Dieu ne manque jamais.</w:t>
      </w:r>
    </w:p>
    <w:p>
      <w:pPr>
        <w:pStyle w:val="ArticleBody"/>
        <w:jc w:val="left"/>
      </w:pPr>
      <w:r>
        <w:rPr>
          <w:rFonts w:ascii="Times New Roman" w:hAnsi="Times New Roman" w:eastAsia="Times New Roman" w:cs="Times New Roman"/>
        </w:rPr>
        <w:t>Quando Cristo foi batizado, foi imediatamente ao deserto e jejuou por quarenta dias, após o que foi tentado por Satanás com três tentações. Cada uma dessas três tentações representa características primárias de cada um dos três poderes que conduzem o mundo ao Armagedom. Essas três tentações foram o orgulho, característica do dragão; o apetite, característica da besta; e a presunção, característica do falso profeta. O orgulho e a exaltação própria são representados por Lúcifer na descrição clássica de Isaías.</w:t>
      </w:r>
    </w:p>
    <w:p>
      <w:pPr>
        <w:pStyle w:val="ArticleScripture"/>
        <w:jc w:val="left"/>
      </w:pPr>
      <w:r>
        <w:rPr>
          <w:rFonts w:ascii="Times New Roman" w:hAnsi="Times New Roman" w:eastAsia="Times New Roman" w:cs="Times New Roman"/>
        </w:rPr>
        <w:t>Ach, wie bist du vom Himmel gefallen, o Luzifer, Sohn der Morgenröte! Wie bist du zu Boden geschmettert, der du die Nationen schwächtest! Denn du sprachst in deinem Herzen: Ich will zum Himmel emporsteigen, ich will meinen Thron über die Sterne Gottes erhöhen; auch will ich mich setzen auf den Berg der Versammlung, an die äußersten Enden des Nordens; ich will emporsteigen über die Höhen der Wolken, ich will dem Höchsten gleich sein. Doch hinabgestürzt wirst du in den Scheol, an die äußersten Tiefen der Grube. Die dich sehen, werden dich scharf betrachten und über dich nachsinnen und sprechen: Ist das der Mann, der die Erde erbeben ließ, der Königreiche erschütterte? Jesaja 14:12–16.</w:t>
      </w:r>
    </w:p>
    <w:p>
      <w:pPr>
        <w:pStyle w:val="ArticleBody"/>
        <w:jc w:val="left"/>
      </w:pPr>
      <w:r>
        <w:rPr>
          <w:rFonts w:ascii="Times New Roman" w:hAnsi="Times New Roman" w:eastAsia="Times New Roman" w:cs="Times New Roman"/>
        </w:rPr>
        <w:t>Mu tano Lusifa akumweebela mu mutima gwe nti, “Ndikola.” Sitaani, eyali ayitibwa edda “omutisse ekitangaala” (Lusifa), naye kaakano ng’atissa kizikiza kyokka, ye “eyakankanyiza amawanga.” Mu ngeri ey’obunnabbi akwatagana n’“amawanga,” kubanga ye mukulembeze w’ekibiina eky’obubi eky’amawanga, era n’ekibiina ky’abasuubuzi ekimanyiddwa mu Kubikkulirwa essuula eya kkumi na musanvu n’eya kkumi na munaana.</w:t>
      </w:r>
    </w:p>
    <w:p>
      <w:pPr>
        <w:pStyle w:val="ArticleScripture"/>
        <w:jc w:val="left"/>
      </w:pPr>
      <w:r>
        <w:rPr>
          <w:rFonts w:ascii="Times New Roman" w:hAnsi="Times New Roman" w:eastAsia="Times New Roman" w:cs="Times New Roman"/>
        </w:rPr>
        <w:t>“Roi ma ol tisa mo ol gavana i putim finis long ol yet mak bilong antikraist, na ol i stap olsem piksa bilong dragan we i go bilong pait wantaim ol saint—wantaim ol manmeri husat i save holimpas ol lo bilong God na husat i gat bilip bilong Jesus.” Testimonies to Ministers, 38.</w:t>
      </w:r>
    </w:p>
    <w:p>
      <w:pPr>
        <w:pStyle w:val="ArticleBody"/>
        <w:jc w:val="left"/>
      </w:pPr>
      <w:r>
        <w:rPr>
          <w:rFonts w:ascii="Times New Roman" w:hAnsi="Times New Roman" w:eastAsia="Times New Roman" w:cs="Times New Roman"/>
        </w:rPr>
        <w:t>Wakati wa ubatizo wa Kristo Roho Mtakatifu alishuka, akifananisha kipindi cha baada ya Septemba 11, 2001. Baada ya ubatizo Wake, Shetani alimjaribu Kristo kwa kumpa Kristo mamlaka ambayo Shetani hutumia kutawala falme za ulimwengu, kwa maana katika kuanguka kwa Adamu, Shetani alikuwa amekuwa mtawala wa falme za ulimwengu.</w:t>
      </w:r>
    </w:p>
    <w:p>
      <w:pPr>
        <w:pStyle w:val="ArticleScripture"/>
        <w:jc w:val="left"/>
      </w:pPr>
      <w:r>
        <w:rPr>
          <w:rFonts w:ascii="Times New Roman" w:hAnsi="Times New Roman" w:eastAsia="Times New Roman" w:cs="Times New Roman"/>
        </w:rPr>
        <w:t>Og djöfullinn fór með hann upp á hátt fjall og sýndi honum á einu augabragði öll ríki heimsins. Og djöfullinn sagði við hann: Allt þetta vald mun ég gefa þér, og dýrð þeirra; því að mér er það fengið, og hverjum sem ég vil gef ég það. Ef þú því fellur fram og tilbiður mig, skal allt vera þitt. En Jesús svaraði honum og sagði: Far þú burt frá mér, Satan; því að ritað er: Drottin Guð þinn skalt þú tilbiðja, og honum einum þjóna. Lúkas 4:5–8.</w:t>
      </w:r>
    </w:p>
    <w:p>
      <w:pPr>
        <w:pStyle w:val="ArticleBody"/>
        <w:jc w:val="left"/>
      </w:pPr>
      <w:r>
        <w:rPr>
          <w:rFonts w:ascii="Times New Roman" w:hAnsi="Times New Roman" w:eastAsia="Times New Roman" w:cs="Times New Roman"/>
        </w:rPr>
        <w:t>Zwei Hauptmerkmale des päpstlichen Rom (des Tieres) sind seine Hurerei und die vergiftete „Speise“ und der Trank, die es austeilt.</w:t>
      </w:r>
    </w:p>
    <w:p>
      <w:pPr>
        <w:pStyle w:val="ArticleScripture"/>
        <w:jc w:val="left"/>
      </w:pPr>
      <w:r>
        <w:rPr>
          <w:rFonts w:ascii="Times New Roman" w:hAnsi="Times New Roman" w:eastAsia="Times New Roman" w:cs="Times New Roman"/>
        </w:rPr>
        <w:t>Néanmoins, j’ai quelque chose contre toi, c’est que tu laisses cette femme Jézabel, qui se dit prophétesse, enseigner et séduire mes serviteurs, pour les entraîner à se livrer à l’impudicité et à manger des viandes sacrifiées aux idoles. Apocalypse 2:14.</w:t>
      </w:r>
    </w:p>
    <w:p>
      <w:pPr>
        <w:pStyle w:val="ArticleBody"/>
        <w:jc w:val="left"/>
      </w:pPr>
      <w:r>
        <w:rPr>
          <w:rFonts w:ascii="Times New Roman" w:hAnsi="Times New Roman" w:eastAsia="Times New Roman" w:cs="Times New Roman"/>
        </w:rPr>
        <w:t>La « nourriture » et la boisson qu’elle procure sont ses fausses doctrines.</w:t>
      </w:r>
    </w:p>
    <w:p>
      <w:pPr>
        <w:pStyle w:val="ArticleScripture"/>
        <w:jc w:val="left"/>
      </w:pPr>
      <w:r>
        <w:rPr>
          <w:rFonts w:ascii="Times New Roman" w:hAnsi="Times New Roman" w:eastAsia="Times New Roman" w:cs="Times New Roman"/>
        </w:rPr>
        <w:t>“Babül’e yüklenen büyük günah, onun ‘bütün milletlere fuhşunun gazabının şarabından içirmiş’ olmasıdır.” Dünyaya sunduğu bu sarhoşluk kâsesi, yeryüzünün büyükleriyle kurduğu gayrimeşru ilişkinin sonucu olarak kabul etmiş olduğu sahte öğretileri temsil eder. The Great Controversy, 388.</w:t>
      </w:r>
    </w:p>
    <w:p>
      <w:pPr>
        <w:pStyle w:val="ArticleBody"/>
        <w:jc w:val="left"/>
      </w:pPr>
      <w:r>
        <w:rPr>
          <w:rFonts w:ascii="Times New Roman" w:hAnsi="Times New Roman" w:eastAsia="Times New Roman" w:cs="Times New Roman"/>
        </w:rPr>
        <w:t>Das Tier des Katholizismus verführt die Welt auch durch seine Zaubereien, was wiederum etwas ist, das innerlich aufgenommen wird.</w:t>
      </w:r>
    </w:p>
    <w:p>
      <w:pPr>
        <w:pStyle w:val="ArticleScripture"/>
        <w:jc w:val="left"/>
      </w:pPr>
      <w:r>
        <w:rPr>
          <w:rFonts w:ascii="Times New Roman" w:hAnsi="Times New Roman" w:eastAsia="Times New Roman" w:cs="Times New Roman"/>
        </w:rPr>
        <w:t>Nta n’itara ry’itabaza rizongera kumurikira na gato muri wowe; kandi ijwi ry’umukwe n’irya muramukazi ntibizongera kumvikana na gato muri wowe; kuko abacuruzi bawe bari abakomeye bo mu isi; kuko amahanga yose yayobejwe n’ubupfumu bwawe. Ibyahishuwe 18:23.</w:t>
      </w:r>
    </w:p>
    <w:p>
      <w:pPr>
        <w:pStyle w:val="ArticleBody"/>
        <w:jc w:val="left"/>
      </w:pPr>
      <w:r>
        <w:rPr>
          <w:rFonts w:ascii="Times New Roman" w:hAnsi="Times New Roman" w:eastAsia="Times New Roman" w:cs="Times New Roman"/>
        </w:rPr>
        <w:t>De Griechsche Woort, dat as „Toverschen“ överdragen is, is pharmakeia, wat Medikamente bedüüdt. De güllene Kelk in ehr Hand stellt nich bloots en Kelk vör, ut den Wien drunken warrt, sünnern ok den Kelk, worin ehr magische medizinische Tränke tobereidt un utreikt warrt. In de moderne Welt vun hüüt warrt disse magischen Tränke in Nadeln utreikt, nich so sehr in en Kelk. Wenn Satan na dat bald kummende Sünndag-Gesetz erscheint, warrt he Wunder vun Heilung doon. De Wunder, de mit de Tränke un de falschen Lehren vun dat Papsttum verbunnen sünd, wurren dör Satan dör dat vörstellt, dat he Christus seggen deit, he schull en Wunder doon un den Steen in Brot verwandeln.</w:t>
      </w:r>
    </w:p>
    <w:p>
      <w:pPr>
        <w:pStyle w:val="ArticleBody"/>
        <w:jc w:val="left"/>
      </w:pPr>
      <w:r>
        <w:rPr>
          <w:rFonts w:ascii="Times New Roman" w:hAnsi="Times New Roman" w:eastAsia="Times New Roman" w:cs="Times New Roman"/>
        </w:rPr>
        <w:t>L’histoire prophétique avant et après la loi du dimanche possède les mêmes caractéristiques. La période d’épreuve de l’image de la bête pour l’adventisme, qui conduit à la loi du dimanche aux États-Unis, est le type de la période d’épreuve de l’image de la bête pour le monde entier. C’est pourquoi il nous est dit que « la même crise viendra sur notre peuple dans toutes les parties du monde ».</w:t>
      </w:r>
    </w:p>
    <w:p>
      <w:pPr>
        <w:pStyle w:val="ArticleBody"/>
        <w:jc w:val="left"/>
      </w:pPr>
      <w:r>
        <w:rPr>
          <w:rFonts w:ascii="Times New Roman" w:hAnsi="Times New Roman" w:eastAsia="Times New Roman" w:cs="Times New Roman"/>
        </w:rPr>
        <w:t>Les miracles des guérisons sataniques accomplis par Satan après la loi du dimanche représentent les « sorcelleries » de la prétendue médecine que l’on fait passer pour authentique au cours de l’histoire qui commence le 11 septembre 2001. Jésus a déclaré que « l’homme ne vivra pas de pain seulement, mais de toute parole de Dieu ». La « nourriture » de Rome, ce sont les traditions et les coutumes qu’elle place au-dessus de la Parole de Dieu.</w:t>
      </w:r>
    </w:p>
    <w:p>
      <w:pPr>
        <w:pStyle w:val="ArticleScripture"/>
        <w:jc w:val="left"/>
      </w:pPr>
      <w:r>
        <w:rPr>
          <w:rFonts w:ascii="Times New Roman" w:hAnsi="Times New Roman" w:eastAsia="Times New Roman" w:cs="Times New Roman"/>
        </w:rPr>
        <w:t>«في الحركات الجارية الآن في الولايات المتحدة لتأمين دعم الدولة لمؤسسات الكنيسة وعاداتها، يسير البروتستانت على خطى أتباع البابوية. بل أكثر من ذلك، إنهم يفتحون الباب أمام البابوية لتستعيد في أمريكا البروتستانتية السيادة التي فقدتها في العالم القديم. والذي يضفي على هذه الحركة دلالة أعظم هو أن الغرض الرئيسي المقصود هو فرض مراعاة يوم الأحد—وهي عادة نشأت مع روما، وتدّعي هي أنها علامة سلطانها. إنها روح البابوية—روح التوافق مع العادات العالمية، وتوقير التقاليد البشرية فوق وصايا الله—هي التي تتخلل الكنائس البروتستانتية وتقودها إلى أن تقوم بالعمل نفسه في تعظيم الأحد الذي قامت به البابوية من قبلهم.» الصراع العظيم، 573.</w:t>
      </w:r>
    </w:p>
    <w:p>
      <w:pPr>
        <w:pStyle w:val="ArticleBody"/>
        <w:jc w:val="left"/>
      </w:pPr>
      <w:r>
        <w:rPr>
          <w:rFonts w:ascii="Times New Roman" w:hAnsi="Times New Roman" w:eastAsia="Times New Roman" w:cs="Times New Roman"/>
        </w:rPr>
        <w:t>La tradition et la coutume sont la « nourriture » doctrinale par laquelle la bête remplace la Parole de Dieu, afin d’élever son idolâtrie païenne.</w:t>
      </w:r>
    </w:p>
    <w:p>
      <w:pPr>
        <w:pStyle w:val="ArticleScripture"/>
        <w:jc w:val="left"/>
      </w:pPr>
      <w:r>
        <w:rPr>
          <w:rFonts w:ascii="Times New Roman" w:hAnsi="Times New Roman" w:eastAsia="Times New Roman" w:cs="Times New Roman"/>
        </w:rPr>
        <w:t>« De quelle manière l’Église romaine peut se disculper de l’accusation d’idolâtrie, nous ne pouvons le voir. Il est vrai qu’elle professe adorer Dieu au moyen de ces images ; ainsi faisaient les Israélites lorsqu’ils se prosternaient devant le veau d’or. Mais la colère du Seigneur s’enflamma contre eux, et beaucoup furent mis à mort. Dieu les déclara impies idolâtres, et le même témoignage est consigné aujourd’hui dans les livres du ciel contre ceux qui adorent les images des saints et des soi-disant hommes saints. »</w:t>
      </w:r>
    </w:p>
    <w:p>
      <w:pPr>
        <w:pStyle w:val="ArticleScripture"/>
        <w:jc w:val="left"/>
      </w:pPr>
      <w:r>
        <w:rPr>
          <w:rFonts w:ascii="Times New Roman" w:hAnsi="Times New Roman" w:eastAsia="Times New Roman" w:cs="Times New Roman"/>
        </w:rPr>
        <w:t>«And this is the religion which Protestants are beginning to look upon with so much favor, and which will eventually be united with Protestantism. This union will not, however, be effected by a change in Catholicism; for Rome never changes. She claims infallibility. It is Protestantism that will change. The adoption of liberal ideas on its part will bring it where it can clasp the hand of Catholicism. “The Bible, the Bible, is the foundation of our faith,” was the cry of Protestants in Luther’s time, while the Catholics cried, “The Fathers, custom, tradition.” Now many Protestants find it difficult to prove their doctrines from the Bible, and yet they have not the moral courage to accept the truth which involves a cross; therefore they are fast coming to the ground of Catholics, and, using the best arguments they have to evade the truth, cite the testimony of the Fathers, and the customs and precepts of men. Yes, the Protestants of the nineteenth century are fast approaching the Catholics in their infidelity concerning the Scriptures. But there is just as wide a gulf today between Rome and the Protestantism of Luther, Cranmer, Ridley, Hooper, and the noble army of martyrs, as there was when these men made the protest which gave them the name of Protestants.</w:t>
      </w:r>
    </w:p>
    <w:p>
      <w:pPr>
        <w:pStyle w:val="ArticleScripture"/>
        <w:jc w:val="left"/>
      </w:pPr>
      <w:r>
        <w:rPr>
          <w:rFonts w:ascii="Microsoft YaHei" w:hAnsi="Microsoft YaHei" w:eastAsia="Microsoft YaHei" w:cs="Microsoft YaHei"/>
        </w:rPr>
        <w:t>「</w:t>
      </w:r>
      <w:r>
        <w:rPr>
          <w:rFonts w:ascii="MS Gothic" w:hAnsi="MS Gothic" w:eastAsia="MS Gothic" w:cs="MS Gothic"/>
        </w:rPr>
        <w:t>キリストはプロテスタントであられた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勧告</w:t>
      </w:r>
      <w:r>
        <w:rPr>
          <w:rFonts w:ascii="MS Gothic" w:hAnsi="MS Gothic" w:eastAsia="MS Gothic" w:cs="MS Gothic"/>
        </w:rPr>
        <w:t>を</w:t>
      </w:r>
      <w:r>
        <w:rPr>
          <w:rFonts w:ascii="Microsoft YaHei" w:hAnsi="Microsoft YaHei" w:eastAsia="Microsoft YaHei" w:cs="Microsoft YaHei"/>
        </w:rPr>
        <w:t>自</w:t>
      </w:r>
      <w:r>
        <w:rPr>
          <w:rFonts w:ascii="MS Gothic" w:hAnsi="MS Gothic" w:eastAsia="MS Gothic" w:cs="MS Gothic"/>
        </w:rPr>
        <w:t>ら</w:t>
      </w:r>
      <w:r>
        <w:rPr>
          <w:rFonts w:ascii="Microsoft YaHei" w:hAnsi="Microsoft YaHei" w:eastAsia="Microsoft YaHei" w:cs="Microsoft YaHei"/>
        </w:rPr>
        <w:t>退</w:t>
      </w:r>
      <w:r>
        <w:rPr>
          <w:rFonts w:ascii="MS Gothic" w:hAnsi="MS Gothic" w:eastAsia="MS Gothic" w:cs="MS Gothic"/>
        </w:rPr>
        <w:t>けたユダヤ</w:t>
      </w:r>
      <w:r>
        <w:rPr>
          <w:rFonts w:ascii="Microsoft YaHei" w:hAnsi="Microsoft YaHei" w:eastAsia="Microsoft YaHei" w:cs="Microsoft YaHei"/>
        </w:rPr>
        <w:t>民族</w:t>
      </w:r>
      <w:r>
        <w:rPr>
          <w:rFonts w:ascii="MS Gothic" w:hAnsi="MS Gothic" w:eastAsia="MS Gothic" w:cs="MS Gothic"/>
        </w:rPr>
        <w:t>の</w:t>
      </w:r>
      <w:r>
        <w:rPr>
          <w:rFonts w:ascii="Microsoft YaHei" w:hAnsi="Microsoft YaHei" w:eastAsia="Microsoft YaHei" w:cs="Microsoft YaHei"/>
        </w:rPr>
        <w:t>形式的</w:t>
      </w:r>
      <w:r>
        <w:rPr>
          <w:rFonts w:ascii="MS Gothic" w:hAnsi="MS Gothic" w:eastAsia="MS Gothic" w:cs="MS Gothic"/>
        </w:rPr>
        <w:t>な</w:t>
      </w:r>
      <w:r>
        <w:rPr>
          <w:rFonts w:ascii="Microsoft YaHei" w:hAnsi="Microsoft YaHei" w:eastAsia="Microsoft YaHei" w:cs="Microsoft YaHei"/>
        </w:rPr>
        <w:t>礼拝</w:t>
      </w:r>
      <w:r>
        <w:rPr>
          <w:rFonts w:ascii="MS Gothic" w:hAnsi="MS Gothic" w:eastAsia="MS Gothic" w:cs="MS Gothic"/>
        </w:rPr>
        <w:t>に</w:t>
      </w:r>
      <w:r>
        <w:rPr>
          <w:rFonts w:ascii="Microsoft YaHei" w:hAnsi="Microsoft YaHei" w:eastAsia="Microsoft YaHei" w:cs="Microsoft YaHei"/>
        </w:rPr>
        <w:t>抗議</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教理</w:t>
      </w:r>
      <w:r>
        <w:rPr>
          <w:rFonts w:ascii="MS Gothic" w:hAnsi="MS Gothic" w:eastAsia="MS Gothic" w:cs="MS Gothic"/>
        </w:rPr>
        <w:t>として</w:t>
      </w:r>
      <w:r>
        <w:rPr>
          <w:rFonts w:ascii="Microsoft YaHei" w:hAnsi="Microsoft YaHei" w:eastAsia="Microsoft YaHei" w:cs="Microsoft YaHei"/>
        </w:rPr>
        <w:t>教</w:t>
      </w:r>
      <w:r>
        <w:rPr>
          <w:rFonts w:ascii="MS Gothic" w:hAnsi="MS Gothic" w:eastAsia="MS Gothic" w:cs="MS Gothic"/>
        </w:rPr>
        <w:t>え</w:t>
      </w:r>
      <w:r>
        <w:rPr>
          <w:rFonts w:ascii="Microsoft YaHei" w:hAnsi="Microsoft YaHei" w:eastAsia="Microsoft YaHei" w:cs="Microsoft YaHei"/>
        </w:rPr>
        <w:t>、見</w:t>
      </w:r>
      <w:r>
        <w:rPr>
          <w:rFonts w:ascii="MS Gothic" w:hAnsi="MS Gothic" w:eastAsia="MS Gothic" w:cs="MS Gothic"/>
        </w:rPr>
        <w:t>せかける</w:t>
      </w:r>
      <w:r>
        <w:rPr>
          <w:rFonts w:ascii="Microsoft YaHei" w:hAnsi="Microsoft YaHei" w:eastAsia="Microsoft YaHei" w:cs="Microsoft YaHei"/>
        </w:rPr>
        <w:t>者、偽善者</w:t>
      </w:r>
      <w:r>
        <w:rPr>
          <w:rFonts w:ascii="MS Gothic" w:hAnsi="MS Gothic" w:eastAsia="MS Gothic" w:cs="MS Gothic"/>
        </w:rPr>
        <w:t>であると</w:t>
      </w:r>
      <w:r>
        <w:rPr>
          <w:rFonts w:ascii="Microsoft YaHei" w:hAnsi="Microsoft YaHei" w:eastAsia="Microsoft YaHei" w:cs="Microsoft YaHei"/>
        </w:rPr>
        <w:t>告</w:t>
      </w:r>
      <w:r>
        <w:rPr>
          <w:rFonts w:ascii="MS Gothic" w:hAnsi="MS Gothic" w:eastAsia="MS Gothic" w:cs="MS Gothic"/>
        </w:rPr>
        <w:t>げられた</w:t>
      </w:r>
      <w:r>
        <w:rPr>
          <w:rFonts w:ascii="Times New Roman" w:hAnsi="Times New Roman" w:eastAsia="Times New Roman" w:cs="Times New Roman"/>
        </w:rPr>
        <w:t>.</w:t>
      </w:r>
      <w:r>
        <w:rPr>
          <w:rFonts w:ascii="Microsoft YaHei" w:hAnsi="Microsoft YaHei" w:eastAsia="Microsoft YaHei" w:cs="Microsoft YaHei"/>
        </w:rPr>
        <w:t>白</w:t>
      </w:r>
      <w:r>
        <w:rPr>
          <w:rFonts w:ascii="MS Gothic" w:hAnsi="MS Gothic" w:eastAsia="MS Gothic" w:cs="MS Gothic"/>
        </w:rPr>
        <w:t>く</w:t>
      </w:r>
      <w:r>
        <w:rPr>
          <w:rFonts w:ascii="Microsoft YaHei" w:hAnsi="Microsoft YaHei" w:eastAsia="Microsoft YaHei" w:cs="Microsoft YaHei"/>
        </w:rPr>
        <w:t>塗</w:t>
      </w:r>
      <w:r>
        <w:rPr>
          <w:rFonts w:ascii="MS Gothic" w:hAnsi="MS Gothic" w:eastAsia="MS Gothic" w:cs="MS Gothic"/>
        </w:rPr>
        <w:t>られた</w:t>
      </w:r>
      <w:r>
        <w:rPr>
          <w:rFonts w:ascii="Microsoft YaHei" w:hAnsi="Microsoft YaHei" w:eastAsia="Microsoft YaHei" w:cs="Microsoft YaHei"/>
        </w:rPr>
        <w:t>墓</w:t>
      </w:r>
      <w:r>
        <w:rPr>
          <w:rFonts w:ascii="MS Gothic" w:hAnsi="MS Gothic" w:eastAsia="MS Gothic" w:cs="MS Gothic"/>
        </w:rPr>
        <w:t>のように</w:t>
      </w:r>
      <w:r>
        <w:rPr>
          <w:rFonts w:ascii="Microsoft YaHei" w:hAnsi="Microsoft YaHei" w:eastAsia="Microsoft YaHei" w:cs="Microsoft YaHei"/>
        </w:rPr>
        <w:t>、外側</w:t>
      </w:r>
      <w:r>
        <w:rPr>
          <w:rFonts w:ascii="MS Gothic" w:hAnsi="MS Gothic" w:eastAsia="MS Gothic" w:cs="MS Gothic"/>
        </w:rPr>
        <w:t>は</w:t>
      </w:r>
      <w:r>
        <w:rPr>
          <w:rFonts w:ascii="Microsoft YaHei" w:hAnsi="Microsoft YaHei" w:eastAsia="Microsoft YaHei" w:cs="Microsoft YaHei"/>
        </w:rPr>
        <w:t>美</w:t>
      </w:r>
      <w:r>
        <w:rPr>
          <w:rFonts w:ascii="MS Gothic" w:hAnsi="MS Gothic" w:eastAsia="MS Gothic" w:cs="MS Gothic"/>
        </w:rPr>
        <w:t>しいが</w:t>
      </w:r>
      <w:r>
        <w:rPr>
          <w:rFonts w:ascii="Microsoft YaHei" w:hAnsi="Microsoft YaHei" w:eastAsia="Microsoft YaHei" w:cs="Microsoft YaHei"/>
        </w:rPr>
        <w:t>、内側</w:t>
      </w:r>
      <w:r>
        <w:rPr>
          <w:rFonts w:ascii="MS Gothic" w:hAnsi="MS Gothic" w:eastAsia="MS Gothic" w:cs="MS Gothic"/>
        </w:rPr>
        <w:t>は</w:t>
      </w:r>
      <w:r>
        <w:rPr>
          <w:rFonts w:ascii="Microsoft YaHei" w:hAnsi="Microsoft YaHei" w:eastAsia="Microsoft YaHei" w:cs="Microsoft YaHei"/>
        </w:rPr>
        <w:t>汚</w:t>
      </w:r>
      <w:r>
        <w:rPr>
          <w:rFonts w:ascii="MS Gothic" w:hAnsi="MS Gothic" w:eastAsia="MS Gothic" w:cs="MS Gothic"/>
        </w:rPr>
        <w:t>れと</w:t>
      </w:r>
      <w:r>
        <w:rPr>
          <w:rFonts w:ascii="Microsoft YaHei" w:hAnsi="Microsoft YaHei" w:eastAsia="Microsoft YaHei" w:cs="Microsoft YaHei"/>
        </w:rPr>
        <w:t>腐敗</w:t>
      </w:r>
      <w:r>
        <w:rPr>
          <w:rFonts w:ascii="MS Gothic" w:hAnsi="MS Gothic" w:eastAsia="MS Gothic" w:cs="MS Gothic"/>
        </w:rPr>
        <w:t>とに</w:t>
      </w:r>
      <w:r>
        <w:rPr>
          <w:rFonts w:ascii="Microsoft YaHei" w:hAnsi="Microsoft YaHei" w:eastAsia="Microsoft YaHei" w:cs="Microsoft YaHei"/>
        </w:rPr>
        <w:t>満</w:t>
      </w:r>
      <w:r>
        <w:rPr>
          <w:rFonts w:ascii="MS Gothic" w:hAnsi="MS Gothic" w:eastAsia="MS Gothic" w:cs="MS Gothic"/>
        </w:rPr>
        <w:t>ちていたのである</w:t>
      </w:r>
      <w:r>
        <w:rPr>
          <w:rFonts w:ascii="Times New Roman" w:hAnsi="Times New Roman" w:eastAsia="Times New Roman" w:cs="Times New Roman"/>
        </w:rPr>
        <w:t>.</w:t>
      </w:r>
      <w:r>
        <w:rPr>
          <w:rFonts w:ascii="Microsoft YaHei" w:hAnsi="Microsoft YaHei" w:eastAsia="Microsoft YaHei" w:cs="Microsoft YaHei"/>
        </w:rPr>
        <w:t>宗教改革者</w:t>
      </w:r>
      <w:r>
        <w:rPr>
          <w:rFonts w:ascii="MS Gothic" w:hAnsi="MS Gothic" w:eastAsia="MS Gothic" w:cs="MS Gothic"/>
        </w:rPr>
        <w:t>たちの</w:t>
      </w:r>
      <w:r>
        <w:rPr>
          <w:rFonts w:ascii="Microsoft YaHei" w:hAnsi="Microsoft YaHei" w:eastAsia="Microsoft YaHei" w:cs="Microsoft YaHei"/>
        </w:rPr>
        <w:t>起源</w:t>
      </w:r>
      <w:r>
        <w:rPr>
          <w:rFonts w:ascii="MS Gothic" w:hAnsi="MS Gothic" w:eastAsia="MS Gothic" w:cs="MS Gothic"/>
        </w:rPr>
        <w:t>はキリストと</w:t>
      </w:r>
      <w:r>
        <w:rPr>
          <w:rFonts w:ascii="Microsoft YaHei" w:hAnsi="Microsoft YaHei" w:eastAsia="Microsoft YaHei" w:cs="Microsoft YaHei"/>
        </w:rPr>
        <w:t>使徒</w:t>
      </w:r>
      <w:r>
        <w:rPr>
          <w:rFonts w:ascii="MS Gothic" w:hAnsi="MS Gothic" w:eastAsia="MS Gothic" w:cs="MS Gothic"/>
        </w:rPr>
        <w:t>たちにまでさかのぼる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、形式</w:t>
      </w:r>
      <w:r>
        <w:rPr>
          <w:rFonts w:ascii="MS Gothic" w:hAnsi="MS Gothic" w:eastAsia="MS Gothic" w:cs="MS Gothic"/>
        </w:rPr>
        <w:t>と</w:t>
      </w:r>
      <w:r>
        <w:rPr>
          <w:rFonts w:ascii="Microsoft YaHei" w:hAnsi="Microsoft YaHei" w:eastAsia="Microsoft YaHei" w:cs="Microsoft YaHei"/>
        </w:rPr>
        <w:t>儀式</w:t>
      </w:r>
      <w:r>
        <w:rPr>
          <w:rFonts w:ascii="MS Gothic" w:hAnsi="MS Gothic" w:eastAsia="MS Gothic" w:cs="MS Gothic"/>
        </w:rPr>
        <w:t>の</w:t>
      </w:r>
      <w:r>
        <w:rPr>
          <w:rFonts w:ascii="Microsoft YaHei" w:hAnsi="Microsoft YaHei" w:eastAsia="Microsoft YaHei" w:cs="Microsoft YaHei"/>
        </w:rPr>
        <w:t>宗教</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w:t>
      </w:r>
      <w:r>
        <w:rPr>
          <w:rFonts w:ascii="MS Gothic" w:hAnsi="MS Gothic" w:eastAsia="MS Gothic" w:cs="MS Gothic"/>
        </w:rPr>
        <w:t>それと</w:t>
      </w:r>
      <w:r>
        <w:rPr>
          <w:rFonts w:ascii="Microsoft YaHei" w:hAnsi="Microsoft YaHei" w:eastAsia="Microsoft YaHei" w:cs="Microsoft YaHei"/>
        </w:rPr>
        <w:t>自</w:t>
      </w:r>
      <w:r>
        <w:rPr>
          <w:rFonts w:ascii="MS Gothic" w:hAnsi="MS Gothic" w:eastAsia="MS Gothic" w:cs="MS Gothic"/>
        </w:rPr>
        <w:t>らを</w:t>
      </w:r>
      <w:r>
        <w:rPr>
          <w:rFonts w:ascii="Microsoft YaHei" w:hAnsi="Microsoft YaHei" w:eastAsia="Microsoft YaHei" w:cs="Microsoft YaHei"/>
        </w:rPr>
        <w:t>分離</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ルターとその</w:t>
      </w:r>
      <w:r>
        <w:rPr>
          <w:rFonts w:ascii="Microsoft YaHei" w:hAnsi="Microsoft YaHei" w:eastAsia="Microsoft YaHei" w:cs="Microsoft YaHei"/>
        </w:rPr>
        <w:t>追随者</w:t>
      </w:r>
      <w:r>
        <w:rPr>
          <w:rFonts w:ascii="MS Gothic" w:hAnsi="MS Gothic" w:eastAsia="MS Gothic" w:cs="MS Gothic"/>
        </w:rPr>
        <w:t>たちが</w:t>
      </w:r>
      <w:r>
        <w:rPr>
          <w:rFonts w:ascii="Microsoft YaHei" w:hAnsi="Microsoft YaHei" w:eastAsia="Microsoft YaHei" w:cs="Microsoft YaHei"/>
        </w:rPr>
        <w:t>改革</w:t>
      </w:r>
      <w:r>
        <w:rPr>
          <w:rFonts w:ascii="MS Gothic" w:hAnsi="MS Gothic" w:eastAsia="MS Gothic" w:cs="MS Gothic"/>
        </w:rPr>
        <w:t>された</w:t>
      </w:r>
      <w:r>
        <w:rPr>
          <w:rFonts w:ascii="Microsoft YaHei" w:hAnsi="Microsoft YaHei" w:eastAsia="Microsoft YaHei" w:cs="Microsoft YaHei"/>
        </w:rPr>
        <w:t>宗教</w:t>
      </w:r>
      <w:r>
        <w:rPr>
          <w:rFonts w:ascii="MS Gothic" w:hAnsi="MS Gothic" w:eastAsia="MS Gothic" w:cs="MS Gothic"/>
        </w:rPr>
        <w:t>を</w:t>
      </w:r>
      <w:r>
        <w:rPr>
          <w:rFonts w:ascii="Microsoft YaHei" w:hAnsi="Microsoft YaHei" w:eastAsia="Microsoft YaHei" w:cs="Microsoft YaHei"/>
        </w:rPr>
        <w:t>案出</w:t>
      </w:r>
      <w:r>
        <w:rPr>
          <w:rFonts w:ascii="MS Gothic" w:hAnsi="MS Gothic" w:eastAsia="MS Gothic" w:cs="MS Gothic"/>
        </w:rPr>
        <w:t>したのではない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らはただ</w:t>
      </w:r>
      <w:r>
        <w:rPr>
          <w:rFonts w:ascii="Microsoft YaHei" w:hAnsi="Microsoft YaHei" w:eastAsia="Microsoft YaHei" w:cs="Microsoft YaHei"/>
        </w:rPr>
        <w:t>、</w:t>
      </w:r>
      <w:r>
        <w:rPr>
          <w:rFonts w:ascii="MS Gothic" w:hAnsi="MS Gothic" w:eastAsia="MS Gothic" w:cs="MS Gothic"/>
        </w:rPr>
        <w:t>キリストと</w:t>
      </w:r>
      <w:r>
        <w:rPr>
          <w:rFonts w:ascii="Microsoft YaHei" w:hAnsi="Microsoft YaHei" w:eastAsia="Microsoft YaHei" w:cs="Microsoft YaHei"/>
        </w:rPr>
        <w:t>使徒</w:t>
      </w:r>
      <w:r>
        <w:rPr>
          <w:rFonts w:ascii="MS Gothic" w:hAnsi="MS Gothic" w:eastAsia="MS Gothic" w:cs="MS Gothic"/>
        </w:rPr>
        <w:t>たちによって</w:t>
      </w:r>
      <w:r>
        <w:rPr>
          <w:rFonts w:ascii="Microsoft YaHei" w:hAnsi="Microsoft YaHei" w:eastAsia="Microsoft YaHei" w:cs="Microsoft YaHei"/>
        </w:rPr>
        <w:t>示</w:t>
      </w:r>
      <w:r>
        <w:rPr>
          <w:rFonts w:ascii="MS Gothic" w:hAnsi="MS Gothic" w:eastAsia="MS Gothic" w:cs="MS Gothic"/>
        </w:rPr>
        <w:t>されたそれを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れたにすぎない</w:t>
      </w:r>
      <w:r>
        <w:rPr>
          <w:rFonts w:ascii="Times New Roman" w:hAnsi="Times New Roman" w:eastAsia="Times New Roman" w:cs="Times New Roman"/>
        </w:rPr>
        <w:t>.</w:t>
      </w:r>
      <w:r>
        <w:rPr>
          <w:rFonts w:ascii="Microsoft YaHei" w:hAnsi="Microsoft YaHei" w:eastAsia="Microsoft YaHei" w:cs="Microsoft YaHei"/>
        </w:rPr>
        <w:t>聖書</w:t>
      </w:r>
      <w:r>
        <w:rPr>
          <w:rFonts w:ascii="MS Gothic" w:hAnsi="MS Gothic" w:eastAsia="MS Gothic" w:cs="MS Gothic"/>
        </w:rPr>
        <w:t>は</w:t>
      </w:r>
      <w:r>
        <w:rPr>
          <w:rFonts w:ascii="Microsoft YaHei" w:hAnsi="Microsoft YaHei" w:eastAsia="Microsoft YaHei" w:cs="Microsoft YaHei"/>
        </w:rPr>
        <w:t>、十分</w:t>
      </w:r>
      <w:r>
        <w:rPr>
          <w:rFonts w:ascii="MS Gothic" w:hAnsi="MS Gothic" w:eastAsia="MS Gothic" w:cs="MS Gothic"/>
        </w:rPr>
        <w:t>な</w:t>
      </w:r>
      <w:r>
        <w:rPr>
          <w:rFonts w:ascii="Microsoft YaHei" w:hAnsi="Microsoft YaHei" w:eastAsia="Microsoft YaHei" w:cs="Microsoft YaHei"/>
        </w:rPr>
        <w:t>導</w:t>
      </w:r>
      <w:r>
        <w:rPr>
          <w:rFonts w:ascii="MS Gothic" w:hAnsi="MS Gothic" w:eastAsia="MS Gothic" w:cs="MS Gothic"/>
        </w:rPr>
        <w:t>きとしてわれわれに</w:t>
      </w:r>
      <w:r>
        <w:rPr>
          <w:rFonts w:ascii="Microsoft YaHei" w:hAnsi="Microsoft YaHei" w:eastAsia="Microsoft YaHei" w:cs="Microsoft YaHei"/>
        </w:rPr>
        <w:t>提示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しかるに</w:t>
      </w:r>
      <w:r>
        <w:rPr>
          <w:rFonts w:ascii="Microsoft YaHei" w:hAnsi="Microsoft YaHei" w:eastAsia="Microsoft YaHei" w:cs="Microsoft YaHei"/>
        </w:rPr>
        <w:t>教皇</w:t>
      </w:r>
      <w:r>
        <w:rPr>
          <w:rFonts w:ascii="MS Gothic" w:hAnsi="MS Gothic" w:eastAsia="MS Gothic" w:cs="MS Gothic"/>
        </w:rPr>
        <w:t>とその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手</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虚偽</w:t>
      </w:r>
      <w:r>
        <w:rPr>
          <w:rFonts w:ascii="MS Gothic" w:hAnsi="MS Gothic" w:eastAsia="MS Gothic" w:cs="MS Gothic"/>
        </w:rPr>
        <w:t>の</w:t>
      </w:r>
      <w:r>
        <w:rPr>
          <w:rFonts w:ascii="Microsoft YaHei" w:hAnsi="Microsoft YaHei" w:eastAsia="Microsoft YaHei" w:cs="Microsoft YaHei"/>
        </w:rPr>
        <w:t>見</w:t>
      </w:r>
      <w:r>
        <w:rPr>
          <w:rFonts w:ascii="MS Gothic" w:hAnsi="MS Gothic" w:eastAsia="MS Gothic" w:cs="MS Gothic"/>
        </w:rPr>
        <w:t>せかけを</w:t>
      </w:r>
      <w:r>
        <w:rPr>
          <w:rFonts w:ascii="Microsoft YaHei" w:hAnsi="Microsoft YaHei" w:eastAsia="Microsoft YaHei" w:cs="Microsoft YaHei"/>
        </w:rPr>
        <w:t>暴</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偶像礼拝</w:t>
      </w:r>
      <w:r>
        <w:rPr>
          <w:rFonts w:ascii="MS Gothic" w:hAnsi="MS Gothic" w:eastAsia="MS Gothic" w:cs="MS Gothic"/>
        </w:rPr>
        <w:t>を</w:t>
      </w:r>
      <w:r>
        <w:rPr>
          <w:rFonts w:ascii="Microsoft YaHei" w:hAnsi="Microsoft YaHei" w:eastAsia="Microsoft YaHei" w:cs="Microsoft YaHei"/>
        </w:rPr>
        <w:t>戒</w:t>
      </w:r>
      <w:r>
        <w:rPr>
          <w:rFonts w:ascii="MS Gothic" w:hAnsi="MS Gothic" w:eastAsia="MS Gothic" w:cs="MS Gothic"/>
        </w:rPr>
        <w:t>めるがゆえに</w:t>
      </w:r>
      <w:r>
        <w:rPr>
          <w:rFonts w:ascii="Microsoft YaHei" w:hAnsi="Microsoft YaHei" w:eastAsia="Microsoft YaHei" w:cs="Microsoft YaHei"/>
        </w:rPr>
        <w:t>、</w:t>
      </w:r>
      <w:r>
        <w:rPr>
          <w:rFonts w:ascii="MS Gothic" w:hAnsi="MS Gothic" w:eastAsia="MS Gothic" w:cs="MS Gothic"/>
        </w:rPr>
        <w:t>まるで</w:t>
      </w:r>
      <w:r>
        <w:rPr>
          <w:rFonts w:ascii="Microsoft YaHei" w:hAnsi="Microsoft YaHei" w:eastAsia="Microsoft YaHei" w:cs="Microsoft YaHei"/>
        </w:rPr>
        <w:t>呪</w:t>
      </w:r>
      <w:r>
        <w:rPr>
          <w:rFonts w:ascii="MS Gothic" w:hAnsi="MS Gothic" w:eastAsia="MS Gothic" w:cs="MS Gothic"/>
        </w:rPr>
        <w:t>いであるかのように</w:t>
      </w:r>
      <w:r>
        <w:rPr>
          <w:rFonts w:ascii="Microsoft YaHei" w:hAnsi="Microsoft YaHei" w:eastAsia="Microsoft YaHei" w:cs="Microsoft YaHei"/>
        </w:rPr>
        <w:t>、</w:t>
      </w:r>
      <w:r>
        <w:rPr>
          <w:rFonts w:ascii="MS Gothic" w:hAnsi="MS Gothic" w:eastAsia="MS Gothic" w:cs="MS Gothic"/>
        </w:rPr>
        <w:t>それを</w:t>
      </w:r>
      <w:r>
        <w:rPr>
          <w:rFonts w:ascii="Microsoft YaHei" w:hAnsi="Microsoft YaHei" w:eastAsia="Microsoft YaHei" w:cs="Microsoft YaHei"/>
        </w:rPr>
        <w:t>民衆</w:t>
      </w:r>
      <w:r>
        <w:rPr>
          <w:rFonts w:ascii="MS Gothic" w:hAnsi="MS Gothic" w:eastAsia="MS Gothic" w:cs="MS Gothic"/>
        </w:rPr>
        <w:t>から</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るのである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Review and Herald, June 1, 1886.</w:t>
      </w:r>
    </w:p>
    <w:p>
      <w:pPr>
        <w:pStyle w:val="ArticleBody"/>
        <w:jc w:val="left"/>
      </w:pPr>
      <w:r>
        <w:rPr>
          <w:rFonts w:ascii="Times New Roman" w:hAnsi="Times New Roman" w:eastAsia="Times New Roman" w:cs="Times New Roman"/>
        </w:rPr>
        <w:t>Mucizile de vindecare, care constituie temelia spiritualismului, sunt marfa ei de căpătâi.</w:t>
      </w:r>
    </w:p>
    <w:p>
      <w:pPr>
        <w:pStyle w:val="ArticleScripture"/>
        <w:jc w:val="left"/>
      </w:pPr>
      <w:r>
        <w:rPr>
          <w:rFonts w:ascii="Times New Roman" w:hAnsi="Times New Roman" w:eastAsia="Times New Roman" w:cs="Times New Roman"/>
        </w:rPr>
        <w:t>“Wengi hujitahidi kueleza udhihirisho wa kiroho kwa kuuhusisha kabisa na udanganyifu na hila za mkono kwa upande wa mediumu. Lakini ingawa ni kweli kwamba matokeo ya ujanja mara nyingi yamewasilishwa kana kwamba ni udhihirisho wa kweli, kumekuwapo pia maonyesho dhahiri ya nguvu zisizo za kawaida. Mlio wa ajabu wa kugonga ambao ndio ulioanzisha uwasiliani-roho wa kisasa haukuwa matokeo ya hila au werevu wa kibinadamu, bali ulikuwa kazi ya moja kwa moja ya malaika waovu, ambao kwa njia hiyo waliingiza mojawapo ya upotovu wenye mafanikio makubwa zaidi wa kuangamiza roho. Wengi watanasa kwa sababu ya kuamini kwamba uwasiliani-roho ni udanganyifu wa kibinadamu tu; watakapokabiliwa uso kwa uso na udhihirisho ambao hawawezi ila kuuhesabu kuwa ni wa nguvu zisizo za kawaida, watadanganywa, na wataongozwa kuukubali kuwa ndiyo nguvu kuu ya Mungu.”</w:t>
      </w:r>
    </w:p>
    <w:p>
      <w:pPr>
        <w:pStyle w:val="ArticleScripture"/>
        <w:jc w:val="left"/>
      </w:pPr>
      <w:r>
        <w:rPr>
          <w:rFonts w:ascii="Myanmar Text" w:hAnsi="Myanmar Text" w:eastAsia="Myanmar Text" w:cs="Myanmar Text"/>
        </w:rPr>
        <w:t>ဤပုဂ္ဂိုလ်တို့သည်</w:t>
      </w:r>
      <w:r>
        <w:rPr>
          <w:rFonts w:ascii="Times New Roman" w:hAnsi="Times New Roman" w:eastAsia="Times New Roman" w:cs="Times New Roman"/>
        </w:rPr>
        <w:t xml:space="preserve"> </w:t>
      </w:r>
      <w:r>
        <w:rPr>
          <w:rFonts w:ascii="Myanmar Text" w:hAnsi="Myanmar Text" w:eastAsia="Myanmar Text" w:cs="Myanmar Text"/>
        </w:rPr>
        <w:t>စာတော်မြတ်များ၌</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ကိုယ်စားလှယ်တို့</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အံ့ဖွယ်ရာများအကြောင်း</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မျက်ကွယ်ပြုကြသည်။</w:t>
      </w:r>
      <w:r>
        <w:rPr>
          <w:rFonts w:ascii="Times New Roman" w:hAnsi="Times New Roman" w:eastAsia="Times New Roman" w:cs="Times New Roman"/>
        </w:rPr>
        <w:t xml:space="preserve"> </w:t>
      </w:r>
      <w:r>
        <w:rPr>
          <w:rFonts w:ascii="Myanmar Text" w:hAnsi="Myanmar Text" w:eastAsia="Myanmar Text" w:cs="Myanmar Text"/>
        </w:rPr>
        <w:t>ဖာရောဘုရင်၏</w:t>
      </w:r>
      <w:r>
        <w:rPr>
          <w:rFonts w:ascii="Times New Roman" w:hAnsi="Times New Roman" w:eastAsia="Times New Roman" w:cs="Times New Roman"/>
        </w:rPr>
        <w:t xml:space="preserve"> </w:t>
      </w:r>
      <w:r>
        <w:rPr>
          <w:rFonts w:ascii="Myanmar Text" w:hAnsi="Myanmar Text" w:eastAsia="Myanmar Text" w:cs="Myanmar Text"/>
        </w:rPr>
        <w:t>မှော်ဆရာတို့သည်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အတုယူဖန်တီးနိုင်ခဲ့သည်မှာ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အကူအညီကြောင့်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ကြွလာတော်မူခြင်းမတိုင်မီ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တန်ခိုးအာနိသင်</w:t>
      </w:r>
      <w:r>
        <w:rPr>
          <w:rFonts w:ascii="Times New Roman" w:hAnsi="Times New Roman" w:eastAsia="Times New Roman" w:cs="Times New Roman"/>
        </w:rPr>
        <w:t xml:space="preserve"> </w:t>
      </w:r>
      <w:r>
        <w:rPr>
          <w:rFonts w:ascii="Myanmar Text" w:hAnsi="Myanmar Text" w:eastAsia="Myanmar Text" w:cs="Myanmar Text"/>
        </w:rPr>
        <w:t>ပြသခြင်းမျိုးများ</w:t>
      </w:r>
      <w:r>
        <w:rPr>
          <w:rFonts w:ascii="Times New Roman" w:hAnsi="Times New Roman" w:eastAsia="Times New Roman" w:cs="Times New Roman"/>
        </w:rPr>
        <w:t xml:space="preserve"> </w:t>
      </w:r>
      <w:r>
        <w:rPr>
          <w:rFonts w:ascii="Myanmar Text" w:hAnsi="Myanmar Text" w:eastAsia="Myanmar Text" w:cs="Myanmar Text"/>
        </w:rPr>
        <w:t>အလားတူ</w:t>
      </w:r>
      <w:r>
        <w:rPr>
          <w:rFonts w:ascii="Times New Roman" w:hAnsi="Times New Roman" w:eastAsia="Times New Roman" w:cs="Times New Roman"/>
        </w:rPr>
        <w:t xml:space="preserve"> </w:t>
      </w:r>
      <w:r>
        <w:rPr>
          <w:rFonts w:ascii="Myanmar Text" w:hAnsi="Myanmar Text" w:eastAsia="Myanmar Text" w:cs="Myanmar Text"/>
        </w:rPr>
        <w:t>ဖြစ်ပေါ်လာမည်ဟု</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သက်သေခံထားသည်။</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ကြွလာတော်မူခြင်းမတိုင်မီ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လုပ်ဆောင်မှုအားဖြင့်</w:t>
      </w:r>
      <w:r>
        <w:rPr>
          <w:rFonts w:ascii="Times New Roman" w:hAnsi="Times New Roman" w:eastAsia="Times New Roman" w:cs="Times New Roman"/>
        </w:rPr>
        <w:t xml:space="preserve"> </w:t>
      </w:r>
      <w:r>
        <w:rPr>
          <w:rFonts w:ascii="Myanmar Text" w:hAnsi="Myanmar Text" w:eastAsia="Myanmar Text" w:cs="Myanmar Text"/>
        </w:rPr>
        <w:t>တန်ခိုးခပ်သိမ်း၊</w:t>
      </w:r>
      <w:r>
        <w:rPr>
          <w:rFonts w:ascii="Times New Roman" w:hAnsi="Times New Roman" w:eastAsia="Times New Roman" w:cs="Times New Roman"/>
        </w:rPr>
        <w:t xml:space="preserve"> </w:t>
      </w:r>
      <w:r>
        <w:rPr>
          <w:rFonts w:ascii="Myanmar Text" w:hAnsi="Myanmar Text" w:eastAsia="Myanmar Text" w:cs="Myanmar Text"/>
        </w:rPr>
        <w:t>နိမိတ်လက္ခဏာခပ်သိမ်းနှင့်</w:t>
      </w:r>
      <w:r>
        <w:rPr>
          <w:rFonts w:ascii="Times New Roman" w:hAnsi="Times New Roman" w:eastAsia="Times New Roman" w:cs="Times New Roman"/>
        </w:rPr>
        <w:t xml:space="preserve"> </w:t>
      </w:r>
      <w:r>
        <w:rPr>
          <w:rFonts w:ascii="Myanmar Text" w:hAnsi="Myanmar Text" w:eastAsia="Myanmar Text" w:cs="Myanmar Text"/>
        </w:rPr>
        <w:t>မုသားအံ့ဖွယ်ရာတို့၊</w:t>
      </w:r>
      <w:r>
        <w:rPr>
          <w:rFonts w:ascii="Times New Roman" w:hAnsi="Times New Roman" w:eastAsia="Times New Roman" w:cs="Times New Roman"/>
        </w:rPr>
        <w:t xml:space="preserve"> </w:t>
      </w:r>
      <w:r>
        <w:rPr>
          <w:rFonts w:ascii="Myanmar Text" w:hAnsi="Myanmar Text" w:eastAsia="Myanmar Text" w:cs="Myanmar Text"/>
        </w:rPr>
        <w:t>မတရားခြင်း၏</w:t>
      </w:r>
      <w:r>
        <w:rPr>
          <w:rFonts w:ascii="Times New Roman" w:hAnsi="Times New Roman" w:eastAsia="Times New Roman" w:cs="Times New Roman"/>
        </w:rPr>
        <w:t xml:space="preserve"> </w:t>
      </w:r>
      <w:r>
        <w:rPr>
          <w:rFonts w:ascii="Myanmar Text" w:hAnsi="Myanmar Text" w:eastAsia="Myanmar Text" w:cs="Myanmar Text"/>
        </w:rPr>
        <w:t>လှည့်ဖြားတတ်သော</w:t>
      </w:r>
      <w:r>
        <w:rPr>
          <w:rFonts w:ascii="Times New Roman" w:hAnsi="Times New Roman" w:eastAsia="Times New Roman" w:cs="Times New Roman"/>
        </w:rPr>
        <w:t xml:space="preserve"> </w:t>
      </w:r>
      <w:r>
        <w:rPr>
          <w:rFonts w:ascii="Myanmar Text" w:hAnsi="Myanmar Text" w:eastAsia="Myanmar Text" w:cs="Myanmar Text"/>
        </w:rPr>
        <w:t>အမျိုးမျိုးသော</w:t>
      </w:r>
      <w:r>
        <w:rPr>
          <w:rFonts w:ascii="Times New Roman" w:hAnsi="Times New Roman" w:eastAsia="Times New Roman" w:cs="Times New Roman"/>
        </w:rPr>
        <w:t xml:space="preserve"> </w:t>
      </w:r>
      <w:r>
        <w:rPr>
          <w:rFonts w:ascii="Myanmar Text" w:hAnsi="Myanmar Text" w:eastAsia="Myanmar Text" w:cs="Myanmar Text"/>
        </w:rPr>
        <w:t>နည်းလမ်းခပ်သိမ်းတို့နှင့်အတူ</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2 Thessalonians 2:9, 10.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ထင်ရှားလာမည့်</w:t>
      </w:r>
      <w:r>
        <w:rPr>
          <w:rFonts w:ascii="Times New Roman" w:hAnsi="Times New Roman" w:eastAsia="Times New Roman" w:cs="Times New Roman"/>
        </w:rPr>
        <w:t xml:space="preserve"> </w:t>
      </w:r>
      <w:r>
        <w:rPr>
          <w:rFonts w:ascii="Myanmar Text" w:hAnsi="Myanmar Text" w:eastAsia="Myanmar Text" w:cs="Myanmar Text"/>
        </w:rPr>
        <w:t>အံ့ဖွယ်ပြုနိုင်သော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ဖော်ပြလျက်</w:t>
      </w:r>
      <w:r>
        <w:rPr>
          <w:rFonts w:ascii="Times New Roman" w:hAnsi="Times New Roman" w:eastAsia="Times New Roman" w:cs="Times New Roman"/>
        </w:rPr>
        <w:t xml:space="preserve"> </w:t>
      </w:r>
      <w:r>
        <w:rPr>
          <w:rFonts w:ascii="Myanmar Text" w:hAnsi="Myanmar Text" w:eastAsia="Myanmar Text" w:cs="Myanmar Text"/>
        </w:rPr>
        <w:t>တမန်တော်ယောဟန်က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ကြေညာသည်</w:t>
      </w:r>
      <w:r>
        <w:rPr>
          <w:rFonts w:ascii="Times New Roman" w:hAnsi="Times New Roman" w:eastAsia="Times New Roman" w:cs="Times New Roman"/>
        </w:rPr>
        <w:t>–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အံ့ဖွယ်ရာများကို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လူတို့ရှေ့၌</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မီးကျစေသကဲ့သို့</w:t>
      </w:r>
      <w:r>
        <w:rPr>
          <w:rFonts w:ascii="Times New Roman" w:hAnsi="Times New Roman" w:eastAsia="Times New Roman" w:cs="Times New Roman"/>
        </w:rPr>
        <w:t xml:space="preserve"> </w:t>
      </w:r>
      <w:r>
        <w:rPr>
          <w:rFonts w:ascii="Myanmar Text" w:hAnsi="Myanmar Text" w:eastAsia="Myanmar Text" w:cs="Myanmar Text"/>
        </w:rPr>
        <w:t>ပြုနိုင်၏။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ပြုနိုင်ခွင့်ရှိသော</w:t>
      </w:r>
      <w:r>
        <w:rPr>
          <w:rFonts w:ascii="Times New Roman" w:hAnsi="Times New Roman" w:eastAsia="Times New Roman" w:cs="Times New Roman"/>
        </w:rPr>
        <w:t xml:space="preserve"> </w:t>
      </w:r>
      <w:r>
        <w:rPr>
          <w:rFonts w:ascii="Myanmar Text" w:hAnsi="Myanmar Text" w:eastAsia="Myanmar Text" w:cs="Myanmar Text"/>
        </w:rPr>
        <w:t>ထိုအံ့ဖွယ်ရာများအားဖြင့်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နေထိုင်သော</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လှည့်ဖြား၏။</w:t>
      </w:r>
      <w:r>
        <w:rPr>
          <w:rFonts w:ascii="Times New Roman" w:hAnsi="Times New Roman" w:eastAsia="Times New Roman" w:cs="Times New Roman"/>
        </w:rPr>
        <w:t xml:space="preserve">’ Revelation 13:13, 14.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ကြိုတင်ဟောထားသည်မှာ</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လှည့်ကွက်မျှသာ</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ကိုယ်စားလှယ်တို့က</w:t>
      </w:r>
      <w:r>
        <w:rPr>
          <w:rFonts w:ascii="Times New Roman" w:hAnsi="Times New Roman" w:eastAsia="Times New Roman" w:cs="Times New Roman"/>
        </w:rPr>
        <w:t xml:space="preserve"> </w:t>
      </w:r>
      <w:r>
        <w:rPr>
          <w:rFonts w:ascii="Myanmar Text" w:hAnsi="Myanmar Text" w:eastAsia="Myanmar Text" w:cs="Myanmar Text"/>
        </w:rPr>
        <w:t>ပြုနိုင်သော</w:t>
      </w:r>
      <w:r>
        <w:rPr>
          <w:rFonts w:ascii="Times New Roman" w:hAnsi="Times New Roman" w:eastAsia="Times New Roman" w:cs="Times New Roman"/>
        </w:rPr>
        <w:t xml:space="preserve"> </w:t>
      </w:r>
      <w:r>
        <w:rPr>
          <w:rFonts w:ascii="Myanmar Text" w:hAnsi="Myanmar Text" w:eastAsia="Myanmar Text" w:cs="Myanmar Text"/>
        </w:rPr>
        <w:t>အံ့ဖွယ်ရာများကြောင့်</w:t>
      </w:r>
      <w:r>
        <w:rPr>
          <w:rFonts w:ascii="Times New Roman" w:hAnsi="Times New Roman" w:eastAsia="Times New Roman" w:cs="Times New Roman"/>
        </w:rPr>
        <w:t xml:space="preserve"> </w:t>
      </w:r>
      <w:r>
        <w:rPr>
          <w:rFonts w:ascii="Myanmar Text" w:hAnsi="Myanmar Text" w:eastAsia="Myanmar Text" w:cs="Myanmar Text"/>
        </w:rPr>
        <w:t>လှည့်ဖြားခံရကြသည်၊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ပြုနိုင်သည်ဟု</w:t>
      </w:r>
      <w:r>
        <w:rPr>
          <w:rFonts w:ascii="Times New Roman" w:hAnsi="Times New Roman" w:eastAsia="Times New Roman" w:cs="Times New Roman"/>
        </w:rPr>
        <w:t xml:space="preserve"> </w:t>
      </w:r>
      <w:r>
        <w:rPr>
          <w:rFonts w:ascii="Myanmar Text" w:hAnsi="Myanmar Text" w:eastAsia="Myanmar Text" w:cs="Myanmar Text"/>
        </w:rPr>
        <w:t>ဟန်ဆောင်ဆိုထားသော</w:t>
      </w:r>
      <w:r>
        <w:rPr>
          <w:rFonts w:ascii="Times New Roman" w:hAnsi="Times New Roman" w:eastAsia="Times New Roman" w:cs="Times New Roman"/>
        </w:rPr>
        <w:t xml:space="preserve"> </w:t>
      </w:r>
      <w:r>
        <w:rPr>
          <w:rFonts w:ascii="Myanmar Text" w:hAnsi="Myanmar Text" w:eastAsia="Myanmar Text" w:cs="Myanmar Text"/>
        </w:rPr>
        <w:t>အရာများကြောင့်</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The Great Controversy, 553.</w:t>
      </w:r>
    </w:p>
    <w:p>
      <w:pPr>
        <w:pStyle w:val="ArticleBody"/>
        <w:jc w:val="left"/>
      </w:pPr>
      <w:r>
        <w:rPr>
          <w:rFonts w:ascii="Times New Roman" w:hAnsi="Times New Roman" w:eastAsia="Times New Roman" w:cs="Times New Roman"/>
        </w:rPr>
        <w:t>Les fausses doctrines édifiées sur les coutumes et les traditions, les manifestations spiritualistes de miracles, l’industrie médico-industrielle contrefaite, ainsi que l’alliance de l’art ecclésiastique avec l’art politique, sont autant d’attributs de la bête du catholicisme. L’orgueil est une caractéristique de la puissance du dragon. La présomption est la caractéristique du faux prophète du protestantisme apostat.</w:t>
      </w:r>
    </w:p>
    <w:p>
      <w:pPr>
        <w:pStyle w:val="ArticleScripture"/>
        <w:jc w:val="left"/>
      </w:pPr>
      <w:r>
        <w:rPr>
          <w:rFonts w:ascii="Times New Roman" w:hAnsi="Times New Roman" w:eastAsia="Times New Roman" w:cs="Times New Roman"/>
        </w:rPr>
        <w:t>Y Yesu, llenu del Espíritu Santo, volvió del Jordán, y fue lleváu pol Espíritu al desiertu, siendo tentáu del diábolu mientres cuarenta díes. Y nun comió nada n’aquellos díes; y, cuando fueron acabaos, depués tuvo fame. Entós el diábolu-y dixo: Si yes el Fíu de Dios, manda a esta piedra que se torne pan. Y Jesús respondió-y, diciendo: Escrito ta: Non solo de pan vivirá l’home, sinón de tola pallabra de Dios. Lucas 4:1–4.</w:t>
      </w:r>
    </w:p>
    <w:p>
      <w:pPr>
        <w:pStyle w:val="ArticleBody"/>
        <w:jc w:val="left"/>
      </w:pPr>
      <w:r>
        <w:rPr>
          <w:rFonts w:ascii="Times New Roman" w:hAnsi="Times New Roman" w:eastAsia="Times New Roman" w:cs="Times New Roman"/>
        </w:rPr>
        <w:t>“Ff” is ambiguous as a target language. Please specify the language you want the text translated into.</w:t>
      </w:r>
    </w:p>
    <w:p>
      <w:pPr>
        <w:pStyle w:val="ArticleBody"/>
        <w:jc w:val="left"/>
      </w:pP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त्रुटिपूर्ण</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बूझकर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ध्येय</w:t>
      </w:r>
      <w:r>
        <w:rPr>
          <w:rFonts w:ascii="Times New Roman" w:hAnsi="Times New Roman" w:eastAsia="Times New Roman" w:cs="Times New Roman"/>
        </w:rPr>
        <w:t>-</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मार्टिन</w:t>
      </w:r>
      <w:r>
        <w:rPr>
          <w:rFonts w:ascii="Times New Roman" w:hAnsi="Times New Roman" w:eastAsia="Times New Roman" w:cs="Times New Roman"/>
        </w:rPr>
        <w:t xml:space="preserve"> </w:t>
      </w:r>
      <w:r>
        <w:rPr>
          <w:rFonts w:ascii="Nirmala UI" w:hAnsi="Nirmala UI" w:eastAsia="Nirmala UI" w:cs="Nirmala UI"/>
        </w:rPr>
        <w:t>लूथर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“Sola Scriptura!”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संभवतः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पूर्वजों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शब्दघोष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औचित्य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त्रुटिपूर्ण</w:t>
      </w:r>
      <w:r>
        <w:rPr>
          <w:rFonts w:ascii="Times New Roman" w:hAnsi="Times New Roman" w:eastAsia="Times New Roman" w:cs="Times New Roman"/>
        </w:rPr>
        <w:t xml:space="preserve"> </w:t>
      </w:r>
      <w:r>
        <w:rPr>
          <w:rFonts w:ascii="Nirmala UI" w:hAnsi="Nirmala UI" w:eastAsia="Nirmala UI" w:cs="Nirmala UI"/>
        </w:rPr>
        <w:t>धृष्ट</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«Si la lumière de la vérité vous a été présentée, vous révélant le sabbat du quatrième commandement et montrant qu’il n’existe aucun fondement, dans la Parole de Dieu, pour l’observance du dimanche, et que pourtant vous vous attachiez encore au faux sabbat, refusant de sanctifier le sabbat que Dieu appelle “mon saint jour”, vous recevez la marque de la bête. Quand cela a-t-il lieu ? — Lorsque vous obéissez au décret qui vous ordonne de cesser le travail le dimanche et d’adorer Dieu, alors que vous savez qu’il n’y a pas un mot dans la Bible qui montre que le dimanche soit autre chose qu’un jour ouvrable ordinaire, vous consentez à recevoir la marque de la bête et refusez le sceau de Dieu. Si nous recevons cette marque sur nos fronts ou dans nos mains, les jugements prononcés contre les désobéissants doivent tomber sur nous. Mais le sceau du Dieu vivant est placé sur ceux qui observent consciencieusement le sabbat du Seigneur. » Review and Herald, 27 avril 1911.</w:t>
      </w:r>
    </w:p>
    <w:p>
      <w:pPr>
        <w:pStyle w:val="ArticleBody"/>
        <w:jc w:val="left"/>
      </w:pPr>
      <w:r>
        <w:rPr>
          <w:rFonts w:ascii="Times New Roman" w:hAnsi="Times New Roman" w:eastAsia="Times New Roman" w:cs="Times New Roman"/>
        </w:rPr>
        <w:t>Jamii inayoeleweka kwa kawaida ya chama cha Republican ni utayari wao wa kudhani kwamba wapinzani wao wa kisiasa ni wa haki na waaminifu, ilhali matunda ya chama cha Democratic yanafunua wazi kwamba wao ni watoto wa baba wa uongo. Mara kwa mara na kwa uthabiti, Warepublican huwachukulia wapinzani wao wa kisiasa kwa neno lao, wakati wameonyeshwa tena na tena kwamba wapinzani wao hawashiki kamwe neno lao. Wanawahusisha nia za uaminifu wale ambao mara kwa mara wameonyesha kutokuwapo kwa msingi wowote wa kiakili wa kuunga mkono makadirio potovu ya Warepublican kuhusu uaminifu na unyofu unaotarajiwa. Ni kweli pia kwamba Warepublican wengi hukataa kusimamia kanuni kwa ajili ya faida ya kibinafsi ya kifedha, au kwa sababu ya hali za siri za uasherati zinazowaruhusu kudhibitiwa kwa urahisi, lakini sifa kuu ya kinabii ya chama cha Republican ni kudhania bila msingi.</w:t>
      </w:r>
    </w:p>
    <w:p>
      <w:pPr>
        <w:pStyle w:val="ArticleBody"/>
        <w:jc w:val="left"/>
      </w:pPr>
      <w:r>
        <w:rPr>
          <w:rFonts w:ascii="Times New Roman" w:hAnsi="Times New Roman" w:eastAsia="Times New Roman" w:cs="Times New Roman"/>
        </w:rPr>
        <w:t>C’est l’attribut de la présomption, prophétiquement marqué chez les protestants apostats, qui leur permet de prétendre avoir pris la position morale et politique la plus élevée, alors qu’en réalité ils ont abdiqué leurs responsabilités civiques dans la vaine attente que leurs adversaires politiques tiendront parole. La définition, fort commune, de la folie consiste précisément à refaire sans cesse la même chose tout en s’attendant à un résultat différent ; pourtant, les Républicains soutiennent que ce sont les Démocrates qui ont été frappés de folie, telle qu’elle se manifeste dans leur haine de Trump.</w:t>
      </w:r>
    </w:p>
    <w:p>
      <w:pPr>
        <w:pStyle w:val="ArticleBody"/>
        <w:jc w:val="left"/>
      </w:pPr>
      <w:r>
        <w:rPr>
          <w:rFonts w:ascii="Times New Roman" w:hAnsi="Times New Roman" w:eastAsia="Times New Roman" w:cs="Times New Roman"/>
        </w:rPr>
        <w:t>Et pourtant, la folie des Républicains se manifeste de façon répétée lorsqu’ils consentent à des compromis, sous le prétexte que le compromis relèverait du travail du processus législatif, alors même que leurs compromis politiques, qu’ils prétendent fonder sur le principe du « processus législatif », sont conclus avec une catégorie de personnes qui, elles, ne transigent jamais. Les Démocrates ne cèdent du terrain dans le processus politique que lorsqu’ils y sont pleinement contraints par le rapport du nombre qui leur est défavorable. Ils n’ont jamais apporté la preuve qu’ils œuvrent véritablement, dans le cadre du processus politique, à la recherche d’un terrain d’entente. La folie des Républicains réside dans leurs attentes optimistes, constamment renouvelées à l’égard d’autrui, alors qu’elles sont entièrement sans fondement.</w:t>
      </w:r>
    </w:p>
    <w:p>
      <w:pPr>
        <w:pStyle w:val="ArticleBody"/>
        <w:jc w:val="left"/>
      </w:pPr>
      <w:r>
        <w:rPr>
          <w:rFonts w:ascii="Times New Roman" w:hAnsi="Times New Roman" w:eastAsia="Times New Roman" w:cs="Times New Roman"/>
        </w:rPr>
        <w:t>A grande maggioranza di coloro che sostengono Donald Trump attesterà senza esitazione che la peggiore caratteristica di Trump è la sua disponibilità ad accettare uomini come sostenitori della sua agenda, quando le prove disponibili indicano che fu del tutto presuntuoso, da parte di Trump, fare tale scelta. La presunzione è l’attributo profetico del protestantesimo apostata. Satana tentò Cristo citando la Bibbia, ma così facendo distortò il passo trasformandolo in una prova ingiustificata e antiscritturale.</w:t>
      </w:r>
    </w:p>
    <w:p>
      <w:pPr>
        <w:pStyle w:val="ArticleScripture"/>
        <w:jc w:val="left"/>
      </w:pPr>
      <w:r>
        <w:rPr>
          <w:rFonts w:ascii="Times New Roman" w:hAnsi="Times New Roman" w:eastAsia="Times New Roman" w:cs="Times New Roman"/>
        </w:rPr>
        <w:t>Et il le conduisit à Jérusalem, le plaça sur le faîte du temple, et lui dit : Si tu es le Fils de Dieu, jette-toi d’ici en bas ; car il est écrit : Il donnera pour toi des ordres à ses anges, afin qu’ils te gardent ; et : Ils te porteront sur leurs mains, de peur que ton pied ne heurte contre une pierre. Et Jésus lui répondit : Il est dit : Tu ne tenteras point le Seigneur, ton Dieu. Luc 4:9–12.</w:t>
      </w:r>
    </w:p>
    <w:p>
      <w:pPr>
        <w:pStyle w:val="ArticleBody"/>
        <w:jc w:val="left"/>
      </w:pPr>
      <w:r>
        <w:rPr>
          <w:rFonts w:ascii="Times New Roman" w:hAnsi="Times New Roman" w:eastAsia="Times New Roman" w:cs="Times New Roman"/>
        </w:rPr>
        <w:t>Lors de la loi dominicale imminente, ce seront les protestants des États-Unis qui prendront le mandat biblique de cesser le travail le jour du sabbat, et détourneront le commandement d’adorer Dieu le sabbat du septième jour pour en faire un commandement fabriqué, selon lequel c’est en réalité le jour du soleil du paganisme sur lequel les hommes seraient tenus d’adorer. Ils dénatureront un passage biblique pour en faire une épreuve injustifiée et contraire aux Écritures.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“Mi vide, ke la dupotenca besto havis buŝon de drako, kaj ke lia potenco estis en lia kapo, kaj ke la dekreto eliros el lia buŝo. Tiam mi vidis la Patrinon de Malĉastulinoj; ke la patrino ne estis la filinoj, sed aparta kaj distingebla de ili. Ŝi havis sian tagon, kaj ĝi jam pasis, kaj ŝiaj filinoj, la protestantaj sektoj, estis la sekvantaj veni sur la scenejon kaj elmontri la saman spiriton, kiun la patrino havis, kiam ŝi persekutis la sanktulojn. Mi vidis, ke dum la patrino malkreskadis en potenco, la filinoj kreskadis, kaj baldaŭ ili ekzercos la potencon, kiun iam ekzercis la patrino.”</w:t>
      </w:r>
    </w:p>
    <w:p>
      <w:pPr>
        <w:pStyle w:val="ArticleScripture"/>
        <w:jc w:val="left"/>
      </w:pPr>
      <w:r>
        <w:rPr>
          <w:rFonts w:ascii="Times New Roman" w:hAnsi="Times New Roman" w:eastAsia="Times New Roman" w:cs="Times New Roman"/>
        </w:rPr>
        <w:t>“Mi vidis, ke la laŭnoma eklezio kaj la laŭnomaj Adventistoj, kiel Judas, perfidus nin al la katolikoj por akiri ilian influon, por veni kontraŭ la vero. Tiam la sanktuloj estos malklara popolo, malmulte konata al la katolikoj; sed la eklezioj kaj la laŭnomaj Adventistoj, kiuj scias pri nia kredo kaj kutimoj (ĉar ili malamis nin pro la Sabato, ĉar ili ne povis ĝin refuti), perfidos la sanktulojn kaj raportos ilin al la katolikoj kiel tiujn, kiuj malatentas la instituciojn de la popolo; tio estas, ke ili observas la Sabaton kaj malatentas dimanĉon.”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ដ្បិតនៅពេលនោះ</w:t>
      </w:r>
      <w:r>
        <w:rPr>
          <w:rFonts w:ascii="Times New Roman" w:hAnsi="Times New Roman" w:eastAsia="Times New Roman" w:cs="Times New Roman"/>
        </w:rPr>
        <w:t xml:space="preserve"> </w:t>
      </w:r>
      <w:r>
        <w:rPr>
          <w:rFonts w:ascii="Leelawadee UI" w:hAnsi="Leelawadee UI" w:eastAsia="Leelawadee UI" w:cs="Leelawadee UI"/>
        </w:rPr>
        <w:t>ពួកកាតូលិកនឹងបញ្ជាឲ្យពួកប្រូតេស្តង់ទៅមុខ</w:t>
      </w:r>
      <w:r>
        <w:rPr>
          <w:rFonts w:ascii="Times New Roman" w:hAnsi="Times New Roman" w:eastAsia="Times New Roman" w:cs="Times New Roman"/>
        </w:rPr>
        <w:t xml:space="preserve"> </w:t>
      </w:r>
      <w:r>
        <w:rPr>
          <w:rFonts w:ascii="Leelawadee UI" w:hAnsi="Leelawadee UI" w:eastAsia="Leelawadee UI" w:cs="Leelawadee UI"/>
        </w:rPr>
        <w:t>ហើយចេញក្រឹត្យថា</w:t>
      </w:r>
      <w:r>
        <w:rPr>
          <w:rFonts w:ascii="Times New Roman" w:hAnsi="Times New Roman" w:eastAsia="Times New Roman" w:cs="Times New Roman"/>
        </w:rPr>
        <w:t xml:space="preserve"> </w:t>
      </w:r>
      <w:r>
        <w:rPr>
          <w:rFonts w:ascii="Leelawadee UI" w:hAnsi="Leelawadee UI" w:eastAsia="Leelawadee UI" w:cs="Leelawadee UI"/>
        </w:rPr>
        <w:t>អស់អ្នកណាដែលមិនព្រមគោរពថ្ងៃដំបូងនៃសប្ដាហ៍</w:t>
      </w:r>
      <w:r>
        <w:rPr>
          <w:rFonts w:ascii="Times New Roman" w:hAnsi="Times New Roman" w:eastAsia="Times New Roman" w:cs="Times New Roman"/>
        </w:rPr>
        <w:t xml:space="preserve"> </w:t>
      </w:r>
      <w:r>
        <w:rPr>
          <w:rFonts w:ascii="Leelawadee UI" w:hAnsi="Leelawadee UI" w:eastAsia="Leelawadee UI" w:cs="Leelawadee UI"/>
        </w:rPr>
        <w:t>ជំនួសឲ្យថ្ងៃទីប្រាំពីរ</w:t>
      </w:r>
      <w:r>
        <w:rPr>
          <w:rFonts w:ascii="Times New Roman" w:hAnsi="Times New Roman" w:eastAsia="Times New Roman" w:cs="Times New Roman"/>
        </w:rPr>
        <w:t xml:space="preserve"> </w:t>
      </w:r>
      <w:r>
        <w:rPr>
          <w:rFonts w:ascii="Leelawadee UI" w:hAnsi="Leelawadee UI" w:eastAsia="Leelawadee UI" w:cs="Leelawadee UI"/>
        </w:rPr>
        <w:t>នោះត្រូវសម្លាប់។</w:t>
      </w:r>
      <w:r>
        <w:rPr>
          <w:rFonts w:ascii="Times New Roman" w:hAnsi="Times New Roman" w:eastAsia="Times New Roman" w:cs="Times New Roman"/>
        </w:rPr>
        <w:t xml:space="preserve"> </w:t>
      </w:r>
      <w:r>
        <w:rPr>
          <w:rFonts w:ascii="Leelawadee UI" w:hAnsi="Leelawadee UI" w:eastAsia="Leelawadee UI" w:cs="Leelawadee UI"/>
        </w:rPr>
        <w:t>ហើយពួកកាតូលិក</w:t>
      </w:r>
      <w:r>
        <w:rPr>
          <w:rFonts w:ascii="Times New Roman" w:hAnsi="Times New Roman" w:eastAsia="Times New Roman" w:cs="Times New Roman"/>
        </w:rPr>
        <w:t xml:space="preserve"> </w:t>
      </w:r>
      <w:r>
        <w:rPr>
          <w:rFonts w:ascii="Leelawadee UI" w:hAnsi="Leelawadee UI" w:eastAsia="Leelawadee UI" w:cs="Leelawadee UI"/>
        </w:rPr>
        <w:t>ដែលមានចំនួនច្រើន</w:t>
      </w:r>
      <w:r>
        <w:rPr>
          <w:rFonts w:ascii="Times New Roman" w:hAnsi="Times New Roman" w:eastAsia="Times New Roman" w:cs="Times New Roman"/>
        </w:rPr>
        <w:t xml:space="preserve"> </w:t>
      </w:r>
      <w:r>
        <w:rPr>
          <w:rFonts w:ascii="Leelawadee UI" w:hAnsi="Leelawadee UI" w:eastAsia="Leelawadee UI" w:cs="Leelawadee UI"/>
        </w:rPr>
        <w:t>នឹងឈរគាំទ្រពួកប្រូតេស្តង់។</w:t>
      </w:r>
      <w:r>
        <w:rPr>
          <w:rFonts w:ascii="Times New Roman" w:hAnsi="Times New Roman" w:eastAsia="Times New Roman" w:cs="Times New Roman"/>
        </w:rPr>
        <w:t xml:space="preserve"> </w:t>
      </w:r>
      <w:r>
        <w:rPr>
          <w:rFonts w:ascii="Leelawadee UI" w:hAnsi="Leelawadee UI" w:eastAsia="Leelawadee UI" w:cs="Leelawadee UI"/>
        </w:rPr>
        <w:t>ពួកកាតូលិកនឹងប្រគល់អំណាចរបស់ខ្លួនទៅឲ្យរូបសំណាកនៃសត្វសាហាវ។</w:t>
      </w:r>
      <w:r>
        <w:rPr>
          <w:rFonts w:ascii="Times New Roman" w:hAnsi="Times New Roman" w:eastAsia="Times New Roman" w:cs="Times New Roman"/>
        </w:rPr>
        <w:t xml:space="preserve"> </w:t>
      </w:r>
      <w:r>
        <w:rPr>
          <w:rFonts w:ascii="Leelawadee UI" w:hAnsi="Leelawadee UI" w:eastAsia="Leelawadee UI" w:cs="Leelawadee UI"/>
        </w:rPr>
        <w:t>ហើយពួកប្រូតេស្តង់នឹងប្រព្រឹត្តដូចម្តាយរបស់ខ្លួនបានប្រព្រឹត្តមុនពួកគេ</w:t>
      </w:r>
      <w:r>
        <w:rPr>
          <w:rFonts w:ascii="Times New Roman" w:hAnsi="Times New Roman" w:eastAsia="Times New Roman" w:cs="Times New Roman"/>
        </w:rPr>
        <w:t xml:space="preserve"> </w:t>
      </w:r>
      <w:r>
        <w:rPr>
          <w:rFonts w:ascii="Leelawadee UI" w:hAnsi="Leelawadee UI" w:eastAsia="Leelawadee UI" w:cs="Leelawadee UI"/>
        </w:rPr>
        <w:t>ដើម្បីបំផ្លាញពួកបរិសុទ្ធ។</w:t>
      </w:r>
      <w:r>
        <w:rPr>
          <w:rFonts w:ascii="Times New Roman" w:hAnsi="Times New Roman" w:eastAsia="Times New Roman" w:cs="Times New Roman"/>
        </w:rPr>
        <w:t xml:space="preserve"> </w:t>
      </w:r>
      <w:r>
        <w:rPr>
          <w:rFonts w:ascii="Leelawadee UI" w:hAnsi="Leelawadee UI" w:eastAsia="Leelawadee UI" w:cs="Leelawadee UI"/>
        </w:rPr>
        <w:t>ប៉ុន្តែមុនពេលក្រឹត្យរបស់ពួកគេនាំឬបង្កើតផល</w:t>
      </w:r>
      <w:r>
        <w:rPr>
          <w:rFonts w:ascii="Times New Roman" w:hAnsi="Times New Roman" w:eastAsia="Times New Roman" w:cs="Times New Roman"/>
        </w:rPr>
        <w:t xml:space="preserve"> </w:t>
      </w:r>
      <w:r>
        <w:rPr>
          <w:rFonts w:ascii="Leelawadee UI" w:hAnsi="Leelawadee UI" w:eastAsia="Leelawadee UI" w:cs="Leelawadee UI"/>
        </w:rPr>
        <w:t>ពួកបរិសុទ្ធនឹងត្រូវបានរំដោះដោយព្រះសូរស័ព្ទរបស់ព្រះជាម្ចាស់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اٹھائیسواں حصہ</dc:title>
  <dc:subject>Kristus’ dåbs og fristelses profetiske betydning: En afdækning af tre verdensmagters karakteristika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