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cent trente et un</w:t>
      </w:r>
    </w:p>
    <w:p>
      <w:pPr>
        <w:pStyle w:val="ArticleSubtitle"/>
        <w:jc w:val="left"/>
      </w:pPr>
      <w:r>
        <w:rPr>
          <w:rFonts w:ascii="Arial" w:hAnsi="Arial" w:eastAsia="Arial" w:cs="Arial"/>
        </w:rPr>
        <w:t>Revelationista nykyisiin todellisuuksiin ulottuvan profeetallisen kudelman paljastaminen: yhteyksien näkeminen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Dans des articles précédents, nous avons établi que les millérites reconnaissaient qu’ils accomplissaient la parabole des dix vierges, Habacuc chapitre deux et Ézéchiel chapitre douze, versets vingt et un à vingt-huit. Les versets d’Ézéchiel indiquent que, lorsque ces trois passages prophétiques seront parfaitement accomplis dans les derniers jours, « l’effet de toute vision » sera accompli. Sœur White traite également de ce phénomène.</w:t>
      </w:r>
    </w:p>
    <w:p>
      <w:pPr>
        <w:pStyle w:val="ArticleScripture"/>
        <w:jc w:val="left"/>
      </w:pPr>
      <w:r>
        <w:rPr>
          <w:rFonts w:ascii="Times New Roman" w:hAnsi="Times New Roman" w:eastAsia="Times New Roman" w:cs="Times New Roman"/>
        </w:rPr>
        <w:t>« Dans l’Apocalypse, tous les livres de la Bible se rejoignent et s’achèvent. Voici le complément du livre de Daniel. L’un est une prophétie ; l’autre, une révélation. Le livre qui fut scellé n’est pas l’Apocalypse, mais cette partie de la prophétie de Daniel qui se rapporte aux derniers jours. L’ange ordonna : “Mais toi, Daniel, tiens secrètes ces paroles, et scelle le livre jusqu’au temps de la fin.” Daniel 12:4. » Acts of the Apostles, 585.</w:t>
      </w:r>
    </w:p>
    <w:p>
      <w:pPr>
        <w:pStyle w:val="ArticleBody"/>
        <w:jc w:val="left"/>
      </w:pPr>
      <w:r>
        <w:rPr>
          <w:rFonts w:ascii="Times New Roman" w:hAnsi="Times New Roman" w:eastAsia="Times New Roman" w:cs="Times New Roman"/>
        </w:rPr>
        <w:t>Les parabole des dix vierges se répète jusque dans ses moindres détails au temps du scellement des cent quarante-quatre mille, lequel a commencé le 11 septembre 2001 et s’achève lorsque la porte se ferme sur les vierges folles lors de la loi dominicale imminente. Dans cette période de l’histoire, l’effet de chaque vision est représenté en ce que « tous les livres de la Bible se rencontrent et s’achèvent ».</w:t>
      </w:r>
    </w:p>
    <w:p>
      <w:pPr>
        <w:pStyle w:val="ArticleBody"/>
        <w:jc w:val="left"/>
      </w:pPr>
      <w:r>
        <w:rPr>
          <w:rFonts w:ascii="Times New Roman" w:hAnsi="Times New Roman" w:eastAsia="Times New Roman" w:cs="Times New Roman"/>
        </w:rPr>
        <w:t>A ti ti ń kọ pẹpẹ ìmọ̀ ní àpilẹ̀kọ tí ó ṣáájú láti fi ìlà ìta ti ìtàn hàn, èyí tí a ṣàfihàn nínú ẹsẹ̀ ogójì ti Danieli mọ́kànlá, tí ó dúró fún ìtàn òṣèlú ìwo Oloṣèlú Olómìnira ti ẹranko ilẹ̀. Ìtàn náà ń lọ ní ìbámu pẹ̀lú ìtàn ẹ̀sìn ìwo Pọ́tẹ́sítántì tòótọ́ ti ẹranko ilẹ̀. A ti dá díẹ̀ nínú àwọn ìlà àsọtẹ́lẹ̀ mọ̀ tí ń sọ̀rọ̀ nípa ìwo Olómìnira ti ẹranko ilẹ̀, a sì ń gbé àwọn ìlà wọ̀nyẹn kalẹ̀ lórí ìtàn àsọtẹ́lẹ̀ tí ó bẹ̀rẹ̀ ní àkókò òpin ní ọdún 1989.</w:t>
      </w:r>
    </w:p>
    <w:p>
      <w:pPr>
        <w:pStyle w:val="ArticleBody"/>
        <w:jc w:val="left"/>
      </w:pPr>
      <w:r>
        <w:rPr>
          <w:rFonts w:ascii="Ebrima" w:hAnsi="Ebrima" w:eastAsia="Ebrima" w:cs="Ebrima"/>
        </w:rPr>
        <w:t>በ</w:t>
      </w:r>
      <w:r>
        <w:rPr>
          <w:rFonts w:ascii="Times New Roman" w:hAnsi="Times New Roman" w:eastAsia="Times New Roman" w:cs="Times New Roman"/>
        </w:rPr>
        <w:t xml:space="preserve">1776 </w:t>
      </w:r>
      <w:r>
        <w:rPr>
          <w:rFonts w:ascii="Ebrima" w:hAnsi="Ebrima" w:eastAsia="Ebrima" w:cs="Ebrima"/>
        </w:rPr>
        <w:t>የጀመረውና</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1798 </w:t>
      </w:r>
      <w:r>
        <w:rPr>
          <w:rFonts w:ascii="Ebrima" w:hAnsi="Ebrima" w:eastAsia="Ebrima" w:cs="Ebrima"/>
        </w:rPr>
        <w:t>በዘመኑ</w:t>
      </w:r>
      <w:r>
        <w:rPr>
          <w:rFonts w:ascii="Times New Roman" w:hAnsi="Times New Roman" w:eastAsia="Times New Roman" w:cs="Times New Roman"/>
        </w:rPr>
        <w:t xml:space="preserve"> </w:t>
      </w:r>
      <w:r>
        <w:rPr>
          <w:rFonts w:ascii="Ebrima" w:hAnsi="Ebrima" w:eastAsia="Ebrima" w:cs="Ebrima"/>
        </w:rPr>
        <w:t>መጨረሻ</w:t>
      </w:r>
      <w:r>
        <w:rPr>
          <w:rFonts w:ascii="Times New Roman" w:hAnsi="Times New Roman" w:eastAsia="Times New Roman" w:cs="Times New Roman"/>
        </w:rPr>
        <w:t xml:space="preserve"> </w:t>
      </w:r>
      <w:r>
        <w:rPr>
          <w:rFonts w:ascii="Ebrima" w:hAnsi="Ebrima" w:eastAsia="Ebrima" w:cs="Ebrima"/>
        </w:rPr>
        <w:t>የተፈጸመው</w:t>
      </w:r>
      <w:r>
        <w:rPr>
          <w:rFonts w:ascii="Times New Roman" w:hAnsi="Times New Roman" w:eastAsia="Times New Roman" w:cs="Times New Roman"/>
        </w:rPr>
        <w:t xml:space="preserve"> </w:t>
      </w:r>
      <w:r>
        <w:rPr>
          <w:rFonts w:ascii="Ebrima" w:hAnsi="Ebrima" w:eastAsia="Ebrima" w:cs="Ebrima"/>
        </w:rPr>
        <w:t>የምድር</w:t>
      </w:r>
      <w:r>
        <w:rPr>
          <w:rFonts w:ascii="Times New Roman" w:hAnsi="Times New Roman" w:eastAsia="Times New Roman" w:cs="Times New Roman"/>
        </w:rPr>
        <w:t xml:space="preserve"> </w:t>
      </w:r>
      <w:r>
        <w:rPr>
          <w:rFonts w:ascii="Ebrima" w:hAnsi="Ebrima" w:eastAsia="Ebrima" w:cs="Ebrima"/>
        </w:rPr>
        <w:t>አውሬ</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ተጽእኖአቸውን</w:t>
      </w:r>
      <w:r>
        <w:rPr>
          <w:rFonts w:ascii="Times New Roman" w:hAnsi="Times New Roman" w:eastAsia="Times New Roman" w:cs="Times New Roman"/>
        </w:rPr>
        <w:t xml:space="preserve"> </w:t>
      </w:r>
      <w:r>
        <w:rPr>
          <w:rFonts w:ascii="Ebrima" w:hAnsi="Ebrima" w:eastAsia="Ebrima" w:cs="Ebrima"/>
        </w:rPr>
        <w:t>እያሳዩ</w:t>
      </w:r>
      <w:r>
        <w:rPr>
          <w:rFonts w:ascii="Times New Roman" w:hAnsi="Times New Roman" w:eastAsia="Times New Roman" w:cs="Times New Roman"/>
        </w:rPr>
        <w:t xml:space="preserve"> </w:t>
      </w:r>
      <w:r>
        <w:rPr>
          <w:rFonts w:ascii="Ebrima" w:hAnsi="Ebrima" w:eastAsia="Ebrima" w:cs="Ebrima"/>
        </w:rPr>
        <w:t>ያሉትን</w:t>
      </w:r>
      <w:r>
        <w:rPr>
          <w:rFonts w:ascii="Times New Roman" w:hAnsi="Times New Roman" w:eastAsia="Times New Roman" w:cs="Times New Roman"/>
        </w:rPr>
        <w:t xml:space="preserve"> </w:t>
      </w:r>
      <w:r>
        <w:rPr>
          <w:rFonts w:ascii="Ebrima" w:hAnsi="Ebrima" w:eastAsia="Ebrima" w:cs="Ebrima"/>
        </w:rPr>
        <w:t>መስመሮች</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በአንድነት</w:t>
      </w:r>
      <w:r>
        <w:rPr>
          <w:rFonts w:ascii="Times New Roman" w:hAnsi="Times New Roman" w:eastAsia="Times New Roman" w:cs="Times New Roman"/>
        </w:rPr>
        <w:t xml:space="preserve"> </w:t>
      </w:r>
      <w:r>
        <w:rPr>
          <w:rFonts w:ascii="Ebrima" w:hAnsi="Ebrima" w:eastAsia="Ebrima" w:cs="Ebrima"/>
        </w:rPr>
        <w:t>ለማምጣት</w:t>
      </w:r>
      <w:r>
        <w:rPr>
          <w:rFonts w:ascii="Times New Roman" w:hAnsi="Times New Roman" w:eastAsia="Times New Roman" w:cs="Times New Roman"/>
        </w:rPr>
        <w:t xml:space="preserve"> </w:t>
      </w:r>
      <w:r>
        <w:rPr>
          <w:rFonts w:ascii="Ebrima" w:hAnsi="Ebrima" w:eastAsia="Ebrima" w:cs="Ebrima"/>
        </w:rPr>
        <w:t>በምናደርገው</w:t>
      </w:r>
      <w:r>
        <w:rPr>
          <w:rFonts w:ascii="Times New Roman" w:hAnsi="Times New Roman" w:eastAsia="Times New Roman" w:cs="Times New Roman"/>
        </w:rPr>
        <w:t xml:space="preserve"> </w:t>
      </w:r>
      <w:r>
        <w:rPr>
          <w:rFonts w:ascii="Ebrima" w:hAnsi="Ebrima" w:eastAsia="Ebrima" w:cs="Ebrima"/>
        </w:rPr>
        <w:t>ጥረት</w:t>
      </w:r>
      <w:r>
        <w:rPr>
          <w:rFonts w:ascii="Times New Roman" w:hAnsi="Times New Roman" w:eastAsia="Times New Roman" w:cs="Times New Roman"/>
        </w:rPr>
        <w:t xml:space="preserve"> </w:t>
      </w:r>
      <w:r>
        <w:rPr>
          <w:rFonts w:ascii="Ebrima" w:hAnsi="Ebrima" w:eastAsia="Ebrima" w:cs="Ebrima"/>
        </w:rPr>
        <w:t>ለመጠቀም</w:t>
      </w:r>
      <w:r>
        <w:rPr>
          <w:rFonts w:ascii="Times New Roman" w:hAnsi="Times New Roman" w:eastAsia="Times New Roman" w:cs="Times New Roman"/>
        </w:rPr>
        <w:t xml:space="preserve"> </w:t>
      </w:r>
      <w:r>
        <w:rPr>
          <w:rFonts w:ascii="Ebrima" w:hAnsi="Ebrima" w:eastAsia="Ebrima" w:cs="Ebrima"/>
        </w:rPr>
        <w:t>የምንፈልገው</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 xml:space="preserve">1776 </w:t>
      </w:r>
      <w:r>
        <w:rPr>
          <w:rFonts w:ascii="Ebrima" w:hAnsi="Ebrima" w:eastAsia="Ebrima" w:cs="Ebrima"/>
        </w:rPr>
        <w:t>እስከ</w:t>
      </w:r>
      <w:r>
        <w:rPr>
          <w:rFonts w:ascii="Times New Roman" w:hAnsi="Times New Roman" w:eastAsia="Times New Roman" w:cs="Times New Roman"/>
        </w:rPr>
        <w:t xml:space="preserve"> 1798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የአልፋና</w:t>
      </w:r>
      <w:r>
        <w:rPr>
          <w:rFonts w:ascii="Times New Roman" w:hAnsi="Times New Roman" w:eastAsia="Times New Roman" w:cs="Times New Roman"/>
        </w:rPr>
        <w:t xml:space="preserve"> </w:t>
      </w:r>
      <w:r>
        <w:rPr>
          <w:rFonts w:ascii="Ebrima" w:hAnsi="Ebrima" w:eastAsia="Ebrima" w:cs="Ebrima"/>
        </w:rPr>
        <w:t>የኦሜጋ</w:t>
      </w:r>
      <w:r>
        <w:rPr>
          <w:rFonts w:ascii="Times New Roman" w:hAnsi="Times New Roman" w:eastAsia="Times New Roman" w:cs="Times New Roman"/>
        </w:rPr>
        <w:t xml:space="preserve"> </w:t>
      </w:r>
      <w:r>
        <w:rPr>
          <w:rFonts w:ascii="Ebrima" w:hAnsi="Ebrima" w:eastAsia="Ebrima" w:cs="Ebrima"/>
        </w:rPr>
        <w:t>ፊርማ</w:t>
      </w:r>
      <w:r>
        <w:rPr>
          <w:rFonts w:ascii="Times New Roman" w:hAnsi="Times New Roman" w:eastAsia="Times New Roman" w:cs="Times New Roman"/>
        </w:rPr>
        <w:t xml:space="preserve"> </w:t>
      </w:r>
      <w:r>
        <w:rPr>
          <w:rFonts w:ascii="Ebrima" w:hAnsi="Ebrima" w:eastAsia="Ebrima" w:cs="Ebrima"/>
        </w:rPr>
        <w:t>አለው፥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በአንድ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የማውጣት</w:t>
      </w:r>
      <w:r>
        <w:rPr>
          <w:rFonts w:ascii="Times New Roman" w:hAnsi="Times New Roman" w:eastAsia="Times New Roman" w:cs="Times New Roman"/>
        </w:rPr>
        <w:t xml:space="preserve"> </w:t>
      </w:r>
      <w:r>
        <w:rPr>
          <w:rFonts w:ascii="Ebrima" w:hAnsi="Ebrima" w:eastAsia="Ebrima" w:cs="Ebrima"/>
        </w:rPr>
        <w:t>እርምጃ</w:t>
      </w:r>
      <w:r>
        <w:rPr>
          <w:rFonts w:ascii="Times New Roman" w:hAnsi="Times New Roman" w:eastAsia="Times New Roman" w:cs="Times New Roman"/>
        </w:rPr>
        <w:t xml:space="preserve"> </w:t>
      </w:r>
      <w:r>
        <w:rPr>
          <w:rFonts w:ascii="Ebrima" w:hAnsi="Ebrima" w:eastAsia="Ebrima" w:cs="Ebrima"/>
        </w:rPr>
        <w:t>ይጀምራልና</w:t>
      </w:r>
      <w:r>
        <w:rPr>
          <w:rFonts w:ascii="Times New Roman" w:hAnsi="Times New Roman" w:eastAsia="Times New Roman" w:cs="Times New Roman"/>
        </w:rPr>
        <w:t xml:space="preserve"> </w:t>
      </w:r>
      <w:r>
        <w:rPr>
          <w:rFonts w:ascii="Ebrima" w:hAnsi="Ebrima" w:eastAsia="Ebrima" w:cs="Ebrima"/>
        </w:rPr>
        <w:t>በአንድ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የማውጣት</w:t>
      </w:r>
      <w:r>
        <w:rPr>
          <w:rFonts w:ascii="Times New Roman" w:hAnsi="Times New Roman" w:eastAsia="Times New Roman" w:cs="Times New Roman"/>
        </w:rPr>
        <w:t xml:space="preserve"> </w:t>
      </w:r>
      <w:r>
        <w:rPr>
          <w:rFonts w:ascii="Ebrima" w:hAnsi="Ebrima" w:eastAsia="Ebrima" w:cs="Ebrima"/>
        </w:rPr>
        <w:t>እርምጃ</w:t>
      </w:r>
      <w:r>
        <w:rPr>
          <w:rFonts w:ascii="Times New Roman" w:hAnsi="Times New Roman" w:eastAsia="Times New Roman" w:cs="Times New Roman"/>
        </w:rPr>
        <w:t xml:space="preserve"> </w:t>
      </w:r>
      <w:r>
        <w:rPr>
          <w:rFonts w:ascii="Ebrima" w:hAnsi="Ebrima" w:eastAsia="Ebrima" w:cs="Ebrima"/>
        </w:rPr>
        <w:t>ይጨርሳል፤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የአንድ</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መናገር</w:t>
      </w:r>
      <w:r>
        <w:rPr>
          <w:rFonts w:ascii="Times New Roman" w:hAnsi="Times New Roman" w:eastAsia="Times New Roman" w:cs="Times New Roman"/>
        </w:rPr>
        <w:t xml:space="preserve"> </w:t>
      </w:r>
      <w:r>
        <w:rPr>
          <w:rFonts w:ascii="Ebrima" w:hAnsi="Ebrima" w:eastAsia="Ebrima" w:cs="Ebrima"/>
        </w:rPr>
        <w:t>ነው።</w:t>
      </w:r>
    </w:p>
    <w:p>
      <w:pPr>
        <w:pStyle w:val="ArticleScripture"/>
        <w:jc w:val="left"/>
      </w:pPr>
      <w:r>
        <w:rPr>
          <w:rFonts w:ascii="Times New Roman" w:hAnsi="Times New Roman" w:eastAsia="Times New Roman" w:cs="Times New Roman"/>
        </w:rPr>
        <w:t>«La parole de la nation est l’action de ses autorités législatives et judiciaires.» The Great Controversy, 443.</w:t>
      </w:r>
    </w:p>
    <w:p>
      <w:pPr>
        <w:pStyle w:val="ArticleBody"/>
        <w:jc w:val="left"/>
      </w:pPr>
      <w:r>
        <w:rPr>
          <w:rFonts w:ascii="Times New Roman" w:hAnsi="Times New Roman" w:eastAsia="Times New Roman" w:cs="Times New Roman"/>
        </w:rPr>
        <w:t>La parole est l’une des caractéristiques premières de la bête terrestre. La Constitution des États-Unis était un document divin qui a ouvert les portes à la liberté religieuse et politique et, ce faisant, a englouti le « fleuve » de persécution que les rois d’Europe et l’Église catholique avaient fait déferler pendant des siècles.</w:t>
      </w:r>
    </w:p>
    <w:p>
      <w:pPr>
        <w:pStyle w:val="ArticleScripture"/>
        <w:jc w:val="left"/>
      </w:pPr>
      <w:r>
        <w:rPr>
          <w:rFonts w:ascii="Times New Roman" w:hAnsi="Times New Roman" w:eastAsia="Times New Roman" w:cs="Times New Roman"/>
        </w:rPr>
        <w:t>Na nyoka akatupa kutoka kinywani mwake maji kama mto nyuma ya yule mwanamke, ili amchukue na mto huo. Nayo nchi ikamsaidia yule mwanamke, nayo nchi ikafungua kinywa chake, ikaumeza mto ule alioutupa yule joka kutoka kinywani mwake. Ufunuo 12:15, 16.</w:t>
      </w:r>
    </w:p>
    <w:p>
      <w:pPr>
        <w:pStyle w:val="ArticleBody"/>
        <w:jc w:val="left"/>
      </w:pPr>
      <w:r>
        <w:rPr>
          <w:rFonts w:ascii="Times New Roman" w:hAnsi="Times New Roman" w:eastAsia="Times New Roman" w:cs="Times New Roman"/>
        </w:rPr>
        <w:t>À la fin du règne de la bête de la terre en tant que sixième royaume de la prophétie biblique, elle parlera de nouveau, mais alors elle parlera comme un dragon, en imposant la loi du dimanche.</w:t>
      </w:r>
    </w:p>
    <w:p>
      <w:pPr>
        <w:pStyle w:val="ArticleScripture"/>
        <w:jc w:val="left"/>
      </w:pPr>
      <w:r>
        <w:rPr>
          <w:rFonts w:ascii="Times New Roman" w:hAnsi="Times New Roman" w:eastAsia="Times New Roman" w:cs="Times New Roman"/>
        </w:rPr>
        <w:t>Na minyɔ n’ɛl bɔfɔ mɔ bɛ sɔ tsoa ninyɛ; eye ewo dziku eve si le abe alẽ tɔ ene, eye eƒo nu abe drakon ene. Nyaɖeɖefia 13:11.</w:t>
      </w:r>
    </w:p>
    <w:p>
      <w:pPr>
        <w:pStyle w:val="ArticleBody"/>
        <w:jc w:val="left"/>
      </w:pPr>
      <w:r>
        <w:rPr>
          <w:rFonts w:ascii="Times New Roman" w:hAnsi="Times New Roman" w:eastAsia="Times New Roman" w:cs="Times New Roman"/>
        </w:rPr>
        <w:t>Mnyama wa dunia alianza kuwa ufalme wa sita mwaka 1798, wakati upapa uliponyang’anywa nguvu zake.</w:t>
      </w:r>
    </w:p>
    <w:p>
      <w:pPr>
        <w:pStyle w:val="ArticleScripture"/>
        <w:jc w:val="left"/>
      </w:pPr>
      <w:r>
        <w:rPr>
          <w:rFonts w:ascii="Times New Roman" w:hAnsi="Times New Roman" w:eastAsia="Times New Roman" w:cs="Times New Roman"/>
        </w:rPr>
        <w:t>«Ve quand le Papauté, dépouillé de sa force, fut contrainte de renoncer à la persécution, Jean vit surgir une nouvelle puissance pour faire écho à la voix du dragon et poursuivre la même œuvre cruelle et blasphématoire. Cette puissance, la dernière qui doit faire la guerre à l’Église et à la loi de Dieu, était symbolisée par une bête ayant des cornes semblables à celles d’un agneau.» Signs of the Times, 1er novembre 1899.</w:t>
      </w:r>
    </w:p>
    <w:p>
      <w:pPr>
        <w:pStyle w:val="ArticleBody"/>
        <w:jc w:val="left"/>
      </w:pPr>
      <w:r>
        <w:rPr>
          <w:rFonts w:ascii="Times New Roman" w:hAnsi="Times New Roman" w:eastAsia="Times New Roman" w:cs="Times New Roman"/>
        </w:rPr>
        <w:t>En 1798, lorsque la papauté reçut sa blessure mortelle, les États-Unis parlèrent, et, comme c’est toujours le cas avec l’Alpha et l’Oméga, la parole prononcée au commencement préfigurait la parole prononcée à la fin. Les Alien and Sedition Acts furent promulgués en 1798, préfigurant les lois qui sont mises en œuvre à la fin concernant l’immigration illégale et les médias.</w:t>
      </w:r>
    </w:p>
    <w:p>
      <w:pPr>
        <w:pStyle w:val="ArticleBody"/>
        <w:jc w:val="left"/>
      </w:pPr>
      <w:r>
        <w:rPr>
          <w:rFonts w:ascii="Times New Roman" w:hAnsi="Times New Roman" w:eastAsia="Times New Roman" w:cs="Times New Roman"/>
        </w:rPr>
        <w:t>موږ چې له ۱۷۷۶ څخه تر ۱۷۹۸ پورې موده په پام کې نیسو، د الفا او اومیګا نښه په ځان کې لري؛ ځکه چې دا په پیل کې د خپلواکۍ د اعلامیې «وینا کول» مشخصوي، کوم چې د ۱۷۹۸ د پردیو او فتنې د قوانینو نمونه ده. د همدې مودې په منځ کې د متحده ایالاتو اساسي قانون موندل کېږي. دغه موده د ځمکني ځناور د واکمنۍ نبوي انځور وړاندې کوي؛ ځکه چې دا د وری په څېر په وینا پیل کوي، خو موده د هغو قوانینو په بڼه پای ته رسېږي چې د اژدها استازیتوب کوي. خو لکه څنګه چې ډېر ځله وي، د یو شي پیل او پای له متضادو سره سمون خوري. د دې مودې لومړنی نښان په وروستي نښان کې انځور شوی، او منځنی نښان د متحده ایالاتو اساسي قانون و، چې دیارلسو ایالتونو تصویب کړ. د «حقیقت» لپاره عبراني کلمه د لومړي توري، بیا د دیارلسم توري، او بیا د عبراني الفبا د وروستي توري په وسیله جوړه شوې ده.</w:t>
      </w:r>
    </w:p>
    <w:p>
      <w:pPr>
        <w:pStyle w:val="ArticleBody"/>
        <w:jc w:val="left"/>
      </w:pPr>
      <w:r>
        <w:rPr>
          <w:rFonts w:ascii="Times New Roman" w:hAnsi="Times New Roman" w:eastAsia="Times New Roman" w:cs="Times New Roman"/>
        </w:rPr>
        <w:t>La période que nous considérons à présent porte la marque du Premier et du Dernier, qui est la Vérité. Cette période représente une période qui conduit au commencement du règne de la bête de la terre en tant que sixième royaume de la prophétie biblique, et elle représente par conséquent une période qui conduit à la fin du règne de la bête de la terre en tant que sixième royaume de la prophétie biblique. Cette période a commencé au temps de la fin, en 1989. La période de 1776 à 1798 doit être appliquée à celle de 1989 jusqu’à la loi dominicale imminente, lorsque la bête de la terre parle comme un dragon, comme le représentent les Alien and Sedition Acts.</w:t>
      </w:r>
    </w:p>
    <w:p>
      <w:pPr>
        <w:pStyle w:val="ArticleBody"/>
        <w:jc w:val="left"/>
      </w:pPr>
      <w:r>
        <w:rPr>
          <w:rFonts w:ascii="Times New Roman" w:hAnsi="Times New Roman" w:eastAsia="Times New Roman" w:cs="Times New Roman"/>
        </w:rPr>
        <w:t>Il vaut la peine d’intégrer à notre étude une autre vérité prophétique. Cette vérité constitue un élément du « temps de la fin » en tant que symbole souvent négligé. L’adventisme laodicéen sait peut-être fort bien que 1798 fut le « temps de la fin », mais sa compréhension s’arrête généralement là, car il n’a aucune idée du fait que chaque ligne de réforme est parallèle aux autres lignes de réforme. Chaque ligne de réforme commence par le « temps de la fin ».</w:t>
      </w:r>
    </w:p>
    <w:p>
      <w:pPr>
        <w:pStyle w:val="ArticleBody"/>
        <w:jc w:val="left"/>
      </w:pPr>
      <w:r>
        <w:rPr>
          <w:rFonts w:ascii="Times New Roman" w:hAnsi="Times New Roman" w:eastAsia="Times New Roman" w:cs="Times New Roman"/>
        </w:rPr>
        <w:t>Moïse était une figure du Christ, et Moïse l’a déclaré expressément; Pierre l’a confirmé dans le livre des Actes.</w:t>
      </w:r>
    </w:p>
    <w:p>
      <w:pPr>
        <w:pStyle w:val="ArticleScripture"/>
        <w:jc w:val="left"/>
      </w:pPr>
      <w:r>
        <w:rPr>
          <w:rFonts w:ascii="Times New Roman" w:hAnsi="Times New Roman" w:eastAsia="Times New Roman" w:cs="Times New Roman"/>
        </w:rPr>
        <w:t>L’Éternel, ton Dieu, te suscitera du milieu de toi, d’entre tes frères, un Prophète comme moi : vous l’écouterez. Deutéronome 18:15.</w:t>
      </w:r>
    </w:p>
    <w:p>
      <w:pPr>
        <w:pStyle w:val="ArticleBody"/>
        <w:jc w:val="left"/>
      </w:pPr>
      <w:r>
        <w:rPr>
          <w:rFonts w:ascii="Times New Roman" w:hAnsi="Times New Roman" w:eastAsia="Times New Roman" w:cs="Times New Roman"/>
        </w:rPr>
        <w:t>Yesu a a tshwanetse go “tshwana le” Moshe.</w:t>
      </w:r>
    </w:p>
    <w:p>
      <w:pPr>
        <w:pStyle w:val="ArticleScripture"/>
        <w:jc w:val="left"/>
      </w:pP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ভ্রাতৃগণ</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অজ্ঞতাবশতই</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শাসকরাও</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সব</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পূর্বেই</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ভাববাদীর</w:t>
      </w:r>
      <w:r>
        <w:rPr>
          <w:rFonts w:ascii="Times New Roman" w:hAnsi="Times New Roman" w:eastAsia="Times New Roman" w:cs="Times New Roman"/>
        </w:rPr>
        <w:t xml:space="preserve"> </w:t>
      </w:r>
      <w:r>
        <w:rPr>
          <w:rFonts w:ascii="Nirmala UI" w:hAnsi="Nirmala UI" w:eastAsia="Nirmala UI" w:cs="Nirmala UI"/>
        </w:rPr>
        <w:t>মুখ</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খ্রিষ্টকে</w:t>
      </w:r>
      <w:r>
        <w:rPr>
          <w:rFonts w:ascii="Times New Roman" w:hAnsi="Times New Roman" w:eastAsia="Times New Roman" w:cs="Times New Roman"/>
        </w:rPr>
        <w:t xml:space="preserve"> </w:t>
      </w:r>
      <w:r>
        <w:rPr>
          <w:rFonts w:ascii="Nirmala UI" w:hAnsi="Nirmala UI" w:eastAsia="Nirmala UI" w:cs="Nirmala UI"/>
        </w:rPr>
        <w:t>দুঃখভোগ</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সবই</w:t>
      </w:r>
      <w:r>
        <w:rPr>
          <w:rFonts w:ascii="Times New Roman" w:hAnsi="Times New Roman" w:eastAsia="Times New Roman" w:cs="Times New Roman"/>
        </w:rPr>
        <w:t xml:space="preserve"> </w:t>
      </w:r>
      <w:r>
        <w:rPr>
          <w:rFonts w:ascii="Nirmala UI" w:hAnsi="Nirmala UI" w:eastAsia="Nirmala UI" w:cs="Nirmala UI"/>
        </w:rPr>
        <w:t>এইরূপে</w:t>
      </w:r>
      <w:r>
        <w:rPr>
          <w:rFonts w:ascii="Times New Roman" w:hAnsi="Times New Roman" w:eastAsia="Times New Roman" w:cs="Times New Roman"/>
        </w:rPr>
        <w:t xml:space="preserve"> </w:t>
      </w:r>
      <w:r>
        <w:rPr>
          <w:rFonts w:ascii="Nirmala UI" w:hAnsi="Nirmala UI" w:eastAsia="Nirmala UI" w:cs="Nirmala UI"/>
        </w:rPr>
        <w:t>পরিপূর্ণ</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অনুতাপ</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প্রত্যাবর্তিত</w:t>
      </w:r>
      <w:r>
        <w:rPr>
          <w:rFonts w:ascii="Times New Roman" w:hAnsi="Times New Roman" w:eastAsia="Times New Roman" w:cs="Times New Roman"/>
        </w:rPr>
        <w:t xml:space="preserve"> </w:t>
      </w:r>
      <w:r>
        <w:rPr>
          <w:rFonts w:ascii="Nirmala UI" w:hAnsi="Nirmala UI" w:eastAsia="Nirmala UI" w:cs="Nirmala UI"/>
        </w:rPr>
        <w:t>হও</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পাপসমূহ</w:t>
      </w:r>
      <w:r>
        <w:rPr>
          <w:rFonts w:ascii="Times New Roman" w:hAnsi="Times New Roman" w:eastAsia="Times New Roman" w:cs="Times New Roman"/>
        </w:rPr>
        <w:t xml:space="preserve"> </w:t>
      </w:r>
      <w:r>
        <w:rPr>
          <w:rFonts w:ascii="Nirmala UI" w:hAnsi="Nirmala UI" w:eastAsia="Nirmala UI" w:cs="Nirmala UI"/>
        </w:rPr>
        <w:t>মুছে</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প্রভুর</w:t>
      </w:r>
      <w:r>
        <w:rPr>
          <w:rFonts w:ascii="Times New Roman" w:hAnsi="Times New Roman" w:eastAsia="Times New Roman" w:cs="Times New Roman"/>
        </w:rPr>
        <w:t xml:space="preserve"> </w:t>
      </w:r>
      <w:r>
        <w:rPr>
          <w:rFonts w:ascii="Nirmala UI" w:hAnsi="Nirmala UI" w:eastAsia="Nirmala UI" w:cs="Nirmala UI"/>
        </w:rPr>
        <w:t>সান্নিধ্য</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সতেজতার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খ্রিষ্টকে</w:t>
      </w:r>
      <w:r>
        <w:rPr>
          <w:rFonts w:ascii="Times New Roman" w:hAnsi="Times New Roman" w:eastAsia="Times New Roman" w:cs="Times New Roman"/>
        </w:rPr>
        <w:t xml:space="preserve"> </w:t>
      </w:r>
      <w:r>
        <w:rPr>
          <w:rFonts w:ascii="Nirmala UI" w:hAnsi="Nirmala UI" w:eastAsia="Nirmala UI" w:cs="Nirmala UI"/>
        </w:rPr>
        <w:t>প্রেরণ</w:t>
      </w:r>
      <w:r>
        <w:rPr>
          <w:rFonts w:ascii="Times New Roman" w:hAnsi="Times New Roman" w:eastAsia="Times New Roman" w:cs="Times New Roman"/>
        </w:rPr>
        <w:t xml:space="preserve"> </w:t>
      </w:r>
      <w:r>
        <w:rPr>
          <w:rFonts w:ascii="Nirmala UI" w:hAnsi="Nirmala UI" w:eastAsia="Nirmala UI" w:cs="Nirmala UI"/>
        </w:rPr>
        <w:t>করবেন</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প্রচারিত</w:t>
      </w:r>
      <w:r>
        <w:rPr>
          <w:rFonts w:ascii="Times New Roman" w:hAnsi="Times New Roman" w:eastAsia="Times New Roman" w:cs="Times New Roman"/>
        </w:rPr>
        <w:t xml:space="preserve"> </w:t>
      </w:r>
      <w:r>
        <w:rPr>
          <w:rFonts w:ascii="Nirmala UI" w:hAnsi="Nirmala UI" w:eastAsia="Nirmala UI" w:cs="Nirmala UI"/>
        </w:rPr>
        <w:t>হয়েছিলেন।</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স্বর্গ</w:t>
      </w:r>
      <w:r>
        <w:rPr>
          <w:rFonts w:ascii="Times New Roman" w:hAnsi="Times New Roman" w:eastAsia="Times New Roman" w:cs="Times New Roman"/>
        </w:rPr>
        <w:t xml:space="preserve"> </w:t>
      </w:r>
      <w:r>
        <w:rPr>
          <w:rFonts w:ascii="Nirmala UI" w:hAnsi="Nirmala UI" w:eastAsia="Nirmala UI" w:cs="Nirmala UI"/>
        </w:rPr>
        <w:t>অবশ্যই</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রাখবে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সর্ববস্তুর</w:t>
      </w:r>
      <w:r>
        <w:rPr>
          <w:rFonts w:ascii="Times New Roman" w:hAnsi="Times New Roman" w:eastAsia="Times New Roman" w:cs="Times New Roman"/>
        </w:rPr>
        <w:t xml:space="preserve"> </w:t>
      </w:r>
      <w:r>
        <w:rPr>
          <w:rFonts w:ascii="Nirmala UI" w:hAnsi="Nirmala UI" w:eastAsia="Nirmala UI" w:cs="Nirmala UI"/>
        </w:rPr>
        <w:t>পুনঃস্থাপনের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জগতের</w:t>
      </w:r>
      <w:r>
        <w:rPr>
          <w:rFonts w:ascii="Times New Roman" w:hAnsi="Times New Roman" w:eastAsia="Times New Roman" w:cs="Times New Roman"/>
        </w:rPr>
        <w:t xml:space="preserve"> </w:t>
      </w:r>
      <w:r>
        <w:rPr>
          <w:rFonts w:ascii="Nirmala UI" w:hAnsi="Nirmala UI" w:eastAsia="Nirmala UI" w:cs="Nirmala UI"/>
        </w:rPr>
        <w:t>আদিকাল</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ভাববাদীর</w:t>
      </w:r>
      <w:r>
        <w:rPr>
          <w:rFonts w:ascii="Times New Roman" w:hAnsi="Times New Roman" w:eastAsia="Times New Roman" w:cs="Times New Roman"/>
        </w:rPr>
        <w:t xml:space="preserve"> </w:t>
      </w:r>
      <w:r>
        <w:rPr>
          <w:rFonts w:ascii="Nirmala UI" w:hAnsi="Nirmala UI" w:eastAsia="Nirmala UI" w:cs="Nirmala UI"/>
        </w:rPr>
        <w:t>মুখ</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বলেছেন।</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মোশি</w:t>
      </w:r>
      <w:r>
        <w:rPr>
          <w:rFonts w:ascii="Times New Roman" w:hAnsi="Times New Roman" w:eastAsia="Times New Roman" w:cs="Times New Roman"/>
        </w:rPr>
        <w:t xml:space="preserve"> </w:t>
      </w:r>
      <w:r>
        <w:rPr>
          <w:rFonts w:ascii="Nirmala UI" w:hAnsi="Nirmala UI" w:eastAsia="Nirmala UI" w:cs="Nirmala UI"/>
        </w:rPr>
        <w:t>সত্যই</w:t>
      </w:r>
      <w:r>
        <w:rPr>
          <w:rFonts w:ascii="Times New Roman" w:hAnsi="Times New Roman" w:eastAsia="Times New Roman" w:cs="Times New Roman"/>
        </w:rPr>
        <w:t xml:space="preserve"> </w:t>
      </w:r>
      <w:r>
        <w:rPr>
          <w:rFonts w:ascii="Nirmala UI" w:hAnsi="Nirmala UI" w:eastAsia="Nirmala UI" w:cs="Nirmala UI"/>
        </w:rPr>
        <w:t>পিতৃপুরুষদের</w:t>
      </w:r>
      <w:r>
        <w:rPr>
          <w:rFonts w:ascii="Times New Roman" w:hAnsi="Times New Roman" w:eastAsia="Times New Roman" w:cs="Times New Roman"/>
        </w:rPr>
        <w:t xml:space="preserve"> </w:t>
      </w:r>
      <w:r>
        <w:rPr>
          <w:rFonts w:ascii="Nirmala UI" w:hAnsi="Nirmala UI" w:eastAsia="Nirmala UI" w:cs="Nirmala UI"/>
        </w:rPr>
        <w:t>বলেছিলেন</w:t>
      </w:r>
      <w:r>
        <w:rPr>
          <w:rFonts w:ascii="Times New Roman" w:hAnsi="Times New Roman" w:eastAsia="Times New Roman" w:cs="Times New Roman"/>
        </w:rPr>
        <w:t>,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ভ্রাতৃগণের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সদৃশ</w:t>
      </w:r>
      <w:r>
        <w:rPr>
          <w:rFonts w:ascii="Times New Roman" w:hAnsi="Times New Roman" w:eastAsia="Times New Roman" w:cs="Times New Roman"/>
        </w:rPr>
        <w:t xml:space="preserve"> </w:t>
      </w:r>
      <w:r>
        <w:rPr>
          <w:rFonts w:ascii="Nirmala UI" w:hAnsi="Nirmala UI" w:eastAsia="Nirmala UI" w:cs="Nirmala UI"/>
        </w:rPr>
        <w:t>একজন</w:t>
      </w:r>
      <w:r>
        <w:rPr>
          <w:rFonts w:ascii="Times New Roman" w:hAnsi="Times New Roman" w:eastAsia="Times New Roman" w:cs="Times New Roman"/>
        </w:rPr>
        <w:t xml:space="preserve"> </w:t>
      </w:r>
      <w:r>
        <w:rPr>
          <w:rFonts w:ascii="Nirmala UI" w:hAnsi="Nirmala UI" w:eastAsia="Nirmala UI" w:cs="Nirmala UI"/>
        </w:rPr>
        <w:t>ভাববাদী</w:t>
      </w:r>
      <w:r>
        <w:rPr>
          <w:rFonts w:ascii="Times New Roman" w:hAnsi="Times New Roman" w:eastAsia="Times New Roman" w:cs="Times New Roman"/>
        </w:rPr>
        <w:t xml:space="preserve"> </w:t>
      </w: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উত্তোলন</w:t>
      </w:r>
      <w:r>
        <w:rPr>
          <w:rFonts w:ascii="Times New Roman" w:hAnsi="Times New Roman" w:eastAsia="Times New Roman" w:cs="Times New Roman"/>
        </w:rPr>
        <w:t xml:space="preserve"> </w:t>
      </w:r>
      <w:r>
        <w:rPr>
          <w:rFonts w:ascii="Nirmala UI" w:hAnsi="Nirmala UI" w:eastAsia="Nirmala UI" w:cs="Nirmala UI"/>
        </w:rPr>
        <w:t>করবেন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বলবেন</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শুনবে।</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ঘটবে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প্রাণ</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ভাববাদীর</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শুনবে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লোকসমাজের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সম্পূর্ণরূপে</w:t>
      </w:r>
      <w:r>
        <w:rPr>
          <w:rFonts w:ascii="Times New Roman" w:hAnsi="Times New Roman" w:eastAsia="Times New Roman" w:cs="Times New Roman"/>
        </w:rPr>
        <w:t xml:space="preserve"> </w:t>
      </w:r>
      <w:r>
        <w:rPr>
          <w:rFonts w:ascii="Nirmala UI" w:hAnsi="Nirmala UI" w:eastAsia="Nirmala UI" w:cs="Nirmala UI"/>
        </w:rPr>
        <w:t>বিনষ্ট</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শমূয়েল</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ভাববাদী</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যতজন</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বলেছেন</w:t>
      </w:r>
      <w:r>
        <w:rPr>
          <w:rFonts w:ascii="Times New Roman" w:hAnsi="Times New Roman" w:eastAsia="Times New Roman" w:cs="Times New Roman"/>
        </w:rPr>
        <w:t xml:space="preserve">, </w:t>
      </w:r>
      <w:r>
        <w:rPr>
          <w:rFonts w:ascii="Nirmala UI" w:hAnsi="Nirmala UI" w:eastAsia="Nirmala UI" w:cs="Nirmala UI"/>
        </w:rPr>
        <w:t>তারাও</w:t>
      </w:r>
      <w:r>
        <w:rPr>
          <w:rFonts w:ascii="Times New Roman" w:hAnsi="Times New Roman" w:eastAsia="Times New Roman" w:cs="Times New Roman"/>
        </w:rPr>
        <w:t xml:space="preserve"> </w:t>
      </w:r>
      <w:r>
        <w:rPr>
          <w:rFonts w:ascii="Nirmala UI" w:hAnsi="Nirmala UI" w:eastAsia="Nirmala UI" w:cs="Nirmala UI"/>
        </w:rPr>
        <w:t>অনুরূপভাবে</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দিনগুলির</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পূর্ববাণী</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প্রেরিত</w:t>
      </w:r>
      <w:r>
        <w:rPr>
          <w:rFonts w:ascii="Times New Roman" w:hAnsi="Times New Roman" w:eastAsia="Times New Roman" w:cs="Times New Roman"/>
        </w:rPr>
        <w:t xml:space="preserve"> 3:17–24.</w:t>
      </w:r>
    </w:p>
    <w:p>
      <w:pPr>
        <w:pStyle w:val="ArticleBody"/>
        <w:jc w:val="left"/>
      </w:pPr>
      <w:r>
        <w:rPr>
          <w:rFonts w:ascii="Times New Roman" w:hAnsi="Times New Roman" w:eastAsia="Times New Roman" w:cs="Times New Roman"/>
        </w:rPr>
        <w:t>Ki Moses kei historia, mai tungtung taem hem i bon blong hem, mo hem i wan saen we i makemaot bon blong Kraes. Long taem we tufala, Kraes mo Moses, i bon, save i bin kam antap moa blong traem jeneresen ya. Save long saed blong bon blong tufala i mekem tufala paoa blong dragan, blong Ijip mo blong Rom, i traem blong kilim olgeta we profesi i promesem. Ol man lukaot sipsip long ol hil, mo ol waesman long is, oli stanap blong makemaot olgeta we oli bin kasem save long save we i bin kam antap long taem blong end.</w:t>
      </w:r>
    </w:p>
    <w:p>
      <w:pPr>
        <w:pStyle w:val="ArticleBody"/>
        <w:jc w:val="left"/>
      </w:pPr>
      <w:r>
        <w:rPr>
          <w:rFonts w:ascii="Times New Roman" w:hAnsi="Times New Roman" w:eastAsia="Times New Roman" w:cs="Times New Roman"/>
        </w:rPr>
        <w:t>Lu enghra y maner ny chea dy mennick, shey dy vel daa harrey-slieau ayns traa yn jerrey. Cha nee Moses ny lomarcan va ruggit, agh tree bleeaney roie shen va e vraar Aaron ruggit. Shey shey mee yn roie va Creest ruggit, va e eashyr John ruggit. She 1798 yn enney smoo cadjin jeh “traa yn jerrey,” as ayns 1798 va yn beaist (yn cummey politickagh) (yn prostitute) er v’ee marcapyssit er trooid ny Eashyn Dooir marrooit, as blein ny yei shen hooar yn “ven” va er v’ee marcapyssit er y veaist cheddin baase myrgeddin.</w:t>
      </w:r>
    </w:p>
    <w:p>
      <w:pPr>
        <w:pStyle w:val="ArticleBody"/>
        <w:jc w:val="left"/>
      </w:pPr>
      <w:r>
        <w:rPr>
          <w:rFonts w:ascii="Times New Roman" w:hAnsi="Times New Roman" w:eastAsia="Times New Roman" w:cs="Times New Roman"/>
        </w:rPr>
        <w:t>En 1989, il y avait deux présidents. Reagan gouverna jusqu’à l’investiture de 1989, puis Bush père commença son règne. La fin des mille deux cent soixante années avait été préfigurée par les soixante-dix années de captivité à Babylone, et lorsque le général Cyrus, le neveu de Darius, exécuta Belshazzar la nuit du festin, Darius était le roi en exercice. Darius et Cyrus représentent les deux balises de cette période de la fin.</w:t>
      </w:r>
    </w:p>
    <w:p>
      <w:pPr>
        <w:pStyle w:val="ArticleBody"/>
        <w:jc w:val="left"/>
      </w:pPr>
      <w:r>
        <w:rPr>
          <w:rFonts w:ascii="Times New Roman" w:hAnsi="Times New Roman" w:eastAsia="Times New Roman" w:cs="Times New Roman"/>
        </w:rPr>
        <w:t>Mamolelano a boporofeta pakeng tsa Moshe le Arone, Johanne le Jesu, Dariuse le Korese, bopapa le mopapa, hammoho le Reagan le Bush, kaofela ke mehloli ea leseli la boporofeta ha li ithutoa ka mokhoa o nepahetseng. Seo re ka se supang mona ke hore Johanne, motswala oa Jesu, e ne e le lentsoe lehoatateng, ea neng a tšoantšitsoe pele ke Arone, mor’abo Moshe, ea ileng a ea lehoatateng ho ea kopana le Moshe, e le hore e be lentsoe la hae.</w:t>
      </w:r>
    </w:p>
    <w:p>
      <w:pPr>
        <w:pStyle w:val="ArticleBody"/>
        <w:jc w:val="left"/>
      </w:pPr>
      <w:r>
        <w:rPr>
          <w:rFonts w:ascii="Times New Roman" w:hAnsi="Times New Roman" w:eastAsia="Times New Roman" w:cs="Times New Roman"/>
        </w:rPr>
        <w:t>Asi mfe aduasa a edi kan Kristo sra ne so no mu, na mfe aduasa a edi kan antikristo nso mu no, wɔwɔ adehyɛnsode bi a ɛda “nne” bi adi. Wɔ Kristo fam no, na ɛyɛ Yohane nne a ɔteɛɛm wɔ sare so no. Wɔ afe 533 mu no, Justinian hyɛɛ mmara bi a ɛkyerɛɛ antikristo no sɛ ɔne wɔn a wɔteɛ nkyerɛkyerɛ so no siesiefo ne asafo no ti. Justinian mmara no ne “nne” a esiesiee Kwasida mmara no “ahyɛde” a wɔyɛe wɔ Council of Orleans wɔ afe 538 mu no.</w:t>
      </w:r>
    </w:p>
    <w:p>
      <w:pPr>
        <w:pStyle w:val="ArticleBody"/>
        <w:jc w:val="left"/>
      </w:pPr>
      <w:r>
        <w:rPr>
          <w:rFonts w:ascii="Times New Roman" w:hAnsi="Times New Roman" w:eastAsia="Times New Roman" w:cs="Times New Roman"/>
        </w:rPr>
        <w:t>Au général Cyrus, l’armée était la voix qui attestait que la conquête de Babylone par Darius était imminente.</w:t>
      </w:r>
    </w:p>
    <w:p>
      <w:pPr>
        <w:pStyle w:val="ArticleScripture"/>
        <w:jc w:val="left"/>
      </w:pPr>
      <w:r>
        <w:rPr>
          <w:rFonts w:ascii="Times New Roman" w:hAnsi="Times New Roman" w:eastAsia="Times New Roman" w:cs="Times New Roman"/>
        </w:rPr>
        <w:t>«La venue de l’armée de Cyrus devant les murailles de Babylone était pour les Juifs un signe que leur délivrance de la captivité approchait. Plus d’un siècle avant la naissance de Cyrus, l’Inspiration l’avait désigné par son nom, et avait fait consigner l’œuvre même qu’il devait accomplir en prenant à l’improviste la ville de Babylone, et en préparant la voie à la libération des enfants de la captivité. Par Ésaïe, la parole avait été prononcée:»</w:t>
      </w:r>
    </w:p>
    <w:p>
      <w:pPr>
        <w:pStyle w:val="ArticleScripture"/>
        <w:jc w:val="left"/>
      </w:pPr>
      <w:r>
        <w:rPr>
          <w:rFonts w:ascii="Times New Roman" w:hAnsi="Times New Roman" w:eastAsia="Times New Roman" w:cs="Times New Roman"/>
        </w:rPr>
        <w:t>«Avo no haka e Jiova vua na nona lumuti, vei Koresi, na ligana imatau ka'u taura matua, me vakamalumalumutaka na veimatanitu e matana; … me dolava e matana na matamata rua; ka na sega ni sogoti na veimatamata; au na liu e matamu, ka vakadodonutaka na veiyasana qakilo: au na vorolaka na matamata parasa, ka musuka vakatani na nodra bai kaukamea: ka'u na solia vei iko na iyau ni butobuto, kei na iYau vuni ni veiyasana vuni, mo kila kina ni sai au, Jiova, o koya sa kacivi iko ena yacamuni, na Kalou i Jiova Isireli.» Aisea 45:1–3. Parofita kei ira na Tui, 551.</w:t>
      </w:r>
    </w:p>
    <w:p>
      <w:pPr>
        <w:pStyle w:val="ArticleBody"/>
        <w:jc w:val="left"/>
      </w:pPr>
      <w:r>
        <w:rPr>
          <w:rFonts w:ascii="Gadugi" w:hAnsi="Gadugi" w:eastAsia="Gadugi" w:cs="Gadugi"/>
        </w:rPr>
        <w:t>ᏝᎩ</w:t>
      </w:r>
      <w:r>
        <w:rPr>
          <w:rFonts w:ascii="Times New Roman" w:hAnsi="Times New Roman" w:eastAsia="Times New Roman" w:cs="Times New Roman"/>
        </w:rPr>
        <w:t xml:space="preserve"> </w:t>
      </w:r>
      <w:r>
        <w:rPr>
          <w:rFonts w:ascii="Gadugi" w:hAnsi="Gadugi" w:eastAsia="Gadugi" w:cs="Gadugi"/>
        </w:rPr>
        <w:t>ᎢᏔᎵ</w:t>
      </w:r>
      <w:r>
        <w:rPr>
          <w:rFonts w:ascii="Times New Roman" w:hAnsi="Times New Roman" w:eastAsia="Times New Roman" w:cs="Times New Roman"/>
        </w:rPr>
        <w:t xml:space="preserve"> </w:t>
      </w:r>
      <w:r>
        <w:rPr>
          <w:rFonts w:ascii="Gadugi" w:hAnsi="Gadugi" w:eastAsia="Gadugi" w:cs="Gadugi"/>
        </w:rPr>
        <w:t>ᎠᎦᏔᎲᎢ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ᎢᏔᎵ</w:t>
      </w:r>
      <w:r>
        <w:rPr>
          <w:rFonts w:ascii="Times New Roman" w:hAnsi="Times New Roman" w:eastAsia="Times New Roman" w:cs="Times New Roman"/>
        </w:rPr>
        <w:t xml:space="preserve"> </w:t>
      </w:r>
      <w:r>
        <w:rPr>
          <w:rFonts w:ascii="Gadugi" w:hAnsi="Gadugi" w:eastAsia="Gadugi" w:cs="Gadugi"/>
        </w:rPr>
        <w:t>ᎦᏖᏍᎬ</w:t>
      </w:r>
      <w:r>
        <w:rPr>
          <w:rFonts w:ascii="Times New Roman" w:hAnsi="Times New Roman" w:eastAsia="Times New Roman" w:cs="Times New Roman"/>
        </w:rPr>
        <w:t xml:space="preserve"> </w:t>
      </w:r>
      <w:r>
        <w:rPr>
          <w:rFonts w:ascii="Gadugi" w:hAnsi="Gadugi" w:eastAsia="Gadugi" w:cs="Gadugi"/>
        </w:rPr>
        <w:t>ᏗᏂᎧᎿᎭᎥᎢ</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ᎠᏙᎴᎰᎯᏍᏗ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ᎤᎵᏍᏆᎸᎲ</w:t>
      </w:r>
      <w:r>
        <w:rPr>
          <w:rFonts w:ascii="Times New Roman" w:hAnsi="Times New Roman" w:eastAsia="Times New Roman" w:cs="Times New Roman"/>
        </w:rPr>
        <w:t xml:space="preserve"> </w:t>
      </w:r>
      <w:r>
        <w:rPr>
          <w:rFonts w:ascii="Gadugi" w:hAnsi="Gadugi" w:eastAsia="Gadugi" w:cs="Gadugi"/>
        </w:rPr>
        <w:t>ᏗᎪᎯᏛ</w:t>
      </w:r>
      <w:r>
        <w:rPr>
          <w:rFonts w:ascii="Times New Roman" w:hAnsi="Times New Roman" w:eastAsia="Times New Roman" w:cs="Times New Roman"/>
        </w:rPr>
        <w:t xml:space="preserve">” </w:t>
      </w:r>
      <w:r>
        <w:rPr>
          <w:rFonts w:ascii="Gadugi" w:hAnsi="Gadugi" w:eastAsia="Gadugi" w:cs="Gadugi"/>
        </w:rPr>
        <w:t>ᎠᎵᏍᏕᎸᎲ</w:t>
      </w:r>
      <w:r>
        <w:rPr>
          <w:rFonts w:ascii="Times New Roman" w:hAnsi="Times New Roman" w:eastAsia="Times New Roman" w:cs="Times New Roman"/>
        </w:rPr>
        <w:t xml:space="preserve"> </w:t>
      </w:r>
      <w:r>
        <w:rPr>
          <w:rFonts w:ascii="Gadugi" w:hAnsi="Gadugi" w:eastAsia="Gadugi" w:cs="Gadugi"/>
        </w:rPr>
        <w:t>ᎠᏍᏓᏩᏛᎢ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ᎠᏓᎵᎬᎢᏍᏗ</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ᏐᎢ</w:t>
      </w:r>
      <w:r>
        <w:rPr>
          <w:rFonts w:ascii="Times New Roman" w:hAnsi="Times New Roman" w:eastAsia="Times New Roman" w:cs="Times New Roman"/>
        </w:rPr>
        <w:t xml:space="preserve"> </w:t>
      </w:r>
      <w:r>
        <w:rPr>
          <w:rFonts w:ascii="Gadugi" w:hAnsi="Gadugi" w:eastAsia="Gadugi" w:cs="Gadugi"/>
        </w:rPr>
        <w:t>ᎢᏔᎵ</w:t>
      </w:r>
      <w:r>
        <w:rPr>
          <w:rFonts w:ascii="Times New Roman" w:hAnsi="Times New Roman" w:eastAsia="Times New Roman" w:cs="Times New Roman"/>
        </w:rPr>
        <w:t xml:space="preserve"> </w:t>
      </w:r>
      <w:r>
        <w:rPr>
          <w:rFonts w:ascii="Gadugi" w:hAnsi="Gadugi" w:eastAsia="Gadugi" w:cs="Gadugi"/>
        </w:rPr>
        <w:t>ᎦᏖᏍᎬ</w:t>
      </w:r>
      <w:r>
        <w:rPr>
          <w:rFonts w:ascii="Times New Roman" w:hAnsi="Times New Roman" w:eastAsia="Times New Roman" w:cs="Times New Roman"/>
        </w:rPr>
        <w:t xml:space="preserve"> </w:t>
      </w:r>
      <w:r>
        <w:rPr>
          <w:rFonts w:ascii="Gadugi" w:hAnsi="Gadugi" w:eastAsia="Gadugi" w:cs="Gadugi"/>
        </w:rPr>
        <w:t>ᏚᏓᎴᎲ</w:t>
      </w:r>
      <w:r>
        <w:rPr>
          <w:rFonts w:ascii="Times New Roman" w:hAnsi="Times New Roman" w:eastAsia="Times New Roman" w:cs="Times New Roman"/>
        </w:rPr>
        <w:t xml:space="preserve"> </w:t>
      </w:r>
      <w:r>
        <w:rPr>
          <w:rFonts w:ascii="Gadugi" w:hAnsi="Gadugi" w:eastAsia="Gadugi" w:cs="Gadugi"/>
        </w:rPr>
        <w:t>ᎤᏬᎯᏳᎯᏍᏗ</w:t>
      </w:r>
      <w:r>
        <w:rPr>
          <w:rFonts w:ascii="Times New Roman" w:hAnsi="Times New Roman" w:eastAsia="Times New Roman" w:cs="Times New Roman"/>
        </w:rPr>
        <w:t xml:space="preserve">, </w:t>
      </w:r>
      <w:r>
        <w:rPr>
          <w:rFonts w:ascii="Gadugi" w:hAnsi="Gadugi" w:eastAsia="Gadugi" w:cs="Gadugi"/>
        </w:rPr>
        <w:t>ᎠᏓᏃᎮᎯᏍᏗ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ᎠᏓᏛᏁᎯᏍᏗ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ᎤᎷᎯᏍᏗ</w:t>
      </w:r>
      <w:r>
        <w:rPr>
          <w:rFonts w:ascii="Times New Roman" w:hAnsi="Times New Roman" w:eastAsia="Times New Roman" w:cs="Times New Roman"/>
        </w:rPr>
        <w:t xml:space="preserve"> </w:t>
      </w:r>
      <w:r>
        <w:rPr>
          <w:rFonts w:ascii="Gadugi" w:hAnsi="Gadugi" w:eastAsia="Gadugi" w:cs="Gadugi"/>
        </w:rPr>
        <w:t>ᎤᏓᏅᏛ</w:t>
      </w:r>
      <w:r>
        <w:rPr>
          <w:rFonts w:ascii="Times New Roman" w:hAnsi="Times New Roman" w:eastAsia="Times New Roman" w:cs="Times New Roman"/>
        </w:rPr>
        <w:t xml:space="preserve"> </w:t>
      </w:r>
      <w:r>
        <w:rPr>
          <w:rFonts w:ascii="Gadugi" w:hAnsi="Gadugi" w:eastAsia="Gadugi" w:cs="Gadugi"/>
        </w:rPr>
        <w:t>ᏣᎾᎵᏍᏓᏴᏗ</w:t>
      </w:r>
      <w:r>
        <w:rPr>
          <w:rFonts w:ascii="Times New Roman" w:hAnsi="Times New Roman" w:eastAsia="Times New Roman" w:cs="Times New Roman"/>
        </w:rPr>
        <w:t xml:space="preserve">. </w:t>
      </w:r>
      <w:r>
        <w:rPr>
          <w:rFonts w:ascii="Gadugi" w:hAnsi="Gadugi" w:eastAsia="Gadugi" w:cs="Gadugi"/>
        </w:rPr>
        <w:t>ᎡᎳᏂ</w:t>
      </w:r>
      <w:r>
        <w:rPr>
          <w:rFonts w:ascii="Times New Roman" w:hAnsi="Times New Roman" w:eastAsia="Times New Roman" w:cs="Times New Roman"/>
        </w:rPr>
        <w:t xml:space="preserve">, </w:t>
      </w:r>
      <w:r>
        <w:rPr>
          <w:rFonts w:ascii="Gadugi" w:hAnsi="Gadugi" w:eastAsia="Gadugi" w:cs="Gadugi"/>
        </w:rPr>
        <w:t>ᏣᏂ</w:t>
      </w:r>
      <w:r>
        <w:rPr>
          <w:rFonts w:ascii="Times New Roman" w:hAnsi="Times New Roman" w:eastAsia="Times New Roman" w:cs="Times New Roman"/>
        </w:rPr>
        <w:t xml:space="preserve">, </w:t>
      </w:r>
      <w:r>
        <w:rPr>
          <w:rFonts w:ascii="Gadugi" w:hAnsi="Gadugi" w:eastAsia="Gadugi" w:cs="Gadugi"/>
        </w:rPr>
        <w:t>ᏌᎢᎳᏍ</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ᏧᏍᏕᏂᎠᏂ</w:t>
      </w:r>
      <w:r>
        <w:rPr>
          <w:rFonts w:ascii="Times New Roman" w:hAnsi="Times New Roman" w:eastAsia="Times New Roman" w:cs="Times New Roman"/>
        </w:rPr>
        <w:t xml:space="preserve"> </w:t>
      </w:r>
      <w:r>
        <w:rPr>
          <w:rFonts w:ascii="Gadugi" w:hAnsi="Gadugi" w:eastAsia="Gadugi" w:cs="Gadugi"/>
        </w:rPr>
        <w:t>ᎤᏂᏍᏆᏂᎪᏗ</w:t>
      </w:r>
      <w:r>
        <w:rPr>
          <w:rFonts w:ascii="Times New Roman" w:hAnsi="Times New Roman" w:eastAsia="Times New Roman" w:cs="Times New Roman"/>
        </w:rPr>
        <w:t xml:space="preserve"> </w:t>
      </w:r>
      <w:r>
        <w:rPr>
          <w:rFonts w:ascii="Gadugi" w:hAnsi="Gadugi" w:eastAsia="Gadugi" w:cs="Gadugi"/>
        </w:rPr>
        <w:t>ᎠᏰᎸ</w:t>
      </w:r>
      <w:r>
        <w:rPr>
          <w:rFonts w:ascii="Times New Roman" w:hAnsi="Times New Roman" w:eastAsia="Times New Roman" w:cs="Times New Roman"/>
        </w:rPr>
        <w:t xml:space="preserve"> </w:t>
      </w:r>
      <w:r>
        <w:rPr>
          <w:rFonts w:ascii="Gadugi" w:hAnsi="Gadugi" w:eastAsia="Gadugi" w:cs="Gadugi"/>
        </w:rPr>
        <w:t>ᎦᏖᏍᎬ</w:t>
      </w:r>
      <w:r>
        <w:rPr>
          <w:rFonts w:ascii="Times New Roman" w:hAnsi="Times New Roman" w:eastAsia="Times New Roman" w:cs="Times New Roman"/>
        </w:rPr>
        <w:t xml:space="preserve"> </w:t>
      </w:r>
      <w:r>
        <w:rPr>
          <w:rFonts w:ascii="Gadugi" w:hAnsi="Gadugi" w:eastAsia="Gadugi" w:cs="Gadugi"/>
        </w:rPr>
        <w:t>ᏗᎦᎶᏍᎬ</w:t>
      </w:r>
      <w:r>
        <w:rPr>
          <w:rFonts w:ascii="Times New Roman" w:hAnsi="Times New Roman" w:eastAsia="Times New Roman" w:cs="Times New Roman"/>
        </w:rPr>
        <w:t xml:space="preserve"> </w:t>
      </w:r>
      <w:r>
        <w:rPr>
          <w:rFonts w:ascii="Gadugi" w:hAnsi="Gadugi" w:eastAsia="Gadugi" w:cs="Gadugi"/>
        </w:rPr>
        <w:t>ᎤᎵᏍᏆᎸᎲ</w:t>
      </w:r>
      <w:r>
        <w:rPr>
          <w:rFonts w:ascii="Times New Roman" w:hAnsi="Times New Roman" w:eastAsia="Times New Roman" w:cs="Times New Roman"/>
        </w:rPr>
        <w:t xml:space="preserve"> </w:t>
      </w:r>
      <w:r>
        <w:rPr>
          <w:rFonts w:ascii="Gadugi" w:hAnsi="Gadugi" w:eastAsia="Gadugi" w:cs="Gadugi"/>
        </w:rPr>
        <w:t>ᏗᎪᎯᏛ</w:t>
      </w:r>
      <w:r>
        <w:rPr>
          <w:rFonts w:ascii="Times New Roman" w:hAnsi="Times New Roman" w:eastAsia="Times New Roman" w:cs="Times New Roman"/>
        </w:rPr>
        <w:t xml:space="preserve">. 1798 </w:t>
      </w:r>
      <w:r>
        <w:rPr>
          <w:rFonts w:ascii="Gadugi" w:hAnsi="Gadugi" w:eastAsia="Gadugi" w:cs="Gadugi"/>
        </w:rPr>
        <w:t>ᎠᏕᏜ</w:t>
      </w:r>
      <w:r>
        <w:rPr>
          <w:rFonts w:ascii="Times New Roman" w:hAnsi="Times New Roman" w:eastAsia="Times New Roman" w:cs="Times New Roman"/>
        </w:rPr>
        <w:t xml:space="preserve"> </w:t>
      </w:r>
      <w:r>
        <w:rPr>
          <w:rFonts w:ascii="Gadugi" w:hAnsi="Gadugi" w:eastAsia="Gadugi" w:cs="Gadugi"/>
        </w:rPr>
        <w:t>ᎤᎵᏍᏆᎸᎲ</w:t>
      </w:r>
      <w:r>
        <w:rPr>
          <w:rFonts w:ascii="Times New Roman" w:hAnsi="Times New Roman" w:eastAsia="Times New Roman" w:cs="Times New Roman"/>
        </w:rPr>
        <w:t xml:space="preserve"> </w:t>
      </w:r>
      <w:r>
        <w:rPr>
          <w:rFonts w:ascii="Gadugi" w:hAnsi="Gadugi" w:eastAsia="Gadugi" w:cs="Gadugi"/>
        </w:rPr>
        <w:t>ᏗᎪᎯᏛ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1776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ᎤᎵᏍᏓᏍᏗ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1798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ᎤᎵᏍᏆᎸᎲ</w:t>
      </w:r>
      <w:r>
        <w:rPr>
          <w:rFonts w:ascii="Times New Roman" w:hAnsi="Times New Roman" w:eastAsia="Times New Roman" w:cs="Times New Roman"/>
        </w:rPr>
        <w:t xml:space="preserve"> </w:t>
      </w:r>
      <w:r>
        <w:rPr>
          <w:rFonts w:ascii="Gadugi" w:hAnsi="Gadugi" w:eastAsia="Gadugi" w:cs="Gadugi"/>
        </w:rPr>
        <w:t>ᎤᏁᎳᏗᏙᎯ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ᎤᎵᏍᏆᏗ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ᎦᏖᏍᎬ</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ᏗᎧᎿᎭᎥ</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ᎤᏓᏅᏛ</w:t>
      </w:r>
      <w:r>
        <w:rPr>
          <w:rFonts w:ascii="Times New Roman" w:hAnsi="Times New Roman" w:eastAsia="Times New Roman" w:cs="Times New Roman"/>
        </w:rPr>
        <w:t xml:space="preserve"> </w:t>
      </w:r>
      <w:r>
        <w:rPr>
          <w:rFonts w:ascii="Gadugi" w:hAnsi="Gadugi" w:eastAsia="Gadugi" w:cs="Gadugi"/>
        </w:rPr>
        <w:t>ᏥᏳ</w:t>
      </w:r>
      <w:r>
        <w:rPr>
          <w:rFonts w:ascii="Times New Roman" w:hAnsi="Times New Roman" w:eastAsia="Times New Roman" w:cs="Times New Roman"/>
        </w:rPr>
        <w:t xml:space="preserve"> </w:t>
      </w:r>
      <w:r>
        <w:rPr>
          <w:rFonts w:ascii="Gadugi" w:hAnsi="Gadugi" w:eastAsia="Gadugi" w:cs="Gadugi"/>
        </w:rPr>
        <w:t>ᎤᏁᎷᎯᏍᏗ</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ᎠᏓᏁᎬ</w:t>
      </w:r>
      <w:r>
        <w:rPr>
          <w:rFonts w:ascii="Times New Roman" w:hAnsi="Times New Roman" w:eastAsia="Times New Roman" w:cs="Times New Roman"/>
        </w:rPr>
        <w:t xml:space="preserve"> </w:t>
      </w:r>
      <w:r>
        <w:rPr>
          <w:rFonts w:ascii="Gadugi" w:hAnsi="Gadugi" w:eastAsia="Gadugi" w:cs="Gadugi"/>
        </w:rPr>
        <w:t>ᎢᎾᎨ</w:t>
      </w:r>
      <w:r>
        <w:rPr>
          <w:rFonts w:ascii="Times New Roman" w:hAnsi="Times New Roman" w:eastAsia="Times New Roman" w:cs="Times New Roman"/>
        </w:rPr>
        <w:t xml:space="preserve"> </w:t>
      </w:r>
      <w:r>
        <w:rPr>
          <w:rFonts w:ascii="Gadugi" w:hAnsi="Gadugi" w:eastAsia="Gadugi" w:cs="Gadugi"/>
        </w:rPr>
        <w:t>ᎠᏓᏃᎴᎬ</w:t>
      </w:r>
      <w:r>
        <w:rPr>
          <w:rFonts w:ascii="Times New Roman" w:hAnsi="Times New Roman" w:eastAsia="Times New Roman" w:cs="Times New Roman"/>
        </w:rPr>
        <w:t xml:space="preserve"> </w:t>
      </w:r>
      <w:r>
        <w:rPr>
          <w:rFonts w:ascii="Gadugi" w:hAnsi="Gadugi" w:eastAsia="Gadugi" w:cs="Gadugi"/>
        </w:rPr>
        <w:t>ᎤᎷᎯᏍᏗ</w:t>
      </w:r>
      <w:r>
        <w:rPr>
          <w:rFonts w:ascii="Times New Roman" w:hAnsi="Times New Roman" w:eastAsia="Times New Roman" w:cs="Times New Roman"/>
        </w:rPr>
        <w:t xml:space="preserve"> </w:t>
      </w:r>
      <w:r>
        <w:rPr>
          <w:rFonts w:ascii="Gadugi" w:hAnsi="Gadugi" w:eastAsia="Gadugi" w:cs="Gadugi"/>
        </w:rPr>
        <w:t>ᎤᏓᏅᏛ</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ᎤᏓᏅᏛ</w:t>
      </w:r>
      <w:r>
        <w:rPr>
          <w:rFonts w:ascii="Times New Roman" w:hAnsi="Times New Roman" w:eastAsia="Times New Roman" w:cs="Times New Roman"/>
        </w:rPr>
        <w:t xml:space="preserve"> </w:t>
      </w:r>
      <w:r>
        <w:rPr>
          <w:rFonts w:ascii="Gadugi" w:hAnsi="Gadugi" w:eastAsia="Gadugi" w:cs="Gadugi"/>
        </w:rPr>
        <w:t>ᎤᎵᏍᏓᏁᎴ</w:t>
      </w:r>
      <w:r>
        <w:rPr>
          <w:rFonts w:ascii="Times New Roman" w:hAnsi="Times New Roman" w:eastAsia="Times New Roman" w:cs="Times New Roman"/>
        </w:rPr>
        <w:t xml:space="preserve"> </w:t>
      </w:r>
      <w:r>
        <w:rPr>
          <w:rFonts w:ascii="Gadugi" w:hAnsi="Gadugi" w:eastAsia="Gadugi" w:cs="Gadugi"/>
        </w:rPr>
        <w:t>ᎠᏓᏃᎮᎯᏍᏗ</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ᎤᏂᎦᏌᏛᎾ</w:t>
      </w:r>
      <w:r>
        <w:rPr>
          <w:rFonts w:ascii="Times New Roman" w:hAnsi="Times New Roman" w:eastAsia="Times New Roman" w:cs="Times New Roman"/>
        </w:rPr>
        <w:t xml:space="preserve"> </w:t>
      </w:r>
      <w:r>
        <w:rPr>
          <w:rFonts w:ascii="Gadugi" w:hAnsi="Gadugi" w:eastAsia="Gadugi" w:cs="Gadugi"/>
        </w:rPr>
        <w:t>ᎤᏂᏬᏂᏍᎬ</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ᏉᏉ</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ᎤᎵᏍᏆᎸᏁ</w:t>
      </w:r>
      <w:r>
        <w:rPr>
          <w:rFonts w:ascii="Times New Roman" w:hAnsi="Times New Roman" w:eastAsia="Times New Roman" w:cs="Times New Roman"/>
        </w:rPr>
        <w:t xml:space="preserve"> </w:t>
      </w:r>
      <w:r>
        <w:rPr>
          <w:rFonts w:ascii="Gadugi" w:hAnsi="Gadugi" w:eastAsia="Gadugi" w:cs="Gadugi"/>
        </w:rPr>
        <w:t>ᎠᏓᏃᎮᎯᏍᏗ</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ᎤᏕᎶᏆᏍᏗ</w:t>
      </w:r>
      <w:r>
        <w:rPr>
          <w:rFonts w:ascii="Times New Roman" w:hAnsi="Times New Roman" w:eastAsia="Times New Roman" w:cs="Times New Roman"/>
        </w:rPr>
        <w:t xml:space="preserve"> </w:t>
      </w:r>
      <w:r>
        <w:rPr>
          <w:rFonts w:ascii="Gadugi" w:hAnsi="Gadugi" w:eastAsia="Gadugi" w:cs="Gadugi"/>
        </w:rPr>
        <w:t>ᎤᏕᎦᏅᏙ</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ᎠᏓᏃᎮᎯᏍᏗ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ᎤᏮᏔᏅᎯ</w:t>
      </w:r>
      <w:r>
        <w:rPr>
          <w:rFonts w:ascii="Times New Roman" w:hAnsi="Times New Roman" w:eastAsia="Times New Roman" w:cs="Times New Roman"/>
        </w:rPr>
        <w:t xml:space="preserve"> </w:t>
      </w:r>
      <w:r>
        <w:rPr>
          <w:rFonts w:ascii="Gadugi" w:hAnsi="Gadugi" w:eastAsia="Gadugi" w:cs="Gadugi"/>
        </w:rPr>
        <w:t>ᎤᏓᏛᏁᎲ</w:t>
      </w:r>
      <w:r>
        <w:rPr>
          <w:rFonts w:ascii="Times New Roman" w:hAnsi="Times New Roman" w:eastAsia="Times New Roman" w:cs="Times New Roman"/>
        </w:rPr>
        <w:t xml:space="preserve"> “</w:t>
      </w:r>
      <w:r>
        <w:rPr>
          <w:rFonts w:ascii="Gadugi" w:hAnsi="Gadugi" w:eastAsia="Gadugi" w:cs="Gadugi"/>
        </w:rPr>
        <w:t>ᎠᏓᏛᏁᎲ</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ᎤᎷᎯᏍᏗ</w:t>
      </w:r>
      <w:r>
        <w:rPr>
          <w:rFonts w:ascii="Times New Roman" w:hAnsi="Times New Roman" w:eastAsia="Times New Roman" w:cs="Times New Roman"/>
        </w:rPr>
        <w:t xml:space="preserve"> </w:t>
      </w:r>
      <w:r>
        <w:rPr>
          <w:rFonts w:ascii="Gadugi" w:hAnsi="Gadugi" w:eastAsia="Gadugi" w:cs="Gadugi"/>
        </w:rPr>
        <w:t>ᎤᏓᏅᏛ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ᎠᏓᏛᏁᎲ</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ᎠᎹᏰᎳᏗ</w:t>
      </w:r>
      <w:r>
        <w:rPr>
          <w:rFonts w:ascii="Times New Roman" w:hAnsi="Times New Roman" w:eastAsia="Times New Roman" w:cs="Times New Roman"/>
        </w:rPr>
        <w:t xml:space="preserve"> </w:t>
      </w:r>
      <w:r>
        <w:rPr>
          <w:rFonts w:ascii="Gadugi" w:hAnsi="Gadugi" w:eastAsia="Gadugi" w:cs="Gadugi"/>
        </w:rPr>
        <w:t>ᎤᏍᏗᏱᏛ</w:t>
      </w:r>
      <w:r>
        <w:rPr>
          <w:rFonts w:ascii="Times New Roman" w:hAnsi="Times New Roman" w:eastAsia="Times New Roman" w:cs="Times New Roman"/>
        </w:rPr>
        <w:t xml:space="preserve"> </w:t>
      </w:r>
      <w:r>
        <w:rPr>
          <w:rFonts w:ascii="Gadugi" w:hAnsi="Gadugi" w:eastAsia="Gadugi" w:cs="Gadugi"/>
        </w:rPr>
        <w:t>ᎤᏍᏆᏂᎪᏛ</w:t>
      </w:r>
      <w:r>
        <w:rPr>
          <w:rFonts w:ascii="Times New Roman" w:hAnsi="Times New Roman" w:eastAsia="Times New Roman" w:cs="Times New Roman"/>
        </w:rPr>
        <w:t xml:space="preserve"> </w:t>
      </w:r>
      <w:r>
        <w:rPr>
          <w:rFonts w:ascii="Gadugi" w:hAnsi="Gadugi" w:eastAsia="Gadugi" w:cs="Gadugi"/>
        </w:rPr>
        <w:t>ᎠᎹᏰᎳᏗ</w:t>
      </w:r>
      <w:r>
        <w:rPr>
          <w:rFonts w:ascii="Times New Roman" w:hAnsi="Times New Roman" w:eastAsia="Times New Roman" w:cs="Times New Roman"/>
        </w:rPr>
        <w:t xml:space="preserve"> </w:t>
      </w:r>
      <w:r>
        <w:rPr>
          <w:rFonts w:ascii="Gadugi" w:hAnsi="Gadugi" w:eastAsia="Gadugi" w:cs="Gadugi"/>
        </w:rPr>
        <w:t>ᏗᎦᎸᎳᏗᏍᎬ</w:t>
      </w:r>
      <w:r>
        <w:rPr>
          <w:rFonts w:ascii="Times New Roman" w:hAnsi="Times New Roman" w:eastAsia="Times New Roman" w:cs="Times New Roman"/>
        </w:rPr>
        <w:t xml:space="preserve"> </w:t>
      </w:r>
      <w:r>
        <w:rPr>
          <w:rFonts w:ascii="Gadugi" w:hAnsi="Gadugi" w:eastAsia="Gadugi" w:cs="Gadugi"/>
        </w:rPr>
        <w:t>ᏌᏉᎢᏍᏗ</w:t>
      </w:r>
      <w:r>
        <w:rPr>
          <w:rFonts w:ascii="Times New Roman" w:hAnsi="Times New Roman" w:eastAsia="Times New Roman" w:cs="Times New Roman"/>
        </w:rPr>
        <w:t xml:space="preserve"> </w:t>
      </w:r>
      <w:r>
        <w:rPr>
          <w:rFonts w:ascii="Gadugi" w:hAnsi="Gadugi" w:eastAsia="Gadugi" w:cs="Gadugi"/>
        </w:rPr>
        <w:t>ᎤᎵᏍᏆᎸᎲ</w:t>
      </w:r>
      <w:r>
        <w:rPr>
          <w:rFonts w:ascii="Times New Roman" w:hAnsi="Times New Roman" w:eastAsia="Times New Roman" w:cs="Times New Roman"/>
        </w:rPr>
        <w:t xml:space="preserve"> </w:t>
      </w:r>
      <w:r>
        <w:rPr>
          <w:rFonts w:ascii="Gadugi" w:hAnsi="Gadugi" w:eastAsia="Gadugi" w:cs="Gadugi"/>
        </w:rPr>
        <w:t>ᎤᏓᏅᏛ</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Mstari huo wa historia ulianza kurudiwa mwaka 1989, nao unafikia mwisho wake katika sheria ya Jumapili wakati onyo lililotoka nyikani miaka mia mbili mapema, mwaka 1789, linapokataliwa. Mwaka 1989 ulikuwa wakati wa mwisho mwishoni mwa aya ya arobaini, nao unalingana na wakati wa mwisho wa mwaka 1798. Mwaka 1989 unalingana na 1776, na sheria ya Jumapili inawakilisha mwaka 1798. Katikati ya historia ambapo matokeo ya kila njozi yanatimizwa, historia iliyoanza Septemba 11, 2001, na kuendelea hadi onyo la 1789, inatimizwa na Katiba inapinduliwa. Lazima pawepo alama ya njia katikati, kwa maana Mungu habadiliki kamwe. Alama hiyo ya njia ingewakilisha onyo kwa ajili ya historia ya unabii inayoanza katika sheria ya Jumapili iliyo karibu kuja.</w:t>
      </w:r>
    </w:p>
    <w:p>
      <w:pPr>
        <w:pStyle w:val="ArticleBody"/>
        <w:jc w:val="left"/>
      </w:pPr>
      <w:r>
        <w:rPr>
          <w:rFonts w:ascii="Nirmala UI" w:hAnsi="Nirmala UI" w:eastAsia="Nirmala UI" w:cs="Nirmala UI"/>
        </w:rPr>
        <w:t>१९८९</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पदमा</w:t>
      </w:r>
      <w:r>
        <w:rPr>
          <w:rFonts w:ascii="Times New Roman" w:hAnsi="Times New Roman" w:eastAsia="Times New Roman" w:cs="Times New Roman"/>
        </w:rPr>
        <w:t xml:space="preserve"> </w:t>
      </w:r>
      <w:r>
        <w:rPr>
          <w:rFonts w:ascii="Nirmala UI" w:hAnsi="Nirmala UI" w:eastAsia="Nirmala UI" w:cs="Nirmala UI"/>
        </w:rPr>
        <w:t>उल्लिखित</w:t>
      </w:r>
      <w:r>
        <w:rPr>
          <w:rFonts w:ascii="Times New Roman" w:hAnsi="Times New Roman" w:eastAsia="Times New Roman" w:cs="Times New Roman"/>
        </w:rPr>
        <w:t xml:space="preserve"> </w:t>
      </w:r>
      <w:r>
        <w:rPr>
          <w:rFonts w:ascii="Nirmala UI" w:hAnsi="Nirmala UI" w:eastAsia="Nirmala UI" w:cs="Nirmala UI"/>
        </w:rPr>
        <w:t>अन्त्यको</w:t>
      </w:r>
      <w:r>
        <w:rPr>
          <w:rFonts w:ascii="Times New Roman" w:hAnsi="Times New Roman" w:eastAsia="Times New Roman" w:cs="Times New Roman"/>
        </w:rPr>
        <w:t xml:space="preserve"> </w:t>
      </w:r>
      <w:r>
        <w:rPr>
          <w:rFonts w:ascii="Nirmala UI" w:hAnsi="Nirmala UI" w:eastAsia="Nirmala UI" w:cs="Nirmala UI"/>
        </w:rPr>
        <w:t>समयलाई</w:t>
      </w:r>
      <w:r>
        <w:rPr>
          <w:rFonts w:ascii="Times New Roman" w:hAnsi="Times New Roman" w:eastAsia="Times New Roman" w:cs="Times New Roman"/>
        </w:rPr>
        <w:t xml:space="preserve"> </w:t>
      </w:r>
      <w:r>
        <w:rPr>
          <w:rFonts w:ascii="Nirmala UI" w:hAnsi="Nirmala UI" w:eastAsia="Nirmala UI" w:cs="Nirmala UI"/>
        </w:rPr>
        <w:t>जनाउँछ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एकचालिसौँ</w:t>
      </w:r>
      <w:r>
        <w:rPr>
          <w:rFonts w:ascii="Times New Roman" w:hAnsi="Times New Roman" w:eastAsia="Times New Roman" w:cs="Times New Roman"/>
        </w:rPr>
        <w:t xml:space="preserve"> </w:t>
      </w:r>
      <w:r>
        <w:rPr>
          <w:rFonts w:ascii="Nirmala UI" w:hAnsi="Nirmala UI" w:eastAsia="Nirmala UI" w:cs="Nirmala UI"/>
        </w:rPr>
        <w:t>पदको</w:t>
      </w:r>
      <w:r>
        <w:rPr>
          <w:rFonts w:ascii="Times New Roman" w:hAnsi="Times New Roman" w:eastAsia="Times New Roman" w:cs="Times New Roman"/>
        </w:rPr>
        <w:t xml:space="preserve"> </w:t>
      </w:r>
      <w:r>
        <w:rPr>
          <w:rFonts w:ascii="Nirmala UI" w:hAnsi="Nirmala UI" w:eastAsia="Nirmala UI" w:cs="Nirmala UI"/>
        </w:rPr>
        <w:t>आइतबार</w:t>
      </w:r>
      <w:r>
        <w:rPr>
          <w:rFonts w:ascii="Times New Roman" w:hAnsi="Times New Roman" w:eastAsia="Times New Roman" w:cs="Times New Roman"/>
        </w:rPr>
        <w:t>-</w:t>
      </w:r>
      <w:r>
        <w:rPr>
          <w:rFonts w:ascii="Nirmala UI" w:hAnsi="Nirmala UI" w:eastAsia="Nirmala UI" w:cs="Nirmala UI"/>
        </w:rPr>
        <w:t>व्यवस्थातर्फ</w:t>
      </w:r>
      <w:r>
        <w:rPr>
          <w:rFonts w:ascii="Times New Roman" w:hAnsi="Times New Roman" w:eastAsia="Times New Roman" w:cs="Times New Roman"/>
        </w:rPr>
        <w:t xml:space="preserve"> </w:t>
      </w:r>
      <w:r>
        <w:rPr>
          <w:rFonts w:ascii="Nirmala UI" w:hAnsi="Nirmala UI" w:eastAsia="Nirmala UI" w:cs="Nirmala UI"/>
        </w:rPr>
        <w:t>डोऱ्याउँछ।</w:t>
      </w:r>
      <w:r>
        <w:rPr>
          <w:rFonts w:ascii="Times New Roman" w:hAnsi="Times New Roman" w:eastAsia="Times New Roman" w:cs="Times New Roman"/>
        </w:rPr>
        <w:t xml:space="preserve"> </w:t>
      </w:r>
      <w:r>
        <w:rPr>
          <w:rFonts w:ascii="Nirmala UI" w:hAnsi="Nirmala UI" w:eastAsia="Nirmala UI" w:cs="Nirmala UI"/>
        </w:rPr>
        <w:t>अन्त्यको</w:t>
      </w:r>
      <w:r>
        <w:rPr>
          <w:rFonts w:ascii="Times New Roman" w:hAnsi="Times New Roman" w:eastAsia="Times New Roman" w:cs="Times New Roman"/>
        </w:rPr>
        <w:t xml:space="preserve"> </w:t>
      </w:r>
      <w:r>
        <w:rPr>
          <w:rFonts w:ascii="Nirmala UI" w:hAnsi="Nirmala UI" w:eastAsia="Nirmala UI" w:cs="Nirmala UI"/>
        </w:rPr>
        <w:t>समयपछि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आइतबार</w:t>
      </w:r>
      <w:r>
        <w:rPr>
          <w:rFonts w:ascii="Times New Roman" w:hAnsi="Times New Roman" w:eastAsia="Times New Roman" w:cs="Times New Roman"/>
        </w:rPr>
        <w:t>-</w:t>
      </w:r>
      <w:r>
        <w:rPr>
          <w:rFonts w:ascii="Nirmala UI" w:hAnsi="Nirmala UI" w:eastAsia="Nirmala UI" w:cs="Nirmala UI"/>
        </w:rPr>
        <w:t>व्यवस्थाभन्दा</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चेतावनीको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सेप्टेम्बर</w:t>
      </w:r>
      <w:r>
        <w:rPr>
          <w:rFonts w:ascii="Times New Roman" w:hAnsi="Times New Roman" w:eastAsia="Times New Roman" w:cs="Times New Roman"/>
        </w:rPr>
        <w:t xml:space="preserve">, </w:t>
      </w:r>
      <w:r>
        <w:rPr>
          <w:rFonts w:ascii="Nirmala UI" w:hAnsi="Nirmala UI" w:eastAsia="Nirmala UI" w:cs="Nirmala UI"/>
        </w:rPr>
        <w:t>२००१</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दिन्छ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अवधिको</w:t>
      </w:r>
      <w:r>
        <w:rPr>
          <w:rFonts w:ascii="Times New Roman" w:hAnsi="Times New Roman" w:eastAsia="Times New Roman" w:cs="Times New Roman"/>
        </w:rPr>
        <w:t xml:space="preserve"> </w:t>
      </w:r>
      <w:r>
        <w:rPr>
          <w:rFonts w:ascii="Nirmala UI" w:hAnsi="Nirmala UI" w:eastAsia="Nirmala UI" w:cs="Nirmala UI"/>
        </w:rPr>
        <w:t>समाप्तिमा</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सेप्टेम्बर</w:t>
      </w:r>
      <w:r>
        <w:rPr>
          <w:rFonts w:ascii="Times New Roman" w:hAnsi="Times New Roman" w:eastAsia="Times New Roman" w:cs="Times New Roman"/>
        </w:rPr>
        <w:t xml:space="preserve">, </w:t>
      </w:r>
      <w:r>
        <w:rPr>
          <w:rFonts w:ascii="Nirmala UI" w:hAnsi="Nirmala UI" w:eastAsia="Nirmala UI" w:cs="Nirmala UI"/>
        </w:rPr>
        <w:t>२००१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तुरुन्तै</w:t>
      </w:r>
      <w:r>
        <w:rPr>
          <w:rFonts w:ascii="Times New Roman" w:hAnsi="Times New Roman" w:eastAsia="Times New Roman" w:cs="Times New Roman"/>
        </w:rPr>
        <w:t xml:space="preserve"> </w:t>
      </w:r>
      <w:r>
        <w:rPr>
          <w:rFonts w:ascii="Nirmala UI" w:hAnsi="Nirmala UI" w:eastAsia="Nirmala UI" w:cs="Nirmala UI"/>
        </w:rPr>
        <w:t>रोकिएको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धिक्कार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अप्रत्याशित</w:t>
      </w:r>
      <w:r>
        <w:rPr>
          <w:rFonts w:ascii="Times New Roman" w:hAnsi="Times New Roman" w:eastAsia="Times New Roman" w:cs="Times New Roman"/>
        </w:rPr>
        <w:t xml:space="preserve"> </w:t>
      </w:r>
      <w:r>
        <w:rPr>
          <w:rFonts w:ascii="Nirmala UI" w:hAnsi="Nirmala UI" w:eastAsia="Nirmala UI" w:cs="Nirmala UI"/>
        </w:rPr>
        <w:t>आश्चर्यझैँ</w:t>
      </w:r>
      <w:r>
        <w:rPr>
          <w:rFonts w:ascii="Times New Roman" w:hAnsi="Times New Roman" w:eastAsia="Times New Roman" w:cs="Times New Roman"/>
        </w:rPr>
        <w:t xml:space="preserve"> </w:t>
      </w:r>
      <w:r>
        <w:rPr>
          <w:rFonts w:ascii="Nirmala UI" w:hAnsi="Nirmala UI" w:eastAsia="Nirmala UI" w:cs="Nirmala UI"/>
        </w:rPr>
        <w:t>प्रहार</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सहरहरू</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गरिनेछन्।</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आइपुग्छ</w:t>
      </w:r>
      <w:r>
        <w:rPr>
          <w:rFonts w:ascii="Times New Roman" w:hAnsi="Times New Roman" w:eastAsia="Times New Roman" w:cs="Times New Roman"/>
        </w:rPr>
        <w:t xml:space="preserve">, </w:t>
      </w:r>
      <w:r>
        <w:rPr>
          <w:rFonts w:ascii="Nirmala UI" w:hAnsi="Nirmala UI" w:eastAsia="Nirmala UI" w:cs="Nirmala UI"/>
        </w:rPr>
        <w:t>शैतानले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अचम्मको</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चाँडै</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आइतबार</w:t>
      </w:r>
      <w:r>
        <w:rPr>
          <w:rFonts w:ascii="Times New Roman" w:hAnsi="Times New Roman" w:eastAsia="Times New Roman" w:cs="Times New Roman"/>
        </w:rPr>
        <w:t>-</w:t>
      </w:r>
      <w:r>
        <w:rPr>
          <w:rFonts w:ascii="Nirmala UI" w:hAnsi="Nirmala UI" w:eastAsia="Nirmala UI" w:cs="Nirmala UI"/>
        </w:rPr>
        <w:t>व्यवस्थाबाट</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हुन्छ।</w:t>
      </w:r>
    </w:p>
    <w:p>
      <w:pPr>
        <w:pStyle w:val="ArticleScripture"/>
        <w:jc w:val="left"/>
      </w:pPr>
      <w:r>
        <w:rPr>
          <w:rFonts w:ascii="Times New Roman" w:hAnsi="Times New Roman" w:eastAsia="Times New Roman" w:cs="Times New Roman"/>
        </w:rPr>
        <w:t>„O, dass Gottes Volk ein Empfinden hätte für die drohende Zerstörung Tausender von Städten, die jetzt fast dem Götzendienst preisgegeben sind! Doch viele von denen, die die Wahrheit verkündigen sollten, beschuldigen und verurteilen ihre Brüder. Wenn die bekehrende Macht Gottes auf die Gemüter einwirkt, wird eine entschiedene Veränderung eintreten. Die Menschen werden keine Neigung haben, zu kritisieren und niederzureißen. Sie werden keinen Standpunkt einnehmen, der das Licht hindert, der Welt zu leuchten. Ihre Kritik, ihr Beschuldigen, wird aufhören. Die Mächte des Feindes rüsten sich zum Kampf. Ernste Auseinandersetzungen liegen vor uns. Rückt eng zusammen, meine Brüder und Schwestern, rückt eng zusammen. Verbindet euch mit Christus. „Sagt nicht: Ein Bund!, … und fürchtet nicht, was sie fürchten, und erschreckt nicht. Den HERRN der Heerscharen, den sollt ihr heiligen; und er sei eure Furcht, und er sei euer Schrecken. Und er wird zum Heiligtum sein; aber zum Stein des Anstoßes und zum Fels des Ärgernisses den beiden Häusern Israels, zur Schlinge und zum Fallstrick den Bewohnern Jerusalems. Und viele unter ihnen werden straucheln und fallen und zerbrochen werden und verstrickt und gefangen werden.“</w:t>
      </w:r>
    </w:p>
    <w:p>
      <w:pPr>
        <w:pStyle w:val="ArticleScripture"/>
        <w:jc w:val="left"/>
      </w:pPr>
      <w:r>
        <w:rPr>
          <w:rFonts w:ascii="Times New Roman" w:hAnsi="Times New Roman" w:eastAsia="Times New Roman" w:cs="Times New Roman"/>
        </w:rPr>
        <w:t>“Dunia ini ialah sebuah pentas. Para pelakon, iaitu para penghuninya, sedang bersiap-siap untuk memainkan peranan mereka dalam drama besar yang terakhir. Allah tidak lagi diindahkan. Dalam kalangan massa besar umat manusia tidak ada kesatuan, kecuali apabila manusia bersekutu untuk mencapai tujuan-tujuan mementingkan diri mereka sendiri. Allah sedang memandang. Maksud-maksud-Nya berkenaan dengan para subjek-Nya yang memberontak akan digenapi. Dunia ini tidak diserahkan ke dalam tangan manusia, walaupun Allah mengizinkan unsur-unsur kekacauan dan ketidakteraturan berkuasa untuk suatu masa. Suatu kuasa dari bawah sedang bekerja untuk mendatangkan adegan-adegan besar yang terakhir dalam drama itu,—Satan datang sebagai Kristus, dan bekerja dengan segala tipu daya kelaliman di antara mereka yang sedang mengikatkan diri bersama-sama dalam persatuan-persatuan rahsia. Mereka yang menyerah kepada nafsu untuk bersekutu sedang melaksanakan rancangan-rancangan musuh. Sebab itu akan diikuti oleh akibatnya.”</w:t>
      </w:r>
    </w:p>
    <w:p>
      <w:pPr>
        <w:pStyle w:val="ArticleScripture"/>
        <w:jc w:val="left"/>
      </w:pPr>
      <w:r>
        <w:rPr>
          <w:rFonts w:ascii="Times New Roman" w:hAnsi="Times New Roman" w:eastAsia="Times New Roman" w:cs="Times New Roman"/>
        </w:rPr>
        <w:t>«Қонунбузарлик деярли ўз чегарасига етди. Дунё чалкашлик билан тўлиб-тошган, ва яқин орада инсонлар устига буюк даҳшат келиб тушади. Охир жуда яқин. Биз, ҳақиқатни биладиганлар, яқинда дунё устига енгиб бўлмас ҳайрат сифатида ёриб келадиган нарсага тайёрланиб боришимиз керак.» Review and Herald, September 10, 1903.</w:t>
      </w:r>
    </w:p>
    <w:p>
      <w:pPr>
        <w:pStyle w:val="ArticleBody"/>
        <w:jc w:val="left"/>
      </w:pPr>
      <w:r>
        <w:rPr>
          <w:rFonts w:ascii="Times New Roman" w:hAnsi="Times New Roman" w:eastAsia="Times New Roman" w:cs="Times New Roman"/>
        </w:rPr>
        <w:t>L’avertissement qui fut préfiguré par l’introduction de la Constitution en 1789 est l’avertissement du troisième ange, lequel revient au second Kadès, lorsque commence le scellement des cent quarante-quatre mille. Cet avertissement est celui de la première voix d’Apocalypse chapitre dix-huit, et non seulement les grands édifices de la ville de New York tombèrent alors, mais l’essence même de la Constitution fut changée. La Constitution fut rédigée et fondée sur le droit anglais, dont la philosophie fondamentale peut se définir simplement ainsi: « une personne est innocente jusqu’à ce qu’elle soit reconnue coupable. » La Constitution fut rédigée dans le but de rejeter ce qu’on appelle le droit romain, dont la philosophie fondamentale peut se définir simplement ainsi: « une personne est coupable jusqu’à ce qu’elle soit reconnue innocente. »</w:t>
      </w:r>
    </w:p>
    <w:p>
      <w:pPr>
        <w:pStyle w:val="ArticleBody"/>
        <w:jc w:val="left"/>
      </w:pPr>
      <w:r>
        <w:rPr>
          <w:rFonts w:ascii="Times New Roman" w:hAnsi="Times New Roman" w:eastAsia="Times New Roman" w:cs="Times New Roman"/>
        </w:rPr>
        <w:t>L’avertissement venu du désert en 1789, représenté par la Constitution, représente l’avertissement du 11 septembre 2001, et non seulement les bâtiments en flammes ont-ils marqué cette histoire par un accomplissement littéral, mais l’adoption (la promulgation) du Patriot Act a également représenté l’avertissement.</w:t>
      </w:r>
    </w:p>
    <w:p>
      <w:pPr>
        <w:pStyle w:val="ArticleBody"/>
        <w:jc w:val="left"/>
      </w:pPr>
      <w:r>
        <w:rPr>
          <w:rFonts w:ascii="Times New Roman" w:hAnsi="Times New Roman" w:eastAsia="Times New Roman" w:cs="Times New Roman"/>
        </w:rPr>
        <w:t>«</w:t>
      </w:r>
      <w:r>
        <w:rPr>
          <w:rFonts w:ascii="Microsoft YaHei" w:hAnsi="Microsoft YaHei" w:eastAsia="Microsoft YaHei" w:cs="Microsoft YaHei"/>
        </w:rPr>
        <w:t>爱国者法案</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2001</w:t>
      </w:r>
      <w:r>
        <w:rPr>
          <w:rFonts w:ascii="Microsoft YaHei" w:hAnsi="Microsoft YaHei" w:eastAsia="Microsoft YaHei" w:cs="Microsoft YaHei"/>
        </w:rPr>
        <w:t>年</w:t>
      </w:r>
      <w:r>
        <w:rPr>
          <w:rFonts w:ascii="Times New Roman" w:hAnsi="Times New Roman" w:eastAsia="Times New Roman" w:cs="Times New Roman"/>
        </w:rPr>
        <w:t>«</w:t>
      </w:r>
      <w:r>
        <w:rPr>
          <w:rFonts w:ascii="Microsoft YaHei" w:hAnsi="Microsoft YaHei" w:eastAsia="Microsoft YaHei" w:cs="Microsoft YaHei"/>
        </w:rPr>
        <w:t>以提供拦截和阻止恐怖主义所需适当工具来团结并增强美国法案</w:t>
      </w:r>
      <w:r>
        <w:rPr>
          <w:rFonts w:ascii="Times New Roman" w:hAnsi="Times New Roman" w:eastAsia="Times New Roman" w:cs="Times New Roman"/>
        </w:rPr>
        <w:t>»</w:t>
      </w:r>
      <w:r>
        <w:rPr>
          <w:rFonts w:ascii="Microsoft YaHei" w:hAnsi="Microsoft YaHei" w:eastAsia="Microsoft YaHei" w:cs="Microsoft YaHei"/>
        </w:rPr>
        <w:t>）于</w:t>
      </w:r>
      <w:r>
        <w:rPr>
          <w:rFonts w:ascii="Times New Roman" w:hAnsi="Times New Roman" w:eastAsia="Times New Roman" w:cs="Times New Roman"/>
        </w:rPr>
        <w:t>2001</w:t>
      </w:r>
      <w:r>
        <w:rPr>
          <w:rFonts w:ascii="Microsoft YaHei" w:hAnsi="Microsoft YaHei" w:eastAsia="Microsoft YaHei" w:cs="Microsoft YaHei"/>
        </w:rPr>
        <w:t>年</w:t>
      </w:r>
      <w:r>
        <w:rPr>
          <w:rFonts w:ascii="Times New Roman" w:hAnsi="Times New Roman" w:eastAsia="Times New Roman" w:cs="Times New Roman"/>
        </w:rPr>
        <w:t>9</w:t>
      </w:r>
      <w:r>
        <w:rPr>
          <w:rFonts w:ascii="Microsoft YaHei" w:hAnsi="Microsoft YaHei" w:eastAsia="Microsoft YaHei" w:cs="Microsoft YaHei"/>
        </w:rPr>
        <w:t>月</w:t>
      </w:r>
      <w:r>
        <w:rPr>
          <w:rFonts w:ascii="Times New Roman" w:hAnsi="Times New Roman" w:eastAsia="Times New Roman" w:cs="Times New Roman"/>
        </w:rPr>
        <w:t>11</w:t>
      </w:r>
      <w:r>
        <w:rPr>
          <w:rFonts w:ascii="Microsoft YaHei" w:hAnsi="Microsoft YaHei" w:eastAsia="Microsoft YaHei" w:cs="Microsoft YaHei"/>
        </w:rPr>
        <w:t>日恐怖袭击后不久提交至美国国会</w:t>
      </w:r>
      <w:r>
        <w:rPr>
          <w:rFonts w:ascii="Times New Roman" w:hAnsi="Times New Roman" w:eastAsia="Times New Roman" w:cs="Times New Roman"/>
        </w:rPr>
        <w:t>.</w:t>
      </w:r>
      <w:r>
        <w:rPr>
          <w:rFonts w:ascii="Microsoft YaHei" w:hAnsi="Microsoft YaHei" w:eastAsia="Microsoft YaHei" w:cs="Microsoft YaHei"/>
        </w:rPr>
        <w:t>该法案于</w:t>
      </w:r>
      <w:r>
        <w:rPr>
          <w:rFonts w:ascii="Times New Roman" w:hAnsi="Times New Roman" w:eastAsia="Times New Roman" w:cs="Times New Roman"/>
        </w:rPr>
        <w:t>2001</w:t>
      </w:r>
      <w:r>
        <w:rPr>
          <w:rFonts w:ascii="Microsoft YaHei" w:hAnsi="Microsoft YaHei" w:eastAsia="Microsoft YaHei" w:cs="Microsoft YaHei"/>
        </w:rPr>
        <w:t>年</w:t>
      </w:r>
      <w:r>
        <w:rPr>
          <w:rFonts w:ascii="Times New Roman" w:hAnsi="Times New Roman" w:eastAsia="Times New Roman" w:cs="Times New Roman"/>
        </w:rPr>
        <w:t>10</w:t>
      </w:r>
      <w:r>
        <w:rPr>
          <w:rFonts w:ascii="Microsoft YaHei" w:hAnsi="Microsoft YaHei" w:eastAsia="Microsoft YaHei" w:cs="Microsoft YaHei"/>
        </w:rPr>
        <w:t>月</w:t>
      </w:r>
      <w:r>
        <w:rPr>
          <w:rFonts w:ascii="Times New Roman" w:hAnsi="Times New Roman" w:eastAsia="Times New Roman" w:cs="Times New Roman"/>
        </w:rPr>
        <w:t>23</w:t>
      </w:r>
      <w:r>
        <w:rPr>
          <w:rFonts w:ascii="Microsoft YaHei" w:hAnsi="Microsoft YaHei" w:eastAsia="Microsoft YaHei" w:cs="Microsoft YaHei"/>
        </w:rPr>
        <w:t>日在众议院提出</w:t>
      </w:r>
      <w:r>
        <w:rPr>
          <w:rFonts w:ascii="Times New Roman" w:hAnsi="Times New Roman" w:eastAsia="Times New Roman" w:cs="Times New Roman"/>
        </w:rPr>
        <w:t>,</w:t>
      </w:r>
      <w:r>
        <w:rPr>
          <w:rFonts w:ascii="Microsoft YaHei" w:hAnsi="Microsoft YaHei" w:eastAsia="Microsoft YaHei" w:cs="Microsoft YaHei"/>
        </w:rPr>
        <w:t>并于</w:t>
      </w:r>
      <w:r>
        <w:rPr>
          <w:rFonts w:ascii="Times New Roman" w:hAnsi="Times New Roman" w:eastAsia="Times New Roman" w:cs="Times New Roman"/>
        </w:rPr>
        <w:t>2001</w:t>
      </w:r>
      <w:r>
        <w:rPr>
          <w:rFonts w:ascii="Microsoft YaHei" w:hAnsi="Microsoft YaHei" w:eastAsia="Microsoft YaHei" w:cs="Microsoft YaHei"/>
        </w:rPr>
        <w:t>年</w:t>
      </w:r>
      <w:r>
        <w:rPr>
          <w:rFonts w:ascii="Times New Roman" w:hAnsi="Times New Roman" w:eastAsia="Times New Roman" w:cs="Times New Roman"/>
        </w:rPr>
        <w:t>10</w:t>
      </w:r>
      <w:r>
        <w:rPr>
          <w:rFonts w:ascii="Microsoft YaHei" w:hAnsi="Microsoft YaHei" w:eastAsia="Microsoft YaHei" w:cs="Microsoft YaHei"/>
        </w:rPr>
        <w:t>月</w:t>
      </w:r>
      <w:r>
        <w:rPr>
          <w:rFonts w:ascii="Times New Roman" w:hAnsi="Times New Roman" w:eastAsia="Times New Roman" w:cs="Times New Roman"/>
        </w:rPr>
        <w:t>24</w:t>
      </w:r>
      <w:r>
        <w:rPr>
          <w:rFonts w:ascii="Microsoft YaHei" w:hAnsi="Microsoft YaHei" w:eastAsia="Microsoft YaHei" w:cs="Microsoft YaHei"/>
        </w:rPr>
        <w:t>日在参议院提出</w:t>
      </w:r>
      <w:r>
        <w:rPr>
          <w:rFonts w:ascii="Times New Roman" w:hAnsi="Times New Roman" w:eastAsia="Times New Roman" w:cs="Times New Roman"/>
        </w:rPr>
        <w:t>.2001</w:t>
      </w:r>
      <w:r>
        <w:rPr>
          <w:rFonts w:ascii="Microsoft YaHei" w:hAnsi="Microsoft YaHei" w:eastAsia="Microsoft YaHei" w:cs="Microsoft YaHei"/>
        </w:rPr>
        <w:t>年</w:t>
      </w:r>
      <w:r>
        <w:rPr>
          <w:rFonts w:ascii="Times New Roman" w:hAnsi="Times New Roman" w:eastAsia="Times New Roman" w:cs="Times New Roman"/>
        </w:rPr>
        <w:t>10</w:t>
      </w:r>
      <w:r>
        <w:rPr>
          <w:rFonts w:ascii="Microsoft YaHei" w:hAnsi="Microsoft YaHei" w:eastAsia="Microsoft YaHei" w:cs="Microsoft YaHei"/>
        </w:rPr>
        <w:t>月</w:t>
      </w:r>
      <w:r>
        <w:rPr>
          <w:rFonts w:ascii="Times New Roman" w:hAnsi="Times New Roman" w:eastAsia="Times New Roman" w:cs="Times New Roman"/>
        </w:rPr>
        <w:t>26</w:t>
      </w:r>
      <w:r>
        <w:rPr>
          <w:rFonts w:ascii="Microsoft YaHei" w:hAnsi="Microsoft YaHei" w:eastAsia="Microsoft YaHei" w:cs="Microsoft YaHei"/>
        </w:rPr>
        <w:t>日</w:t>
      </w:r>
      <w:r>
        <w:rPr>
          <w:rFonts w:ascii="Times New Roman" w:hAnsi="Times New Roman" w:eastAsia="Times New Roman" w:cs="Times New Roman"/>
        </w:rPr>
        <w:t>,</w:t>
      </w:r>
      <w:r>
        <w:rPr>
          <w:rFonts w:ascii="Microsoft YaHei" w:hAnsi="Microsoft YaHei" w:eastAsia="Microsoft YaHei" w:cs="Microsoft YaHei"/>
        </w:rPr>
        <w:t>乔治</w:t>
      </w:r>
      <w:r>
        <w:rPr>
          <w:rFonts w:ascii="Times New Roman" w:hAnsi="Times New Roman" w:eastAsia="Times New Roman" w:cs="Times New Roman"/>
        </w:rPr>
        <w:t>·W·</w:t>
      </w:r>
      <w:r>
        <w:rPr>
          <w:rFonts w:ascii="Microsoft YaHei" w:hAnsi="Microsoft YaHei" w:eastAsia="Microsoft YaHei" w:cs="Microsoft YaHei"/>
        </w:rPr>
        <w:t>布什总统签署其成为法律</w:t>
      </w:r>
      <w:r>
        <w:rPr>
          <w:rFonts w:ascii="Times New Roman" w:hAnsi="Times New Roman" w:eastAsia="Times New Roman" w:cs="Times New Roman"/>
        </w:rPr>
        <w:t>.«</w:t>
      </w:r>
      <w:r>
        <w:rPr>
          <w:rFonts w:ascii="Microsoft YaHei" w:hAnsi="Microsoft YaHei" w:eastAsia="Microsoft YaHei" w:cs="Microsoft YaHei"/>
        </w:rPr>
        <w:t>爱国者法案</w:t>
      </w:r>
      <w:r>
        <w:rPr>
          <w:rFonts w:ascii="Times New Roman" w:hAnsi="Times New Roman" w:eastAsia="Times New Roman" w:cs="Times New Roman"/>
        </w:rPr>
        <w:t>»</w:t>
      </w:r>
      <w:r>
        <w:rPr>
          <w:rFonts w:ascii="Microsoft YaHei" w:hAnsi="Microsoft YaHei" w:eastAsia="Microsoft YaHei" w:cs="Microsoft YaHei"/>
        </w:rPr>
        <w:t>旨在增强政府调查和预防恐怖主义行为的能力</w:t>
      </w:r>
      <w:r>
        <w:rPr>
          <w:rFonts w:ascii="Times New Roman" w:hAnsi="Times New Roman" w:eastAsia="Times New Roman" w:cs="Times New Roman"/>
        </w:rPr>
        <w:t>,</w:t>
      </w:r>
      <w:r>
        <w:rPr>
          <w:rFonts w:ascii="Microsoft YaHei" w:hAnsi="Microsoft YaHei" w:eastAsia="Microsoft YaHei" w:cs="Microsoft YaHei"/>
        </w:rPr>
        <w:t>并扩大监视与执法权力</w:t>
      </w:r>
      <w:r>
        <w:rPr>
          <w:rFonts w:ascii="Times New Roman" w:hAnsi="Times New Roman" w:eastAsia="Times New Roman" w:cs="Times New Roman"/>
        </w:rPr>
        <w:t>,</w:t>
      </w:r>
      <w:r>
        <w:rPr>
          <w:rFonts w:ascii="Microsoft YaHei" w:hAnsi="Microsoft YaHei" w:eastAsia="Microsoft YaHei" w:cs="Microsoft YaHei"/>
        </w:rPr>
        <w:t>同时它否弃了英国法律的一项基本且根本的原则</w:t>
      </w:r>
      <w:r>
        <w:rPr>
          <w:rFonts w:ascii="Times New Roman" w:hAnsi="Times New Roman" w:eastAsia="Times New Roman" w:cs="Times New Roman"/>
        </w:rPr>
        <w:t>,</w:t>
      </w:r>
      <w:r>
        <w:rPr>
          <w:rFonts w:ascii="Microsoft YaHei" w:hAnsi="Microsoft YaHei" w:eastAsia="Microsoft YaHei" w:cs="Microsoft YaHei"/>
        </w:rPr>
        <w:t>即一个人在被证明有罪之前是无罪的</w:t>
      </w:r>
      <w:r>
        <w:rPr>
          <w:rFonts w:ascii="Times New Roman" w:hAnsi="Times New Roman" w:eastAsia="Times New Roman" w:cs="Times New Roman"/>
        </w:rPr>
        <w:t>.</w:t>
      </w:r>
      <w:r>
        <w:rPr>
          <w:rFonts w:ascii="Microsoft YaHei" w:hAnsi="Microsoft YaHei" w:eastAsia="Microsoft YaHei" w:cs="Microsoft YaHei"/>
        </w:rPr>
        <w:t>直至今日</w:t>
      </w:r>
      <w:r>
        <w:rPr>
          <w:rFonts w:ascii="Times New Roman" w:hAnsi="Times New Roman" w:eastAsia="Times New Roman" w:cs="Times New Roman"/>
        </w:rPr>
        <w:t>,</w:t>
      </w:r>
      <w:r>
        <w:rPr>
          <w:rFonts w:ascii="Microsoft YaHei" w:hAnsi="Microsoft YaHei" w:eastAsia="Microsoft YaHei" w:cs="Microsoft YaHei"/>
        </w:rPr>
        <w:t>政府内部的精英仍利用它来规避正当法律程序、隐私权和公正审判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Nous poursuivrons cette étude dans notre prochain article.</w:t>
      </w:r>
    </w:p>
    <w:p>
      <w:pPr>
        <w:pStyle w:val="ArticleScripture"/>
        <w:jc w:val="left"/>
      </w:pPr>
      <w:r>
        <w:rPr>
          <w:rFonts w:ascii="Times New Roman" w:hAnsi="Times New Roman" w:eastAsia="Times New Roman" w:cs="Times New Roman"/>
        </w:rPr>
        <w:t>«Եվ ինչպիսի՞ն է մեր վիճակը այս ահեղ և հանդիսավոր ժամանակում։ Ավա՜ղ, ի՜նչ հպարտություն է տիրում եկեղեցում, ի՜նչ կեղծավորություն, ի՜նչ խաբեություն, ի՜նչ սեր հանդերձների, թեթևամտության և զվարճությունների նկատմամբ, ի՜նչ ձգտում՝ գերակայության։ Այս բոլոր մեղքերը խավարեցրել են միտքը, այնպես որ հավիտենական բաները չեն զանազանվել։ Մի՞թե մենք չպիտի քննենք Սուրբ Գիրքը, որպեսզի իմանանք, թե որտեղ ենք գտնվում այս աշխարհի պատմության մեջ։ Մի՞թե մենք չպիտի ըմբռնող դառնանք այն գործի վերաբերյալ, որ այս ժամանակ կատարվում է մեզ համար, և այն դիրքի վերաբերյալ, որ մենք՝ որպես մեղավորներ, պետք է զբաղեցնենք, մինչ այս քավության գործը շարունակվում է։ Եթե որևէ հոգածություն ունենք մեր հոգիների փրկության համար, պետք է վճռական փոփոխություն կատարենք։ Մենք պետք է ճշմարիտ ապաշխարությամբ փնտրենք Տիրոջը. մենք պետք է հոգու խորին փշրվածությամբ խոստովանենք մեր մեղքերը, որպեսզի դրանք ջնջվեն։»</w:t>
      </w:r>
    </w:p>
    <w:p>
      <w:pPr>
        <w:pStyle w:val="ArticleScripture"/>
        <w:jc w:val="left"/>
      </w:pPr>
      <w:r>
        <w:rPr>
          <w:rFonts w:ascii="Times New Roman" w:hAnsi="Times New Roman" w:eastAsia="Times New Roman" w:cs="Times New Roman"/>
        </w:rPr>
        <w:t>“Vi må ikke lenger bli stående på den forheksede grunn. Vi nærmer oss hastig avslutningen på vår prøvetid. La hver sjel ransake seg selv og spørre: Hvordan står jeg for Gud? Vi vet ikke hvor snart våre navn kan bli tatt på Kristi lepper, og våre saker bli endelig avgjort. Å, hva, ja hva vil disse avgjørelsene bli! Skal vi bli regnet blant de rettferdige, eller skal vi bli talt med blant de ugudelige?</w:t>
      </w:r>
    </w:p>
    <w:p>
      <w:pPr>
        <w:pStyle w:val="ArticleScripture"/>
        <w:jc w:val="left"/>
      </w:pPr>
      <w:r>
        <w:rPr>
          <w:rFonts w:ascii="Times New Roman" w:hAnsi="Times New Roman" w:eastAsia="Times New Roman" w:cs="Times New Roman"/>
        </w:rPr>
        <w:t>“כנסיית אלוהים תקום ותתחרט על משובותיה לפני אלוהים. השומרים יתעוררו ויתנו לשופר קול ברור. זוהי אזהרה חד־משמעית שעלינו להכריז. אלוהים מצווה את עבדיו: ‘קְרָא בְגָרוֹן אַל־תַּחְשֹׂךְ, כַּשּׁוֹפָר הָרֵם קוֹלֶךָ; וְהַגֵּד לְעַמִּי פִשְׁעָם, וּלְבֵית יַעֲקֹב חַטֹּאתָם.’ יש לרכוש את תשומת לב העם; אם לא ייעשה כן, כל מאמץ לשווא הוא; גם אילו ירד מלאך מן השמים וידבר אליהם, לא יועילו דבריו יותר מאשר אילו דיבר אל אוזנו הקרה של המוות. על הקהילה להתעורר לפעולה. רוח אלוהים לעולם לא תבוא בעוצמה עד אשר תכין את הדרך. צריכה להיות בחינת לב רצינית. צריכה להיות תפילה מאוחדת ומתמדת, ובאמונה—היאחזות בהבטחות אלוהים. צריך להיות, לא לבישת שק על הגוף, כבעת העתיקה, אלא הכנעה עמוקה של הנפש. אין לנו ולו הטעם הראשון לברך את עצמנו או להתרומם בלבבנו. עלינו להשפיל את עצמנו תחת ידו החזקה של אלוהים. הוא יופיע לנחם ולברך את מבקשי האמת.”</w:t>
      </w:r>
    </w:p>
    <w:p>
      <w:pPr>
        <w:pStyle w:val="ArticleScripture"/>
        <w:jc w:val="left"/>
      </w:pPr>
      <w:r>
        <w:rPr>
          <w:rFonts w:ascii="Times New Roman" w:hAnsi="Times New Roman" w:eastAsia="Times New Roman" w:cs="Times New Roman"/>
        </w:rPr>
        <w:t>“The work is before us; shall we engage in it? We must work swiftly; we must press steadily forward. We must be preparing for the great day of the Lord. We have no time to lose, no time to be occupied with selfish purposes. The world is to be warned. What are we doing, as individuals, to bring the light before others? God has left to every man his work; everyone has a part to perform, and we cannot neglect this work except at the peril of our souls.</w:t>
      </w:r>
    </w:p>
    <w:p>
      <w:pPr>
        <w:pStyle w:val="ArticleScripture"/>
        <w:jc w:val="left"/>
      </w:pPr>
      <w:r>
        <w:rPr>
          <w:rFonts w:ascii="Times New Roman" w:hAnsi="Times New Roman" w:eastAsia="Times New Roman" w:cs="Times New Roman"/>
        </w:rPr>
        <w:t>« Ô mes frères, attristerez-vous le Saint-Esprit, au point de le faire se retirer ? Exclurez-vous le Sauveur béni, parce que vous n’êtes pas préparés à sa présence ? Laisserez-vous des âmes périr sans la connaissance de la vérité, parce que vous aimez trop votre aise pour porter le fardeau que Jésus a porté pour vous ? Réveillons-nous de notre sommeil. “Soyez sobres, veillez; parce que votre adversaire, le Diable, comme un lion rugissant, rôde, cherchant qui il pourra dévorer.” » Review and Herald, 22 mars 1887.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cent trente et un</dc:title>
  <dc:subject>Revelationista nykyisiin todellisuuksiin ulottuvan profeetallisen kudelman paljastaminen: yhteyksien näkeminen</dc:subject>
  <dc:creator>Jeff Pippenger</dc:creator>
  <cp:keywords/>
  <dc:description>Generated by ArticleDigger from daniel\131_daniel.json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