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Nomor Seratus Tiga Puluh Tiga</w:t>
      </w:r>
    </w:p>
    <w:p>
      <w:pPr>
        <w:pStyle w:val="ArticleSubtitle"/>
        <w:jc w:val="left"/>
      </w:pPr>
      <w:r>
        <w:rPr>
          <w:rFonts w:ascii="Arial" w:hAnsi="Arial" w:eastAsia="Arial" w:cs="Arial"/>
        </w:rPr>
        <w:t>Levantando o Véu da Tapeçaria Profética: Perspectivas sobre o Tempo do Selamento dos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Waprofeti wote wanakubaliana wao kwa wao, na wote hushuhudia kwa uwazi zaidi kuhusu mwisho wa dunia kuliko siku walizoishi ndani yake. Ushuhuda wao wapasa kutumiwa katika kipindi cha kinabii cha wakati wa kutiwa muhuri kwa wale mia moja na arobaini na nne elfu, kwa maana hapo ndipo athari ya kila ono hutukia. Isaya, katika sura ya sita, katika ono aliruhusiwa kutazama ndani ya Patakatifu pa Patakatifu, wakati wa kipindi cha wakati wa kutiwa muhuri kwa wale mia moja na arobaini na nne elfu, ambako aliuona utukufu wa Mungu. Twajua ya kuwa ilikuwa baada ya Septemba 11, 2001, kwa maana aliwasikia malaika katika aya ya tatu wakitambua kwamba wakati huo dunia ilikuwa imejaa utukufu Wake.</w:t>
      </w:r>
    </w:p>
    <w:p>
      <w:pPr>
        <w:pStyle w:val="ArticleScripture"/>
        <w:jc w:val="left"/>
      </w:pPr>
      <w:r>
        <w:rPr>
          <w:rFonts w:ascii="Times New Roman" w:hAnsi="Times New Roman" w:eastAsia="Times New Roman" w:cs="Times New Roman"/>
        </w:rPr>
        <w:t>“خداوند، آنگاه که در شُرُف آن بود که اشعیا را با پیامی نزد قوم خویش بفرستد، نخست به آن نبی اجازه داد که در رؤیا به قدس‌الاقداسِ درونِ مَقْدِس بنگرد. ناگهان، دروازه و حجابِ درونیِ هیکل چنان می‌نمود که افراشته یا کنار زده شده است، و به او اجازه داده شد که به درون، به قدس‌الاقداس، نظر افکند؛ جایی که حتی پای‌های نبی نیز نمی‌توانست بدان درآید. آنگاه رؤیایی از یهوه در برابر او پدیدار شد که بر تختی بلند و برافراشته نشسته بود، و دامانِ جلالِ او هیکل را پر ساخته بود. گرداگرد تخت، سرافیم ایستاده بودند، همچون نگهبانانی پیرامونِ آن پادشاه عظیم، و آنان جلالی را که ایشان را احاطه کرده بود بازمی‌تاباندند. چون سرودهای ستایش ایشان با نغمه‌های ژرفِ پرستش طنین می‌افکند، ستون‌های دروازه به لرزه درمی‌آمد، چنان‌که گویی زلزله‌ای آنها را تکان داده است. این فرشتگان، با لب‌هایی که به گناه آلوده نشده بود، ستایش‌های خدا را فرو می‌ریختند. ‘قدوس، قدوس، قدوس، یهوه صبایوت است،’ ندا می‌دادند؛ ‘تمامی زمین از جلال او مملو است.’ [See Isaiah 6:1–8.]”</w:t>
      </w:r>
    </w:p>
    <w:p>
      <w:pPr>
        <w:pStyle w:val="ArticleScripture"/>
        <w:jc w:val="left"/>
      </w:pPr>
      <w:r>
        <w:rPr>
          <w:rFonts w:ascii="Times New Roman" w:hAnsi="Times New Roman" w:eastAsia="Times New Roman" w:cs="Times New Roman"/>
        </w:rPr>
        <w:t>"</w:t>
      </w:r>
      <w:r>
        <w:rPr>
          <w:rFonts w:ascii="Nirmala UI" w:hAnsi="Nirmala UI" w:eastAsia="Nirmala UI" w:cs="Nirmala UI"/>
        </w:rPr>
        <w:t>ஆட்சியாசனத்தைச்</w:t>
      </w:r>
      <w:r>
        <w:rPr>
          <w:rFonts w:ascii="Times New Roman" w:hAnsi="Times New Roman" w:eastAsia="Times New Roman" w:cs="Times New Roman"/>
        </w:rPr>
        <w:t xml:space="preserve"> </w:t>
      </w:r>
      <w:r>
        <w:rPr>
          <w:rFonts w:ascii="Nirmala UI" w:hAnsi="Nirmala UI" w:eastAsia="Nirmala UI" w:cs="Nirmala UI"/>
        </w:rPr>
        <w:t>சுற்றியுள்ள</w:t>
      </w:r>
      <w:r>
        <w:rPr>
          <w:rFonts w:ascii="Times New Roman" w:hAnsi="Times New Roman" w:eastAsia="Times New Roman" w:cs="Times New Roman"/>
        </w:rPr>
        <w:t xml:space="preserve"> </w:t>
      </w:r>
      <w:r>
        <w:rPr>
          <w:rFonts w:ascii="Nirmala UI" w:hAnsi="Nirmala UI" w:eastAsia="Nirmala UI" w:cs="Nirmala UI"/>
        </w:rPr>
        <w:t>செராபீம்கள்</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மகிமையை</w:t>
      </w:r>
      <w:r>
        <w:rPr>
          <w:rFonts w:ascii="Times New Roman" w:hAnsi="Times New Roman" w:eastAsia="Times New Roman" w:cs="Times New Roman"/>
        </w:rPr>
        <w:t xml:space="preserve"> </w:t>
      </w:r>
      <w:r>
        <w:rPr>
          <w:rFonts w:ascii="Nirmala UI" w:hAnsi="Nirmala UI" w:eastAsia="Nirmala UI" w:cs="Nirmala UI"/>
        </w:rPr>
        <w:t>நோக்கிக்கொண்டிருக்கும்</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பக்தியுள்ள</w:t>
      </w:r>
      <w:r>
        <w:rPr>
          <w:rFonts w:ascii="Times New Roman" w:hAnsi="Times New Roman" w:eastAsia="Times New Roman" w:cs="Times New Roman"/>
        </w:rPr>
        <w:t xml:space="preserve"> </w:t>
      </w:r>
      <w:r>
        <w:rPr>
          <w:rFonts w:ascii="Nirmala UI" w:hAnsi="Nirmala UI" w:eastAsia="Nirmala UI" w:cs="Nirmala UI"/>
        </w:rPr>
        <w:t>பயபக்தியால்</w:t>
      </w:r>
      <w:r>
        <w:rPr>
          <w:rFonts w:ascii="Times New Roman" w:hAnsi="Times New Roman" w:eastAsia="Times New Roman" w:cs="Times New Roman"/>
        </w:rPr>
        <w:t xml:space="preserve"> </w:t>
      </w:r>
      <w:r>
        <w:rPr>
          <w:rFonts w:ascii="Nirmala UI" w:hAnsi="Nirmala UI" w:eastAsia="Nirmala UI" w:cs="Nirmala UI"/>
        </w:rPr>
        <w:t>இவ்வளவு</w:t>
      </w:r>
      <w:r>
        <w:rPr>
          <w:rFonts w:ascii="Times New Roman" w:hAnsi="Times New Roman" w:eastAsia="Times New Roman" w:cs="Times New Roman"/>
        </w:rPr>
        <w:t xml:space="preserve"> </w:t>
      </w:r>
      <w:r>
        <w:rPr>
          <w:rFonts w:ascii="Nirmala UI" w:hAnsi="Nirmala UI" w:eastAsia="Nirmala UI" w:cs="Nirmala UI"/>
        </w:rPr>
        <w:t>நிரம்பியிருப்பதால்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கண</w:t>
      </w:r>
      <w:r>
        <w:rPr>
          <w:rFonts w:ascii="Times New Roman" w:hAnsi="Times New Roman" w:eastAsia="Times New Roman" w:cs="Times New Roman"/>
        </w:rPr>
        <w:t xml:space="preserve"> </w:t>
      </w:r>
      <w:r>
        <w:rPr>
          <w:rFonts w:ascii="Nirmala UI" w:hAnsi="Nirmala UI" w:eastAsia="Nirmala UI" w:cs="Nirmala UI"/>
        </w:rPr>
        <w:t>நேரத்திற்குக்கூட</w:t>
      </w:r>
      <w:r>
        <w:rPr>
          <w:rFonts w:ascii="Times New Roman" w:hAnsi="Times New Roman" w:eastAsia="Times New Roman" w:cs="Times New Roman"/>
        </w:rPr>
        <w:t xml:space="preserve"> </w:t>
      </w:r>
      <w:r>
        <w:rPr>
          <w:rFonts w:ascii="Nirmala UI" w:hAnsi="Nirmala UI" w:eastAsia="Nirmala UI" w:cs="Nirmala UI"/>
        </w:rPr>
        <w:t>தங்களைத்</w:t>
      </w:r>
      <w:r>
        <w:rPr>
          <w:rFonts w:ascii="Times New Roman" w:hAnsi="Times New Roman" w:eastAsia="Times New Roman" w:cs="Times New Roman"/>
        </w:rPr>
        <w:t xml:space="preserve"> </w:t>
      </w:r>
      <w:r>
        <w:rPr>
          <w:rFonts w:ascii="Nirmala UI" w:hAnsi="Nirmala UI" w:eastAsia="Nirmala UI" w:cs="Nirmala UI"/>
        </w:rPr>
        <w:t>தாமே</w:t>
      </w:r>
      <w:r>
        <w:rPr>
          <w:rFonts w:ascii="Times New Roman" w:hAnsi="Times New Roman" w:eastAsia="Times New Roman" w:cs="Times New Roman"/>
        </w:rPr>
        <w:t xml:space="preserve"> </w:t>
      </w:r>
      <w:r>
        <w:rPr>
          <w:rFonts w:ascii="Nirmala UI" w:hAnsi="Nirmala UI" w:eastAsia="Nirmala UI" w:cs="Nirmala UI"/>
        </w:rPr>
        <w:t>பாராட்டுதலோடு</w:t>
      </w:r>
      <w:r>
        <w:rPr>
          <w:rFonts w:ascii="Times New Roman" w:hAnsi="Times New Roman" w:eastAsia="Times New Roman" w:cs="Times New Roman"/>
        </w:rPr>
        <w:t xml:space="preserve"> </w:t>
      </w:r>
      <w:r>
        <w:rPr>
          <w:rFonts w:ascii="Nirmala UI" w:hAnsi="Nirmala UI" w:eastAsia="Nirmala UI" w:cs="Nirmala UI"/>
        </w:rPr>
        <w:t>நோக்குவதில்லை</w:t>
      </w:r>
      <w:r>
        <w:rPr>
          <w:rFonts w:ascii="Times New Roman" w:hAnsi="Times New Roman" w:eastAsia="Times New Roman" w:cs="Times New Roman"/>
        </w:rPr>
        <w:t xml:space="preserve">. </w:t>
      </w:r>
      <w:r>
        <w:rPr>
          <w:rFonts w:ascii="Nirmala UI" w:hAnsi="Nirmala UI" w:eastAsia="Nirmala UI" w:cs="Nirmala UI"/>
        </w:rPr>
        <w:t>அவர்களுடைய</w:t>
      </w:r>
      <w:r>
        <w:rPr>
          <w:rFonts w:ascii="Times New Roman" w:hAnsi="Times New Roman" w:eastAsia="Times New Roman" w:cs="Times New Roman"/>
        </w:rPr>
        <w:t xml:space="preserve"> </w:t>
      </w:r>
      <w:r>
        <w:rPr>
          <w:rFonts w:ascii="Nirmala UI" w:hAnsi="Nirmala UI" w:eastAsia="Nirmala UI" w:cs="Nirmala UI"/>
        </w:rPr>
        <w:t>ஸ்தோத்திரம்</w:t>
      </w:r>
      <w:r>
        <w:rPr>
          <w:rFonts w:ascii="Times New Roman" w:hAnsi="Times New Roman" w:eastAsia="Times New Roman" w:cs="Times New Roman"/>
        </w:rPr>
        <w:t xml:space="preserve"> </w:t>
      </w:r>
      <w:r>
        <w:rPr>
          <w:rFonts w:ascii="Nirmala UI" w:hAnsi="Nirmala UI" w:eastAsia="Nirmala UI" w:cs="Nirmala UI"/>
        </w:rPr>
        <w:t>சேனைகளின்</w:t>
      </w:r>
      <w:r>
        <w:rPr>
          <w:rFonts w:ascii="Times New Roman" w:hAnsi="Times New Roman" w:eastAsia="Times New Roman" w:cs="Times New Roman"/>
        </w:rPr>
        <w:t xml:space="preserve"> </w:t>
      </w:r>
      <w:r>
        <w:rPr>
          <w:rFonts w:ascii="Nirmala UI" w:hAnsi="Nirmala UI" w:eastAsia="Nirmala UI" w:cs="Nirmala UI"/>
        </w:rPr>
        <w:t>கர்த்தருக்கே</w:t>
      </w:r>
      <w:r>
        <w:rPr>
          <w:rFonts w:ascii="Times New Roman" w:hAnsi="Times New Roman" w:eastAsia="Times New Roman" w:cs="Times New Roman"/>
        </w:rPr>
        <w:t xml:space="preserve"> </w:t>
      </w:r>
      <w:r>
        <w:rPr>
          <w:rFonts w:ascii="Nirmala UI" w:hAnsi="Nirmala UI" w:eastAsia="Nirmala UI" w:cs="Nirmala UI"/>
        </w:rPr>
        <w:t>உரியது</w:t>
      </w:r>
      <w:r>
        <w:rPr>
          <w:rFonts w:ascii="Times New Roman" w:hAnsi="Times New Roman" w:eastAsia="Times New Roman" w:cs="Times New Roman"/>
        </w:rPr>
        <w:t xml:space="preserve">. </w:t>
      </w:r>
      <w:r>
        <w:rPr>
          <w:rFonts w:ascii="Nirmala UI" w:hAnsi="Nirmala UI" w:eastAsia="Nirmala UI" w:cs="Nirmala UI"/>
        </w:rPr>
        <w:t>முழு</w:t>
      </w:r>
      <w:r>
        <w:rPr>
          <w:rFonts w:ascii="Times New Roman" w:hAnsi="Times New Roman" w:eastAsia="Times New Roman" w:cs="Times New Roman"/>
        </w:rPr>
        <w:t xml:space="preserve"> </w:t>
      </w:r>
      <w:r>
        <w:rPr>
          <w:rFonts w:ascii="Nirmala UI" w:hAnsi="Nirmala UI" w:eastAsia="Nirmala UI" w:cs="Nirmala UI"/>
        </w:rPr>
        <w:t>பூமியும்</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மகிமையால்</w:t>
      </w:r>
      <w:r>
        <w:rPr>
          <w:rFonts w:ascii="Times New Roman" w:hAnsi="Times New Roman" w:eastAsia="Times New Roman" w:cs="Times New Roman"/>
        </w:rPr>
        <w:t xml:space="preserve"> </w:t>
      </w:r>
      <w:r>
        <w:rPr>
          <w:rFonts w:ascii="Nirmala UI" w:hAnsi="Nirmala UI" w:eastAsia="Nirmala UI" w:cs="Nirmala UI"/>
        </w:rPr>
        <w:t>நிரம்பும்</w:t>
      </w:r>
      <w:r>
        <w:rPr>
          <w:rFonts w:ascii="Times New Roman" w:hAnsi="Times New Roman" w:eastAsia="Times New Roman" w:cs="Times New Roman"/>
        </w:rPr>
        <w:t xml:space="preserve"> </w:t>
      </w:r>
      <w:r>
        <w:rPr>
          <w:rFonts w:ascii="Nirmala UI" w:hAnsi="Nirmala UI" w:eastAsia="Nirmala UI" w:cs="Nirmala UI"/>
        </w:rPr>
        <w:t>எதிர்காலத்தை</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நோக்கும்போது</w:t>
      </w:r>
      <w:r>
        <w:rPr>
          <w:rFonts w:ascii="Times New Roman" w:hAnsi="Times New Roman" w:eastAsia="Times New Roman" w:cs="Times New Roman"/>
        </w:rPr>
        <w:t xml:space="preserve">, </w:t>
      </w:r>
      <w:r>
        <w:rPr>
          <w:rFonts w:ascii="Nirmala UI" w:hAnsi="Nirmala UI" w:eastAsia="Nirmala UI" w:cs="Nirmala UI"/>
        </w:rPr>
        <w:t>வெற்றிகரமான</w:t>
      </w:r>
      <w:r>
        <w:rPr>
          <w:rFonts w:ascii="Times New Roman" w:hAnsi="Times New Roman" w:eastAsia="Times New Roman" w:cs="Times New Roman"/>
        </w:rPr>
        <w:t xml:space="preserve"> </w:t>
      </w:r>
      <w:r>
        <w:rPr>
          <w:rFonts w:ascii="Nirmala UI" w:hAnsi="Nirmala UI" w:eastAsia="Nirmala UI" w:cs="Nirmala UI"/>
        </w:rPr>
        <w:t>அந்தப்</w:t>
      </w:r>
      <w:r>
        <w:rPr>
          <w:rFonts w:ascii="Times New Roman" w:hAnsi="Times New Roman" w:eastAsia="Times New Roman" w:cs="Times New Roman"/>
        </w:rPr>
        <w:t xml:space="preserve"> </w:t>
      </w:r>
      <w:r>
        <w:rPr>
          <w:rFonts w:ascii="Nirmala UI" w:hAnsi="Nirmala UI" w:eastAsia="Nirmala UI" w:cs="Nirmala UI"/>
        </w:rPr>
        <w:t>பாடல்</w:t>
      </w:r>
      <w:r>
        <w:rPr>
          <w:rFonts w:ascii="Times New Roman" w:hAnsi="Times New Roman" w:eastAsia="Times New Roman" w:cs="Times New Roman"/>
        </w:rPr>
        <w:t xml:space="preserve"> </w:t>
      </w:r>
      <w:r>
        <w:rPr>
          <w:rFonts w:ascii="Nirmala UI" w:hAnsi="Nirmala UI" w:eastAsia="Nirmala UI" w:cs="Nirmala UI"/>
        </w:rPr>
        <w:t>இனிய</w:t>
      </w:r>
      <w:r>
        <w:rPr>
          <w:rFonts w:ascii="Times New Roman" w:hAnsi="Times New Roman" w:eastAsia="Times New Roman" w:cs="Times New Roman"/>
        </w:rPr>
        <w:t xml:space="preserve"> </w:t>
      </w:r>
      <w:r>
        <w:rPr>
          <w:rFonts w:ascii="Nirmala UI" w:hAnsi="Nirmala UI" w:eastAsia="Nirmala UI" w:cs="Nirmala UI"/>
        </w:rPr>
        <w:t>இசைநயமுள்ள</w:t>
      </w:r>
      <w:r>
        <w:rPr>
          <w:rFonts w:ascii="Times New Roman" w:hAnsi="Times New Roman" w:eastAsia="Times New Roman" w:cs="Times New Roman"/>
        </w:rPr>
        <w:t xml:space="preserve"> </w:t>
      </w:r>
      <w:r>
        <w:rPr>
          <w:rFonts w:ascii="Nirmala UI" w:hAnsi="Nirmala UI" w:eastAsia="Nirmala UI" w:cs="Nirmala UI"/>
        </w:rPr>
        <w:t>கீதமாக</w:t>
      </w:r>
      <w:r>
        <w:rPr>
          <w:rFonts w:ascii="Times New Roman" w:hAnsi="Times New Roman" w:eastAsia="Times New Roman" w:cs="Times New Roman"/>
        </w:rPr>
        <w:t xml:space="preserve"> </w:t>
      </w:r>
      <w:r>
        <w:rPr>
          <w:rFonts w:ascii="Nirmala UI" w:hAnsi="Nirmala UI" w:eastAsia="Nirmala UI" w:cs="Nirmala UI"/>
        </w:rPr>
        <w:t>ஒருவரிடமிருந்து</w:t>
      </w:r>
      <w:r>
        <w:rPr>
          <w:rFonts w:ascii="Times New Roman" w:hAnsi="Times New Roman" w:eastAsia="Times New Roman" w:cs="Times New Roman"/>
        </w:rPr>
        <w:t xml:space="preserve"> </w:t>
      </w:r>
      <w:r>
        <w:rPr>
          <w:rFonts w:ascii="Nirmala UI" w:hAnsi="Nirmala UI" w:eastAsia="Nirmala UI" w:cs="Nirmala UI"/>
        </w:rPr>
        <w:t>மற்றொருவருக்குப்</w:t>
      </w:r>
      <w:r>
        <w:rPr>
          <w:rFonts w:ascii="Times New Roman" w:hAnsi="Times New Roman" w:eastAsia="Times New Roman" w:cs="Times New Roman"/>
        </w:rPr>
        <w:t xml:space="preserve"> </w:t>
      </w:r>
      <w:r>
        <w:rPr>
          <w:rFonts w:ascii="Nirmala UI" w:hAnsi="Nirmala UI" w:eastAsia="Nirmala UI" w:cs="Nirmala UI"/>
        </w:rPr>
        <w:t>பிரதித்வனிக்கிறது</w:t>
      </w:r>
      <w:r>
        <w:rPr>
          <w:rFonts w:ascii="Times New Roman" w:hAnsi="Times New Roman" w:eastAsia="Times New Roman" w:cs="Times New Roman"/>
        </w:rPr>
        <w:t>: ‘</w:t>
      </w:r>
      <w:r>
        <w:rPr>
          <w:rFonts w:ascii="Nirmala UI" w:hAnsi="Nirmala UI" w:eastAsia="Nirmala UI" w:cs="Nirmala UI"/>
        </w:rPr>
        <w:t>பரிசுத்தர்</w:t>
      </w:r>
      <w:r>
        <w:rPr>
          <w:rFonts w:ascii="Times New Roman" w:hAnsi="Times New Roman" w:eastAsia="Times New Roman" w:cs="Times New Roman"/>
        </w:rPr>
        <w:t xml:space="preserve">, </w:t>
      </w:r>
      <w:r>
        <w:rPr>
          <w:rFonts w:ascii="Nirmala UI" w:hAnsi="Nirmala UI" w:eastAsia="Nirmala UI" w:cs="Nirmala UI"/>
        </w:rPr>
        <w:t>பரிசுத்தர்</w:t>
      </w:r>
      <w:r>
        <w:rPr>
          <w:rFonts w:ascii="Times New Roman" w:hAnsi="Times New Roman" w:eastAsia="Times New Roman" w:cs="Times New Roman"/>
        </w:rPr>
        <w:t xml:space="preserve">, </w:t>
      </w:r>
      <w:r>
        <w:rPr>
          <w:rFonts w:ascii="Nirmala UI" w:hAnsi="Nirmala UI" w:eastAsia="Nirmala UI" w:cs="Nirmala UI"/>
        </w:rPr>
        <w:t>பரிசுத்தர்</w:t>
      </w:r>
      <w:r>
        <w:rPr>
          <w:rFonts w:ascii="Times New Roman" w:hAnsi="Times New Roman" w:eastAsia="Times New Roman" w:cs="Times New Roman"/>
        </w:rPr>
        <w:t xml:space="preserve">, </w:t>
      </w:r>
      <w:r>
        <w:rPr>
          <w:rFonts w:ascii="Nirmala UI" w:hAnsi="Nirmala UI" w:eastAsia="Nirmala UI" w:cs="Nirmala UI"/>
        </w:rPr>
        <w:t>சேனைகளின்</w:t>
      </w:r>
      <w:r>
        <w:rPr>
          <w:rFonts w:ascii="Times New Roman" w:hAnsi="Times New Roman" w:eastAsia="Times New Roman" w:cs="Times New Roman"/>
        </w:rPr>
        <w:t xml:space="preserve"> </w:t>
      </w:r>
      <w:r>
        <w:rPr>
          <w:rFonts w:ascii="Nirmala UI" w:hAnsi="Nirmala UI" w:eastAsia="Nirmala UI" w:cs="Nirmala UI"/>
        </w:rPr>
        <w:t>கர்த்தர்</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மகிமைப்படுத்துவதிலேயே</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முழுமையாகத்</w:t>
      </w:r>
      <w:r>
        <w:rPr>
          <w:rFonts w:ascii="Times New Roman" w:hAnsi="Times New Roman" w:eastAsia="Times New Roman" w:cs="Times New Roman"/>
        </w:rPr>
        <w:t xml:space="preserve"> </w:t>
      </w:r>
      <w:r>
        <w:rPr>
          <w:rFonts w:ascii="Nirmala UI" w:hAnsi="Nirmala UI" w:eastAsia="Nirmala UI" w:cs="Nirmala UI"/>
        </w:rPr>
        <w:t>திருப்தியடைந்திருக்கிறார்கள்</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சந்நிதியில்</w:t>
      </w:r>
      <w:r>
        <w:rPr>
          <w:rFonts w:ascii="Times New Roman" w:hAnsi="Times New Roman" w:eastAsia="Times New Roman" w:cs="Times New Roman"/>
        </w:rPr>
        <w:t xml:space="preserve"> </w:t>
      </w:r>
      <w:r>
        <w:rPr>
          <w:rFonts w:ascii="Nirmala UI" w:hAnsi="Nirmala UI" w:eastAsia="Nirmala UI" w:cs="Nirmala UI"/>
        </w:rPr>
        <w:t>தங்கி</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அங்கீகாரப்</w:t>
      </w:r>
      <w:r>
        <w:rPr>
          <w:rFonts w:ascii="Times New Roman" w:hAnsi="Times New Roman" w:eastAsia="Times New Roman" w:cs="Times New Roman"/>
        </w:rPr>
        <w:t xml:space="preserve"> </w:t>
      </w:r>
      <w:r>
        <w:rPr>
          <w:rFonts w:ascii="Nirmala UI" w:hAnsi="Nirmala UI" w:eastAsia="Nirmala UI" w:cs="Nirmala UI"/>
        </w:rPr>
        <w:t>புன்முறுவலின்</w:t>
      </w:r>
      <w:r>
        <w:rPr>
          <w:rFonts w:ascii="Times New Roman" w:hAnsi="Times New Roman" w:eastAsia="Times New Roman" w:cs="Times New Roman"/>
        </w:rPr>
        <w:t xml:space="preserve"> </w:t>
      </w:r>
      <w:r>
        <w:rPr>
          <w:rFonts w:ascii="Nirmala UI" w:hAnsi="Nirmala UI" w:eastAsia="Nirmala UI" w:cs="Nirmala UI"/>
        </w:rPr>
        <w:t>கீழ்</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அதற்கு</w:t>
      </w:r>
      <w:r>
        <w:rPr>
          <w:rFonts w:ascii="Times New Roman" w:hAnsi="Times New Roman" w:eastAsia="Times New Roman" w:cs="Times New Roman"/>
        </w:rPr>
        <w:t xml:space="preserve"> </w:t>
      </w:r>
      <w:r>
        <w:rPr>
          <w:rFonts w:ascii="Nirmala UI" w:hAnsi="Nirmala UI" w:eastAsia="Nirmala UI" w:cs="Nirmala UI"/>
        </w:rPr>
        <w:t>மேலாக</w:t>
      </w:r>
      <w:r>
        <w:rPr>
          <w:rFonts w:ascii="Times New Roman" w:hAnsi="Times New Roman" w:eastAsia="Times New Roman" w:cs="Times New Roman"/>
        </w:rPr>
        <w:t xml:space="preserve"> </w:t>
      </w:r>
      <w:r>
        <w:rPr>
          <w:rFonts w:ascii="Nirmala UI" w:hAnsi="Nirmala UI" w:eastAsia="Nirmala UI" w:cs="Nirmala UI"/>
        </w:rPr>
        <w:t>எதையும்</w:t>
      </w:r>
      <w:r>
        <w:rPr>
          <w:rFonts w:ascii="Times New Roman" w:hAnsi="Times New Roman" w:eastAsia="Times New Roman" w:cs="Times New Roman"/>
        </w:rPr>
        <w:t xml:space="preserve"> </w:t>
      </w:r>
      <w:r>
        <w:rPr>
          <w:rFonts w:ascii="Nirmala UI" w:hAnsi="Nirmala UI" w:eastAsia="Nirmala UI" w:cs="Nirmala UI"/>
        </w:rPr>
        <w:t>விரும்புவதில்லை</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சாயலைத்</w:t>
      </w:r>
      <w:r>
        <w:rPr>
          <w:rFonts w:ascii="Times New Roman" w:hAnsi="Times New Roman" w:eastAsia="Times New Roman" w:cs="Times New Roman"/>
        </w:rPr>
        <w:t xml:space="preserve"> </w:t>
      </w:r>
      <w:r>
        <w:rPr>
          <w:rFonts w:ascii="Nirmala UI" w:hAnsi="Nirmala UI" w:eastAsia="Nirmala UI" w:cs="Nirmala UI"/>
        </w:rPr>
        <w:t>தரித்திருப்பதிலும்</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சித்தத்தின்படி</w:t>
      </w:r>
      <w:r>
        <w:rPr>
          <w:rFonts w:ascii="Times New Roman" w:hAnsi="Times New Roman" w:eastAsia="Times New Roman" w:cs="Times New Roman"/>
        </w:rPr>
        <w:t xml:space="preserve"> </w:t>
      </w:r>
      <w:r>
        <w:rPr>
          <w:rFonts w:ascii="Nirmala UI" w:hAnsi="Nirmala UI" w:eastAsia="Nirmala UI" w:cs="Nirmala UI"/>
        </w:rPr>
        <w:t>செய்வதிலும்</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வணங்குவதிலும்</w:t>
      </w:r>
      <w:r>
        <w:rPr>
          <w:rFonts w:ascii="Times New Roman" w:hAnsi="Times New Roman" w:eastAsia="Times New Roman" w:cs="Times New Roman"/>
        </w:rPr>
        <w:t xml:space="preserve">, </w:t>
      </w:r>
      <w:r>
        <w:rPr>
          <w:rFonts w:ascii="Nirmala UI" w:hAnsi="Nirmala UI" w:eastAsia="Nirmala UI" w:cs="Nirmala UI"/>
        </w:rPr>
        <w:t>அவர்களுடைய</w:t>
      </w:r>
      <w:r>
        <w:rPr>
          <w:rFonts w:ascii="Times New Roman" w:hAnsi="Times New Roman" w:eastAsia="Times New Roman" w:cs="Times New Roman"/>
        </w:rPr>
        <w:t xml:space="preserve"> </w:t>
      </w:r>
      <w:r>
        <w:rPr>
          <w:rFonts w:ascii="Nirmala UI" w:hAnsi="Nirmala UI" w:eastAsia="Nirmala UI" w:cs="Nirmala UI"/>
        </w:rPr>
        <w:t>உயர்ந்த</w:t>
      </w:r>
      <w:r>
        <w:rPr>
          <w:rFonts w:ascii="Times New Roman" w:hAnsi="Times New Roman" w:eastAsia="Times New Roman" w:cs="Times New Roman"/>
        </w:rPr>
        <w:t xml:space="preserve"> </w:t>
      </w:r>
      <w:r>
        <w:rPr>
          <w:rFonts w:ascii="Nirmala UI" w:hAnsi="Nirmala UI" w:eastAsia="Nirmala UI" w:cs="Nirmala UI"/>
        </w:rPr>
        <w:t>பேராவல்</w:t>
      </w:r>
      <w:r>
        <w:rPr>
          <w:rFonts w:ascii="Times New Roman" w:hAnsi="Times New Roman" w:eastAsia="Times New Roman" w:cs="Times New Roman"/>
        </w:rPr>
        <w:t xml:space="preserve"> </w:t>
      </w:r>
      <w:r>
        <w:rPr>
          <w:rFonts w:ascii="Nirmala UI" w:hAnsi="Nirmala UI" w:eastAsia="Nirmala UI" w:cs="Nirmala UI"/>
        </w:rPr>
        <w:t>நிறைவேறியுள்ளது</w:t>
      </w:r>
      <w:r>
        <w:rPr>
          <w:rFonts w:ascii="Times New Roman" w:hAnsi="Times New Roman" w:eastAsia="Times New Roman" w:cs="Times New Roman"/>
        </w:rPr>
        <w:t>." Gospel Workers, 21.</w:t>
      </w:r>
    </w:p>
    <w:p>
      <w:pPr>
        <w:pStyle w:val="ArticleBody"/>
        <w:jc w:val="left"/>
      </w:pPr>
      <w:r>
        <w:rPr>
          <w:rFonts w:ascii="Times New Roman" w:hAnsi="Times New Roman" w:eastAsia="Times New Roman" w:cs="Times New Roman"/>
        </w:rPr>
        <w:t>N’ịdakọrịrị na Aịzaya, e nyerekwa onye-amụma Ịzikiel ohere ịhụ n’ime Ebe Kachasị Nsọ. Ọhụụ Ịzikiel malitere n’isi nke mbụ, amaokwu nke mbụ.</w:t>
      </w:r>
    </w:p>
    <w:p>
      <w:pPr>
        <w:pStyle w:val="ArticleScripture"/>
        <w:jc w:val="left"/>
      </w:pPr>
      <w:r>
        <w:rPr>
          <w:rFonts w:ascii="Times New Roman" w:hAnsi="Times New Roman" w:eastAsia="Times New Roman" w:cs="Times New Roman"/>
        </w:rPr>
        <w:t>Et advint, en la trentiesme annee, al quart mois, al cinquiesme jour del mois, cum jeo estoie entre les captifs pres del flum de Chebar, que les ciels furent overts, et jeo vi visions de Dieu. Ezekiel 1:1.</w:t>
      </w:r>
    </w:p>
    <w:p>
      <w:pPr>
        <w:pStyle w:val="ArticleBody"/>
        <w:jc w:val="left"/>
      </w:pPr>
      <w:r>
        <w:rPr>
          <w:rFonts w:ascii="Times New Roman" w:hAnsi="Times New Roman" w:eastAsia="Times New Roman" w:cs="Times New Roman"/>
        </w:rPr>
        <w:t>Son vision se poursuit pendant plusieurs chapitres, et elle constitue la continuation de la même vision des chapitres huit et neuf, laquelle identifie le scellement des cent quarante-quatre mille. Nous le savons par son témoignage attentif.</w:t>
      </w:r>
    </w:p>
    <w:p>
      <w:pPr>
        <w:pStyle w:val="ArticleScripture"/>
        <w:jc w:val="left"/>
      </w:pPr>
      <w:r>
        <w:rPr>
          <w:rFonts w:ascii="Times New Roman" w:hAnsi="Times New Roman" w:eastAsia="Times New Roman" w:cs="Times New Roman"/>
        </w:rPr>
        <w:t>Y sucedió en el sexto año, en el mes sexto, a los cinco días del mes, estando yo sentado en mi casa, y sentados delante de mí los ancianos de Judá, que allí cayó sobre mí la mano del Señor Dios. Entonces miré, y he aquí una figura que parecía de fuego: desde lo que parecían sus lomos hacia abajo, fuego; y desde sus lomos hacia arriba, como apariencia de resplandor, semejante al color del ámbar. Y extendió la forma de una mano, y me tomó por un mechón de mi cabeza; y el espíritu me alzó entre la tierra y el cielo, y me llevó en visiones de Dios a Jerusalén, a la entrada de la puerta interior que mira hacia el norte; donde estaba el asiento de la imagen de los celos, la que provoca a celos. Y he aquí, la gloria del Dios de Israel estaba allí, conforme a la visión que yo había visto en la llanura. Ezequiel 8:1–4.</w:t>
      </w:r>
    </w:p>
    <w:p>
      <w:pPr>
        <w:pStyle w:val="ArticleBody"/>
        <w:jc w:val="left"/>
      </w:pPr>
      <w:r>
        <w:rPr>
          <w:rFonts w:ascii="Times New Roman" w:hAnsi="Times New Roman" w:eastAsia="Times New Roman" w:cs="Times New Roman"/>
        </w:rPr>
        <w:t>Lemono la sura ya munani na tisa, ambalo hutambulisha makundi mawili yanayoundwa wakati wa kutiwa muhuri kwa wale mia moja arobaini na nne elfu, lilikuwa, “kulingana na maono yale ambayo” Ezekieli alikuwa ameona “uwandani.” Maono aliyoyaona uwandani yanatambulishwa katika sura ya tatu.</w:t>
      </w:r>
    </w:p>
    <w:p>
      <w:pPr>
        <w:pStyle w:val="ArticleScripture"/>
        <w:jc w:val="left"/>
      </w:pPr>
      <w:r>
        <w:rPr>
          <w:rFonts w:ascii="Times New Roman" w:hAnsi="Times New Roman" w:eastAsia="Times New Roman" w:cs="Times New Roman"/>
        </w:rPr>
        <w:t>Ja ruka Gospodnja bijaše ondje na meni; i reče mi: Ustani, iziđi u ravnicu, i ondje ću govoriti s tobom. Tada ustah i iziđoh u ravnicu; i gle, slava Gospodnja stajaše ondje, kao slava koju vidjeh kraj rijeke Kebara; i padoh ničice. Ezekiel 3:22, 23.</w:t>
      </w:r>
    </w:p>
    <w:p>
      <w:pPr>
        <w:pStyle w:val="ArticleBody"/>
        <w:jc w:val="left"/>
      </w:pPr>
      <w:r>
        <w:rPr>
          <w:rFonts w:ascii="Nirmala UI" w:hAnsi="Nirmala UI" w:eastAsia="Nirmala UI" w:cs="Nirmala UI"/>
        </w:rPr>
        <w:t>తట్టు</w:t>
      </w:r>
      <w:r>
        <w:rPr>
          <w:rFonts w:ascii="Times New Roman" w:hAnsi="Times New Roman" w:eastAsia="Times New Roman" w:cs="Times New Roman"/>
        </w:rPr>
        <w:t xml:space="preserve"> </w:t>
      </w:r>
      <w:r>
        <w:rPr>
          <w:rFonts w:ascii="Nirmala UI" w:hAnsi="Nirmala UI" w:eastAsia="Nirmala UI" w:cs="Nirmala UI"/>
        </w:rPr>
        <w:t>స్థలమునకు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యెహెజ్కేలు</w:t>
      </w:r>
      <w:r>
        <w:rPr>
          <w:rFonts w:ascii="Times New Roman" w:hAnsi="Times New Roman" w:eastAsia="Times New Roman" w:cs="Times New Roman"/>
        </w:rPr>
        <w:t xml:space="preserve"> </w:t>
      </w:r>
      <w:r>
        <w:rPr>
          <w:rFonts w:ascii="Nirmala UI" w:hAnsi="Nirmala UI" w:eastAsia="Nirmala UI" w:cs="Nirmala UI"/>
        </w:rPr>
        <w:t>దర్శనం</w:t>
      </w:r>
      <w:r>
        <w:rPr>
          <w:rFonts w:ascii="Times New Roman" w:hAnsi="Times New Roman" w:eastAsia="Times New Roman" w:cs="Times New Roman"/>
        </w:rPr>
        <w:t xml:space="preserve">, </w:t>
      </w:r>
      <w:r>
        <w:rPr>
          <w:rFonts w:ascii="Nirmala UI" w:hAnsi="Nirmala UI" w:eastAsia="Nirmala UI" w:cs="Nirmala UI"/>
        </w:rPr>
        <w:t>యెహెజ్కేలు</w:t>
      </w:r>
      <w:r>
        <w:rPr>
          <w:rFonts w:ascii="Times New Roman" w:hAnsi="Times New Roman" w:eastAsia="Times New Roman" w:cs="Times New Roman"/>
        </w:rPr>
        <w:t xml:space="preserve"> “</w:t>
      </w:r>
      <w:r>
        <w:rPr>
          <w:rFonts w:ascii="Nirmala UI" w:hAnsi="Nirmala UI" w:eastAsia="Nirmala UI" w:cs="Nirmala UI"/>
        </w:rPr>
        <w:t>కెబారు</w:t>
      </w:r>
      <w:r>
        <w:rPr>
          <w:rFonts w:ascii="Times New Roman" w:hAnsi="Times New Roman" w:eastAsia="Times New Roman" w:cs="Times New Roman"/>
        </w:rPr>
        <w:t xml:space="preserve"> </w:t>
      </w:r>
      <w:r>
        <w:rPr>
          <w:rFonts w:ascii="Nirmala UI" w:hAnsi="Nirmala UI" w:eastAsia="Nirmala UI" w:cs="Nirmala UI"/>
        </w:rPr>
        <w:t>నదియొద్ద</w:t>
      </w:r>
      <w:r>
        <w:rPr>
          <w:rFonts w:ascii="Times New Roman" w:hAnsi="Times New Roman" w:eastAsia="Times New Roman" w:cs="Times New Roman"/>
        </w:rPr>
        <w:t xml:space="preserve"> </w:t>
      </w:r>
      <w:r>
        <w:rPr>
          <w:rFonts w:ascii="Nirmala UI" w:hAnsi="Nirmala UI" w:eastAsia="Nirmala UI" w:cs="Nirmala UI"/>
        </w:rPr>
        <w:t>చూచిన</w:t>
      </w:r>
      <w:r>
        <w:rPr>
          <w:rFonts w:ascii="Times New Roman" w:hAnsi="Times New Roman" w:eastAsia="Times New Roman" w:cs="Times New Roman"/>
        </w:rPr>
        <w:t xml:space="preserve"> </w:t>
      </w:r>
      <w:r>
        <w:rPr>
          <w:rFonts w:ascii="Nirmala UI" w:hAnsi="Nirmala UI" w:eastAsia="Nirmala UI" w:cs="Nirmala UI"/>
        </w:rPr>
        <w:t>మహిమవలె</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అధ్యాయం</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వచనంలోని</w:t>
      </w:r>
      <w:r>
        <w:rPr>
          <w:rFonts w:ascii="Times New Roman" w:hAnsi="Times New Roman" w:eastAsia="Times New Roman" w:cs="Times New Roman"/>
        </w:rPr>
        <w:t xml:space="preserve"> </w:t>
      </w:r>
      <w:r>
        <w:rPr>
          <w:rFonts w:ascii="Nirmala UI" w:hAnsi="Nirmala UI" w:eastAsia="Nirmala UI" w:cs="Nirmala UI"/>
        </w:rPr>
        <w:t>దర్శనమే</w:t>
      </w:r>
      <w:r>
        <w:rPr>
          <w:rFonts w:ascii="Times New Roman" w:hAnsi="Times New Roman" w:eastAsia="Times New Roman" w:cs="Times New Roman"/>
        </w:rPr>
        <w:t xml:space="preserve">. </w:t>
      </w:r>
      <w:r>
        <w:rPr>
          <w:rFonts w:ascii="Nirmala UI" w:hAnsi="Nirmala UI" w:eastAsia="Nirmala UI" w:cs="Nirmala UI"/>
        </w:rPr>
        <w:t>తొమ్మిదవ</w:t>
      </w:r>
      <w:r>
        <w:rPr>
          <w:rFonts w:ascii="Times New Roman" w:hAnsi="Times New Roman" w:eastAsia="Times New Roman" w:cs="Times New Roman"/>
        </w:rPr>
        <w:t xml:space="preserve"> </w:t>
      </w:r>
      <w:r>
        <w:rPr>
          <w:rFonts w:ascii="Nirmala UI" w:hAnsi="Nirmala UI" w:eastAsia="Nirmala UI" w:cs="Nirmala UI"/>
        </w:rPr>
        <w:t>అధ్యాయములోనున్న</w:t>
      </w:r>
      <w:r>
        <w:rPr>
          <w:rFonts w:ascii="Times New Roman" w:hAnsi="Times New Roman" w:eastAsia="Times New Roman" w:cs="Times New Roman"/>
        </w:rPr>
        <w:t xml:space="preserve"> </w:t>
      </w:r>
      <w:r>
        <w:rPr>
          <w:rFonts w:ascii="Nirmala UI" w:hAnsi="Nirmala UI" w:eastAsia="Nirmala UI" w:cs="Nirmala UI"/>
        </w:rPr>
        <w:t>ముద్రించుటకు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దర్శనమును</w:t>
      </w:r>
      <w:r>
        <w:rPr>
          <w:rFonts w:ascii="Times New Roman" w:hAnsi="Times New Roman" w:eastAsia="Times New Roman" w:cs="Times New Roman"/>
        </w:rPr>
        <w:t>, “</w:t>
      </w:r>
      <w:r>
        <w:rPr>
          <w:rFonts w:ascii="Nirmala UI" w:hAnsi="Nirmala UI" w:eastAsia="Nirmala UI" w:cs="Nirmala UI"/>
        </w:rPr>
        <w:t>తట్టు</w:t>
      </w:r>
      <w:r>
        <w:rPr>
          <w:rFonts w:ascii="Times New Roman" w:hAnsi="Times New Roman" w:eastAsia="Times New Roman" w:cs="Times New Roman"/>
        </w:rPr>
        <w:t xml:space="preserve"> </w:t>
      </w:r>
      <w:r>
        <w:rPr>
          <w:rFonts w:ascii="Nirmala UI" w:hAnsi="Nirmala UI" w:eastAsia="Nirmala UI" w:cs="Nirmala UI"/>
        </w:rPr>
        <w:t>స్థలము</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దర్శనమును</w:t>
      </w:r>
      <w:r>
        <w:rPr>
          <w:rFonts w:ascii="Times New Roman" w:hAnsi="Times New Roman" w:eastAsia="Times New Roman" w:cs="Times New Roman"/>
        </w:rPr>
        <w:t xml:space="preserve">, </w:t>
      </w:r>
      <w:r>
        <w:rPr>
          <w:rFonts w:ascii="Nirmala UI" w:hAnsi="Nirmala UI" w:eastAsia="Nirmala UI" w:cs="Nirmala UI"/>
        </w:rPr>
        <w:t>కెబారు</w:t>
      </w:r>
      <w:r>
        <w:rPr>
          <w:rFonts w:ascii="Times New Roman" w:hAnsi="Times New Roman" w:eastAsia="Times New Roman" w:cs="Times New Roman"/>
        </w:rPr>
        <w:t xml:space="preserve"> </w:t>
      </w:r>
      <w:r>
        <w:rPr>
          <w:rFonts w:ascii="Nirmala UI" w:hAnsi="Nirmala UI" w:eastAsia="Nirmala UI" w:cs="Nirmala UI"/>
        </w:rPr>
        <w:t>నది</w:t>
      </w:r>
      <w:r>
        <w:rPr>
          <w:rFonts w:ascii="Times New Roman" w:hAnsi="Times New Roman" w:eastAsia="Times New Roman" w:cs="Times New Roman"/>
        </w:rPr>
        <w:t xml:space="preserve"> </w:t>
      </w:r>
      <w:r>
        <w:rPr>
          <w:rFonts w:ascii="Nirmala UI" w:hAnsi="Nirmala UI" w:eastAsia="Nirmala UI" w:cs="Nirmala UI"/>
        </w:rPr>
        <w:t>దర్శనమునకు</w:t>
      </w:r>
      <w:r>
        <w:rPr>
          <w:rFonts w:ascii="Times New Roman" w:hAnsi="Times New Roman" w:eastAsia="Times New Roman" w:cs="Times New Roman"/>
        </w:rPr>
        <w:t xml:space="preserve"> </w:t>
      </w:r>
      <w:r>
        <w:rPr>
          <w:rFonts w:ascii="Nirmala UI" w:hAnsi="Nirmala UI" w:eastAsia="Nirmala UI" w:cs="Nirmala UI"/>
        </w:rPr>
        <w:t>కేవలం</w:t>
      </w:r>
      <w:r>
        <w:rPr>
          <w:rFonts w:ascii="Times New Roman" w:hAnsi="Times New Roman" w:eastAsia="Times New Roman" w:cs="Times New Roman"/>
        </w:rPr>
        <w:t xml:space="preserve"> </w:t>
      </w:r>
      <w:r>
        <w:rPr>
          <w:rFonts w:ascii="Nirmala UI" w:hAnsi="Nirmala UI" w:eastAsia="Nirmala UI" w:cs="Nirmala UI"/>
        </w:rPr>
        <w:t>కొనసాగింపులేనని</w:t>
      </w:r>
      <w:r>
        <w:rPr>
          <w:rFonts w:ascii="Times New Roman" w:hAnsi="Times New Roman" w:eastAsia="Times New Roman" w:cs="Times New Roman"/>
        </w:rPr>
        <w:t xml:space="preserve"> </w:t>
      </w:r>
      <w:r>
        <w:rPr>
          <w:rFonts w:ascii="Nirmala UI" w:hAnsi="Nirmala UI" w:eastAsia="Nirmala UI" w:cs="Nirmala UI"/>
        </w:rPr>
        <w:t>చెప్పవచ్చు</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నూట</w:t>
      </w:r>
      <w:r>
        <w:rPr>
          <w:rFonts w:ascii="Times New Roman" w:hAnsi="Times New Roman" w:eastAsia="Times New Roman" w:cs="Times New Roman"/>
        </w:rPr>
        <w:t xml:space="preserve"> </w:t>
      </w:r>
      <w:r>
        <w:rPr>
          <w:rFonts w:ascii="Nirmala UI" w:hAnsi="Nirmala UI" w:eastAsia="Nirmala UI" w:cs="Nirmala UI"/>
        </w:rPr>
        <w:t>నలువది</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వేలమందికి</w:t>
      </w:r>
      <w:r>
        <w:rPr>
          <w:rFonts w:ascii="Times New Roman" w:hAnsi="Times New Roman" w:eastAsia="Times New Roman" w:cs="Times New Roman"/>
        </w:rPr>
        <w:t xml:space="preserve"> </w:t>
      </w:r>
      <w:r>
        <w:rPr>
          <w:rFonts w:ascii="Nirmala UI" w:hAnsi="Nirmala UI" w:eastAsia="Nirmala UI" w:cs="Nirmala UI"/>
        </w:rPr>
        <w:t>ముద్ర</w:t>
      </w:r>
      <w:r>
        <w:rPr>
          <w:rFonts w:ascii="Times New Roman" w:hAnsi="Times New Roman" w:eastAsia="Times New Roman" w:cs="Times New Roman"/>
        </w:rPr>
        <w:t xml:space="preserve"> </w:t>
      </w:r>
      <w:r>
        <w:rPr>
          <w:rFonts w:ascii="Nirmala UI" w:hAnsi="Nirmala UI" w:eastAsia="Nirmala UI" w:cs="Nirmala UI"/>
        </w:rPr>
        <w:t>వేయబడుచున్న</w:t>
      </w:r>
      <w:r>
        <w:rPr>
          <w:rFonts w:ascii="Times New Roman" w:hAnsi="Times New Roman" w:eastAsia="Times New Roman" w:cs="Times New Roman"/>
        </w:rPr>
        <w:t xml:space="preserve"> </w:t>
      </w:r>
      <w:r>
        <w:rPr>
          <w:rFonts w:ascii="Nirmala UI" w:hAnsi="Nirmala UI" w:eastAsia="Nirmala UI" w:cs="Nirmala UI"/>
        </w:rPr>
        <w:t>కాలమందు</w:t>
      </w:r>
      <w:r>
        <w:rPr>
          <w:rFonts w:ascii="Times New Roman" w:hAnsi="Times New Roman" w:eastAsia="Times New Roman" w:cs="Times New Roman"/>
        </w:rPr>
        <w:t xml:space="preserve">, </w:t>
      </w:r>
      <w:r>
        <w:rPr>
          <w:rFonts w:ascii="Nirmala UI" w:hAnsi="Nirmala UI" w:eastAsia="Nirmala UI" w:cs="Nirmala UI"/>
        </w:rPr>
        <w:t>అతిపరిశుద్ధ</w:t>
      </w:r>
      <w:r>
        <w:rPr>
          <w:rFonts w:ascii="Times New Roman" w:hAnsi="Times New Roman" w:eastAsia="Times New Roman" w:cs="Times New Roman"/>
        </w:rPr>
        <w:t xml:space="preserve"> </w:t>
      </w:r>
      <w:r>
        <w:rPr>
          <w:rFonts w:ascii="Nirmala UI" w:hAnsi="Nirmala UI" w:eastAsia="Nirmala UI" w:cs="Nirmala UI"/>
        </w:rPr>
        <w:t>స్థలములోనున్న</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మహిమకు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దర్శనమై</w:t>
      </w:r>
      <w:r>
        <w:rPr>
          <w:rFonts w:ascii="Times New Roman" w:hAnsi="Times New Roman" w:eastAsia="Times New Roman" w:cs="Times New Roman"/>
        </w:rPr>
        <w:t xml:space="preserve"> </w:t>
      </w:r>
      <w:r>
        <w:rPr>
          <w:rFonts w:ascii="Nirmala UI" w:hAnsi="Nirmala UI" w:eastAsia="Nirmala UI" w:cs="Nirmala UI"/>
        </w:rPr>
        <w:t>యుండెను</w:t>
      </w:r>
      <w:r>
        <w:rPr>
          <w:rFonts w:ascii="Times New Roman" w:hAnsi="Times New Roman" w:eastAsia="Times New Roman" w:cs="Times New Roman"/>
        </w:rPr>
        <w:t xml:space="preserve">; </w:t>
      </w:r>
      <w:r>
        <w:rPr>
          <w:rFonts w:ascii="Nirmala UI" w:hAnsi="Nirmala UI" w:eastAsia="Nirmala UI" w:cs="Nirmala UI"/>
        </w:rPr>
        <w:t>యెషయా</w:t>
      </w:r>
      <w:r>
        <w:rPr>
          <w:rFonts w:ascii="Times New Roman" w:hAnsi="Times New Roman" w:eastAsia="Times New Roman" w:cs="Times New Roman"/>
        </w:rPr>
        <w:t xml:space="preserve"> </w:t>
      </w:r>
      <w:r>
        <w:rPr>
          <w:rFonts w:ascii="Nirmala UI" w:hAnsi="Nirmala UI" w:eastAsia="Nirmala UI" w:cs="Nirmala UI"/>
        </w:rPr>
        <w:t>దర్శనం</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అట్టిదే</w:t>
      </w:r>
      <w:r>
        <w:rPr>
          <w:rFonts w:ascii="Times New Roman" w:hAnsi="Times New Roman" w:eastAsia="Times New Roman" w:cs="Times New Roman"/>
        </w:rPr>
        <w:t xml:space="preserve">. </w:t>
      </w:r>
      <w:r>
        <w:rPr>
          <w:rFonts w:ascii="Nirmala UI" w:hAnsi="Nirmala UI" w:eastAsia="Nirmala UI" w:cs="Nirmala UI"/>
        </w:rPr>
        <w:t>ముద్రించు</w:t>
      </w:r>
      <w:r>
        <w:rPr>
          <w:rFonts w:ascii="Times New Roman" w:hAnsi="Times New Roman" w:eastAsia="Times New Roman" w:cs="Times New Roman"/>
        </w:rPr>
        <w:t xml:space="preserve"> </w:t>
      </w:r>
      <w:r>
        <w:rPr>
          <w:rFonts w:ascii="Nirmala UI" w:hAnsi="Nirmala UI" w:eastAsia="Nirmala UI" w:cs="Nirmala UI"/>
        </w:rPr>
        <w:t>కాలమందు</w:t>
      </w:r>
      <w:r>
        <w:rPr>
          <w:rFonts w:ascii="Times New Roman" w:hAnsi="Times New Roman" w:eastAsia="Times New Roman" w:cs="Times New Roman"/>
        </w:rPr>
        <w:t xml:space="preserve"> </w:t>
      </w:r>
      <w:r>
        <w:rPr>
          <w:rFonts w:ascii="Nirmala UI" w:hAnsi="Nirmala UI" w:eastAsia="Nirmala UI" w:cs="Nirmala UI"/>
        </w:rPr>
        <w:t>దూతలను</w:t>
      </w:r>
      <w:r>
        <w:rPr>
          <w:rFonts w:ascii="Times New Roman" w:hAnsi="Times New Roman" w:eastAsia="Times New Roman" w:cs="Times New Roman"/>
        </w:rPr>
        <w:t xml:space="preserve"> </w:t>
      </w:r>
      <w:r>
        <w:rPr>
          <w:rFonts w:ascii="Nirmala UI" w:hAnsi="Nirmala UI" w:eastAsia="Nirmala UI" w:cs="Nirmala UI"/>
        </w:rPr>
        <w:t>లేపుచున్న</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కార్యమును</w:t>
      </w:r>
      <w:r>
        <w:rPr>
          <w:rFonts w:ascii="Times New Roman" w:hAnsi="Times New Roman" w:eastAsia="Times New Roman" w:cs="Times New Roman"/>
        </w:rPr>
        <w:t xml:space="preserve"> </w:t>
      </w:r>
      <w:r>
        <w:rPr>
          <w:rFonts w:ascii="Nirmala UI" w:hAnsi="Nirmala UI" w:eastAsia="Nirmala UI" w:cs="Nirmala UI"/>
        </w:rPr>
        <w:t>యెషయా</w:t>
      </w:r>
      <w:r>
        <w:rPr>
          <w:rFonts w:ascii="Times New Roman" w:hAnsi="Times New Roman" w:eastAsia="Times New Roman" w:cs="Times New Roman"/>
        </w:rPr>
        <w:t xml:space="preserve"> </w:t>
      </w:r>
      <w:r>
        <w:rPr>
          <w:rFonts w:ascii="Nirmala UI" w:hAnsi="Nirmala UI" w:eastAsia="Nirmala UI" w:cs="Nirmala UI"/>
        </w:rPr>
        <w:t>దర్శనం</w:t>
      </w:r>
      <w:r>
        <w:rPr>
          <w:rFonts w:ascii="Times New Roman" w:hAnsi="Times New Roman" w:eastAsia="Times New Roman" w:cs="Times New Roman"/>
        </w:rPr>
        <w:t xml:space="preserve"> </w:t>
      </w:r>
      <w:r>
        <w:rPr>
          <w:rFonts w:ascii="Nirmala UI" w:hAnsi="Nirmala UI" w:eastAsia="Nirmala UI" w:cs="Nirmala UI"/>
        </w:rPr>
        <w:t>గుర్తింపజేసెను</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అధ్యాయములలో</w:t>
      </w:r>
      <w:r>
        <w:rPr>
          <w:rFonts w:ascii="Times New Roman" w:hAnsi="Times New Roman" w:eastAsia="Times New Roman" w:cs="Times New Roman"/>
        </w:rPr>
        <w:t xml:space="preserve"> </w:t>
      </w:r>
      <w:r>
        <w:rPr>
          <w:rFonts w:ascii="Nirmala UI" w:hAnsi="Nirmala UI" w:eastAsia="Nirmala UI" w:cs="Nirmala UI"/>
        </w:rPr>
        <w:t>యెహెజ్కేలు</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కార్యమును</w:t>
      </w:r>
      <w:r>
        <w:rPr>
          <w:rFonts w:ascii="Times New Roman" w:hAnsi="Times New Roman" w:eastAsia="Times New Roman" w:cs="Times New Roman"/>
        </w:rPr>
        <w:t xml:space="preserve"> </w:t>
      </w:r>
      <w:r>
        <w:rPr>
          <w:rFonts w:ascii="Nirmala UI" w:hAnsi="Nirmala UI" w:eastAsia="Nirmala UI" w:cs="Nirmala UI"/>
        </w:rPr>
        <w:t>యెషయా</w:t>
      </w:r>
      <w:r>
        <w:rPr>
          <w:rFonts w:ascii="Times New Roman" w:hAnsi="Times New Roman" w:eastAsia="Times New Roman" w:cs="Times New Roman"/>
        </w:rPr>
        <w:t xml:space="preserve"> </w:t>
      </w:r>
      <w:r>
        <w:rPr>
          <w:rFonts w:ascii="Nirmala UI" w:hAnsi="Nirmala UI" w:eastAsia="Nirmala UI" w:cs="Nirmala UI"/>
        </w:rPr>
        <w:t>కంటె</w:t>
      </w:r>
      <w:r>
        <w:rPr>
          <w:rFonts w:ascii="Times New Roman" w:hAnsi="Times New Roman" w:eastAsia="Times New Roman" w:cs="Times New Roman"/>
        </w:rPr>
        <w:t xml:space="preserve"> </w:t>
      </w:r>
      <w:r>
        <w:rPr>
          <w:rFonts w:ascii="Nirmala UI" w:hAnsi="Nirmala UI" w:eastAsia="Nirmala UI" w:cs="Nirmala UI"/>
        </w:rPr>
        <w:t>మరింత</w:t>
      </w:r>
      <w:r>
        <w:rPr>
          <w:rFonts w:ascii="Times New Roman" w:hAnsi="Times New Roman" w:eastAsia="Times New Roman" w:cs="Times New Roman"/>
        </w:rPr>
        <w:t xml:space="preserve"> </w:t>
      </w:r>
      <w:r>
        <w:rPr>
          <w:rFonts w:ascii="Nirmala UI" w:hAnsi="Nirmala UI" w:eastAsia="Nirmala UI" w:cs="Nirmala UI"/>
        </w:rPr>
        <w:t>విశదముగా</w:t>
      </w:r>
      <w:r>
        <w:rPr>
          <w:rFonts w:ascii="Times New Roman" w:hAnsi="Times New Roman" w:eastAsia="Times New Roman" w:cs="Times New Roman"/>
        </w:rPr>
        <w:t xml:space="preserve"> </w:t>
      </w:r>
      <w:r>
        <w:rPr>
          <w:rFonts w:ascii="Nirmala UI" w:hAnsi="Nirmala UI" w:eastAsia="Nirmala UI" w:cs="Nirmala UI"/>
        </w:rPr>
        <w:t>గుర్తించుచున్నాడు</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లావోదికయా</w:t>
      </w:r>
      <w:r>
        <w:rPr>
          <w:rFonts w:ascii="Times New Roman" w:hAnsi="Times New Roman" w:eastAsia="Times New Roman" w:cs="Times New Roman"/>
        </w:rPr>
        <w:t xml:space="preserve"> </w:t>
      </w:r>
      <w:r>
        <w:rPr>
          <w:rFonts w:ascii="Nirmala UI" w:hAnsi="Nirmala UI" w:eastAsia="Nirmala UI" w:cs="Nirmala UI"/>
        </w:rPr>
        <w:t>ఆడ్వెంటిజానికి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సందేశమును</w:t>
      </w:r>
      <w:r>
        <w:rPr>
          <w:rFonts w:ascii="Times New Roman" w:hAnsi="Times New Roman" w:eastAsia="Times New Roman" w:cs="Times New Roman"/>
        </w:rPr>
        <w:t xml:space="preserve"> </w:t>
      </w:r>
      <w:r>
        <w:rPr>
          <w:rFonts w:ascii="Nirmala UI" w:hAnsi="Nirmala UI" w:eastAsia="Nirmala UI" w:cs="Nirmala UI"/>
        </w:rPr>
        <w:t>తీసికొనిపోవలసిన</w:t>
      </w:r>
      <w:r>
        <w:rPr>
          <w:rFonts w:ascii="Times New Roman" w:hAnsi="Times New Roman" w:eastAsia="Times New Roman" w:cs="Times New Roman"/>
        </w:rPr>
        <w:t xml:space="preserve"> </w:t>
      </w:r>
      <w:r>
        <w:rPr>
          <w:rFonts w:ascii="Nirmala UI" w:hAnsi="Nirmala UI" w:eastAsia="Nirmala UI" w:cs="Nirmala UI"/>
        </w:rPr>
        <w:t>దూతను</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చిత్రించుచున్నాడు</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దాటవేయబడుచున్న</w:t>
      </w:r>
      <w:r>
        <w:rPr>
          <w:rFonts w:ascii="Times New Roman" w:hAnsi="Times New Roman" w:eastAsia="Times New Roman" w:cs="Times New Roman"/>
        </w:rPr>
        <w:t xml:space="preserve"> </w:t>
      </w:r>
      <w:r>
        <w:rPr>
          <w:rFonts w:ascii="Nirmala UI" w:hAnsi="Nirmala UI" w:eastAsia="Nirmala UI" w:cs="Nirmala UI"/>
        </w:rPr>
        <w:t>తిరుగుబాటు</w:t>
      </w:r>
      <w:r>
        <w:rPr>
          <w:rFonts w:ascii="Times New Roman" w:hAnsi="Times New Roman" w:eastAsia="Times New Roman" w:cs="Times New Roman"/>
        </w:rPr>
        <w:t xml:space="preserve"> </w:t>
      </w:r>
      <w:r>
        <w:rPr>
          <w:rFonts w:ascii="Nirmala UI" w:hAnsi="Nirmala UI" w:eastAsia="Nirmala UI" w:cs="Nirmala UI"/>
        </w:rPr>
        <w:t>జనులకు</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తీసికొనివెళ్లవలసిన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సందేశమును</w:t>
      </w:r>
      <w:r>
        <w:rPr>
          <w:rFonts w:ascii="Times New Roman" w:hAnsi="Times New Roman" w:eastAsia="Times New Roman" w:cs="Times New Roman"/>
        </w:rPr>
        <w:t xml:space="preserve"> </w:t>
      </w:r>
      <w:r>
        <w:rPr>
          <w:rFonts w:ascii="Nirmala UI" w:hAnsi="Nirmala UI" w:eastAsia="Nirmala UI" w:cs="Nirmala UI"/>
        </w:rPr>
        <w:t>గ్రహించుటకై</w:t>
      </w:r>
      <w:r>
        <w:rPr>
          <w:rFonts w:ascii="Times New Roman" w:hAnsi="Times New Roman" w:eastAsia="Times New Roman" w:cs="Times New Roman"/>
        </w:rPr>
        <w:t xml:space="preserve">, 2001 </w:t>
      </w:r>
      <w:r>
        <w:rPr>
          <w:rFonts w:ascii="Nirmala UI" w:hAnsi="Nirmala UI" w:eastAsia="Nirmala UI" w:cs="Nirmala UI"/>
        </w:rPr>
        <w:t>సెప్టెంబరు</w:t>
      </w:r>
      <w:r>
        <w:rPr>
          <w:rFonts w:ascii="Times New Roman" w:hAnsi="Times New Roman" w:eastAsia="Times New Roman" w:cs="Times New Roman"/>
        </w:rPr>
        <w:t xml:space="preserve"> 11</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దిగివచ్చినప్పుడు</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చేతిలో</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చిన్న</w:t>
      </w:r>
      <w:r>
        <w:rPr>
          <w:rFonts w:ascii="Times New Roman" w:hAnsi="Times New Roman" w:eastAsia="Times New Roman" w:cs="Times New Roman"/>
        </w:rPr>
        <w:t xml:space="preserve"> </w:t>
      </w:r>
      <w:r>
        <w:rPr>
          <w:rFonts w:ascii="Nirmala UI" w:hAnsi="Nirmala UI" w:eastAsia="Nirmala UI" w:cs="Nirmala UI"/>
        </w:rPr>
        <w:t>గ్రంథమును</w:t>
      </w:r>
      <w:r>
        <w:rPr>
          <w:rFonts w:ascii="Times New Roman" w:hAnsi="Times New Roman" w:eastAsia="Times New Roman" w:cs="Times New Roman"/>
        </w:rPr>
        <w:t xml:space="preserve"> </w:t>
      </w:r>
      <w:r>
        <w:rPr>
          <w:rFonts w:ascii="Nirmala UI" w:hAnsi="Nirmala UI" w:eastAsia="Nirmala UI" w:cs="Nirmala UI"/>
        </w:rPr>
        <w:t>తినుమని</w:t>
      </w:r>
      <w:r>
        <w:rPr>
          <w:rFonts w:ascii="Times New Roman" w:hAnsi="Times New Roman" w:eastAsia="Times New Roman" w:cs="Times New Roman"/>
        </w:rPr>
        <w:t xml:space="preserve"> </w:t>
      </w:r>
      <w:r>
        <w:rPr>
          <w:rFonts w:ascii="Nirmala UI" w:hAnsi="Nirmala UI" w:eastAsia="Nirmala UI" w:cs="Nirmala UI"/>
        </w:rPr>
        <w:t>యెహెజ్కేలు</w:t>
      </w:r>
      <w:r>
        <w:rPr>
          <w:rFonts w:ascii="Times New Roman" w:hAnsi="Times New Roman" w:eastAsia="Times New Roman" w:cs="Times New Roman"/>
        </w:rPr>
        <w:t xml:space="preserve"> </w:t>
      </w:r>
      <w:r>
        <w:rPr>
          <w:rFonts w:ascii="Nirmala UI" w:hAnsi="Nirmala UI" w:eastAsia="Nirmala UI" w:cs="Nirmala UI"/>
        </w:rPr>
        <w:t>ఆజ్ఞాపింపబడెను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Pea naʻe pehē mai ia kiate au, Foha ʻo e tangata, kai ʻa ia ʻokú ke maʻu; kai ʻa e takainga tohi ni, pea ʻalu ʻo lea ki he fale ʻo ʻIsileli. Ko ia naʻá ku fakaava hoku ngutu, pea ne ʻai au ke u kai ʻa e takainga tohi ko iá. Pea naʻá ne pehē mai kiate au, Foha ʻo e tangata, tuku ke kai ʻe ho keté, pea fakafonu ho lotó ʻaki ʻa e takainga tohi ko ʻeni ʻoku ou foaki atu kiate koe. Pea naʻá ku kai ia; pea naʻe hangē ia ʻi hoku ngutú ko e honi ʻi hono melie. Pea naʻá ne pehē mai kiate au, Foha ʻo e tangata, ʻalu, ʻalu ki he fale ʻo ʻIsileli, pea lea ʻaki ʻa ʻeku ngaahi lea kiate kinautolu. He ʻoku ʻikai fekauʻi koe ki ha kakai ʻoku kehe ʻa ʻenau lea pea fakamālohi ʻa ʻenau lea, ka ki he fale ʻo ʻIsileli; ʻoku ʻikai ki ha kakai tokolahi ʻoku kehe ʻa ʻenau lea pea fakamālohi ʻa ʻenau lea, ʻa ia ʻoku ʻikai te ke faʻa mahinoʻi ʻenau ngaahi lea. Ko e moʻoni, kapau naʻá ku fekauʻi koe kiate kinautolu, te nau fanongo mai kiate koe. Ka ko e fale ʻo ʻIsileli ʻe ʻikai te nau fanongo mai kiate koe; he ʻe ʻikai te nau fanongo mai kiate au: he ko e fale kotoa ʻo ʻIsileli ʻoku loto mālohi mo taʻeʻulungaanga. Vakai, kuo u ʻai ho mata ke mālohi ʻo fehangahangai mo honau ngaahi mata, pea mo ho laʻe ke mālohi ʻo fehangahangai mo honau ngaahi laʻe. Hangē ko e taimani ʻoku mālohi ange ʻi he maka afi, kuo u ʻai ho laʻe: ʻoua naʻá ke manavahē kiate kinautolu, pea ʻoua naʻá ke ilifia ʻi honau fōtunga, neongo ko ha fale angatuʻu kinautolu. ʻIsikeli 3:1–9.</w:t>
      </w:r>
    </w:p>
    <w:p>
      <w:pPr>
        <w:pStyle w:val="ArticleBody"/>
        <w:jc w:val="left"/>
      </w:pPr>
      <w:r>
        <w:rPr>
          <w:rFonts w:ascii="Times New Roman" w:hAnsi="Times New Roman" w:eastAsia="Times New Roman" w:cs="Times New Roman"/>
        </w:rPr>
        <w:t>Mu Bibiliya, Umunyamahanga ni umunyamahanga, kandi umunyamahanga avugana ururimi rw’amahanga. Ezekiyeli yatumwe ku nzu ya Isirayeli y’iki gihe, ari yo, mu gihe cyo gushyirwaho ikimenyetso, Itorero ry’Abadiventisiti b’Umunsi wa Karindwi b’i Lawodikiya, ririmo guca iruhande. Ubutumwa bwo mu gihe cyo gushyirwaho ikimenyetso cy’abihumbi ijana na mirongo ine na bane ni ubw’Itorero ry’Imana, ari ryo ribanza gucirwa urubanza; hanyuma, igihe kiri hafi cyo gutangwaho itegeko ryo ku Cyumweru, ijwi rya kabiri ryo mu Ibyahishuwe igice cya cumi n’umunani rihamagarira umukumbi w’Imana w’Abanyamahanga gusohoka i Babuloni. Igihe Yesaya, mu gice cya gatandatu, ahagarariye abemera umuhamagaro wo gutumwa ku nzu y’inyeshyamba bafite ubutumwa bw’i Lawodikiya, araburirwa mbere y’igihe ko ari ubwoko bubona ariko ntibumenye, kandi bwumva ariko ntibusobanukirwe. Yesaya yandika iyo mimerere nyine Yesu yakuye kuri Yesaya, igice cya gatandatu, ubwo yayiherezaga Abayahudi b’abajujubya barimo gucwa iruhande mu mateka ya Kristo.</w:t>
      </w:r>
    </w:p>
    <w:p>
      <w:pPr>
        <w:pStyle w:val="ArticleBody"/>
        <w:jc w:val="left"/>
      </w:pPr>
      <w:r>
        <w:rPr>
          <w:rFonts w:ascii="Leelawadee UI" w:hAnsi="Leelawadee UI" w:eastAsia="Leelawadee UI" w:cs="Leelawadee UI"/>
        </w:rPr>
        <w:t>ในบทที่สิบสอง</w:t>
      </w:r>
      <w:r>
        <w:rPr>
          <w:rFonts w:ascii="Times New Roman" w:hAnsi="Times New Roman" w:eastAsia="Times New Roman" w:cs="Times New Roman"/>
        </w:rPr>
        <w:t xml:space="preserve"> </w:t>
      </w:r>
      <w:r>
        <w:rPr>
          <w:rFonts w:ascii="Leelawadee UI" w:hAnsi="Leelawadee UI" w:eastAsia="Leelawadee UI" w:cs="Leelawadee UI"/>
        </w:rPr>
        <w:t>เอเสเคียลยังใช้ถ้อยคำเดียวกันนี้เช่นกัน</w:t>
      </w:r>
      <w:r>
        <w:rPr>
          <w:rFonts w:ascii="Times New Roman" w:hAnsi="Times New Roman" w:eastAsia="Times New Roman" w:cs="Times New Roman"/>
        </w:rPr>
        <w:t xml:space="preserve"> </w:t>
      </w:r>
      <w:r>
        <w:rPr>
          <w:rFonts w:ascii="Leelawadee UI" w:hAnsi="Leelawadee UI" w:eastAsia="Leelawadee UI" w:cs="Leelawadee UI"/>
        </w:rPr>
        <w:t>จึงเป็นการกำหนดให้บทที่สิบสองอยู่ในช่วงเวลาแห่งการประทับตราของชนหนึ่งแสนสี่หมื่นสี่พันโดยเฉพาะเจาะจง</w:t>
      </w:r>
    </w:p>
    <w:p>
      <w:pPr>
        <w:pStyle w:val="ArticleScripture"/>
        <w:jc w:val="left"/>
      </w:pPr>
      <w:r>
        <w:rPr>
          <w:rFonts w:ascii="Times New Roman" w:hAnsi="Times New Roman" w:eastAsia="Times New Roman" w:cs="Times New Roman"/>
        </w:rPr>
        <w:t>La parole de l’Éternel me fut encore adressée, en ces mots : Fils de l’homme, tu demeures au milieu d’une maison rebelle, qui a des yeux pour voir et ne voit point, qui a des oreilles pour entendre et n’entend point ; car c’est une maison rebelle. Ézéchiel 12:1, 2.</w:t>
      </w:r>
    </w:p>
    <w:p>
      <w:pPr>
        <w:pStyle w:val="ArticleBody"/>
        <w:jc w:val="left"/>
      </w:pPr>
      <w:r>
        <w:rPr>
          <w:rFonts w:ascii="Times New Roman" w:hAnsi="Times New Roman" w:eastAsia="Times New Roman" w:cs="Times New Roman"/>
        </w:rPr>
        <w:t>Ezekiel sura ta goma sha biyu tana bayyana lokacin hatimin mutum dubu ɗari da arba’in da huɗu, kuma cikin yin haka tana magana game da saƙon ruwan sama na ƙarshe na jabu wanda mashayan Ifraimu, waɗanda suke mulkin mutanen Urushalima, suke gabatarwa—waɗannan mashayan da ba za su iya karanta littafin da aka hatimce ba. Saƙonsu na jabu game da ruwan sama na ƙarshe ya dogara ne a kan mayar da wahayi na annabci na Maganar Allah zuwa wani lokaci mai nisa a nan gaba.</w:t>
      </w:r>
    </w:p>
    <w:p>
      <w:pPr>
        <w:pStyle w:val="ArticleBody"/>
        <w:jc w:val="left"/>
      </w:pPr>
      <w:r>
        <w:rPr>
          <w:rFonts w:ascii="Times New Roman" w:hAnsi="Times New Roman" w:eastAsia="Times New Roman" w:cs="Times New Roman"/>
        </w:rPr>
        <w:t>Në vargjet tre deri në pesëmbëdhjetë, Ezekieli udhëzohet të ilustrojë popullin e Perëndisë duke shkuar në robërinë e Babilonisë. Robëria në Babiloni përfaqëson ligjin e së dielës që po afrohet shpejt, dhe pastaj, në vargjet gjashtëmbëdhjetë deri në njëzet, ai përcakton zinë e bukës që shoqëron shkatërrimin e qyteteve, i cili fillon në orën e tërmetit të madh, që është ligji i së dielës që po afrohet shpejt. Përfitimet e jetesës në fshat gjatë asaj kohe krize paraqiten aty, dhe pastaj, në vargjet njëzet e një deri në njëzet e tetë, kemi atë pjesë që u njoh si e vërteta e tashme në historinë millerite. Ajo pjesë citohet fjalë për fjalë në The Great Controversy, në përshkrimin e historisë millerite në atë libër.</w:t>
      </w:r>
    </w:p>
    <w:p>
      <w:pPr>
        <w:pStyle w:val="ArticleScripture"/>
        <w:jc w:val="left"/>
      </w:pPr>
      <w:r>
        <w:rPr>
          <w:rFonts w:ascii="Times New Roman" w:hAnsi="Times New Roman" w:eastAsia="Times New Roman" w:cs="Times New Roman"/>
        </w:rPr>
        <w:t>En het woord des HEEREN kwam tot mij, zeggende: Mensenkind, wat is dat voor een spreekwoord dat gij in het land Israëls hebt, zeggende: De dagen worden verlengd, en elk gezicht faalt? Zeg daarom tot hen: Zo zegt de Heere HEERE: Ik zal dit spreekwoord doen ophouden, en men zal het in Israël niet meer als een spreekwoord gebruiken; maar zeg tot hen: De dagen zijn nabij, en de vervulling van elk gezicht. Want er zal geen enkel ijdel gezicht noch vleiende waarzegging meer zijn binnen het huis Israëls. Want Ik ben de HEERE: Ik zal spreken, en het woord dat Ik spreken zal, zal geschieden; het zal niet langer uitgesteld worden; want in uw dagen, o weerspannig huis, zal Ik het woord spreken en het volbrengen, spreekt de Heere HEERE. Wederom kwam het woord des HEEREN tot mij, zeggende: Mensenkind, zie, die van het huis Israëls zeggen: Het gezicht dat hij ziet, is voor vele dagen die nog komen zullen, en hij profeteert van tijden die ver weg zijn. Zeg daarom tot hen: Zo zegt de Heere HEERE: Geen van Mijn woorden zal nog langer uitgesteld worden, maar het woord dat Ik gesproken heb, zal geschieden, spreekt de Heere HEERE. Ezechiël 12:21–28.</w:t>
      </w:r>
    </w:p>
    <w:p>
      <w:pPr>
        <w:pStyle w:val="ArticleBody"/>
        <w:jc w:val="left"/>
      </w:pPr>
      <w:r>
        <w:rPr>
          <w:rFonts w:ascii="Times New Roman" w:hAnsi="Times New Roman" w:eastAsia="Times New Roman" w:cs="Times New Roman"/>
        </w:rPr>
        <w:t>Tunaksoxtli sotskuili itlatol tlen moteixpantía ipan in tonali tlen motlatzacuaj in se ciento cuarenta y cuatro mil kijtoa: “in tonalmeh huehueyaj, huan nochi tlanextiliztli poliui.” Pampa, ¿amo melahuac parajque in tlayolmelahuani tlen motlachiya ica Moisés, Elías, Ezequiel, Isaías huan Juan omocuapolojque ipan inin tlamachiliztli tlen julio 18, 2020? In itlatol in Adventista Laodicense ipan nopa tonali ya ni: “in tlanextiliztli tlen yeh quitztoc, para miyac tonalmeh oc huetztoz, huan yeh tlayolmelahua de in tonali tlen huejca cate.” Ipan nopa historia amo san nochi tlanextiliztli mochihuas, noijki in tlayolmelahuani kipiyas tlen quilhuis in ixpolihuiya cali tlen yancuic Israel: “Quej ni quijtoa in Tecohtzin Dios,” “Nehua nijchihuas ma poliui” nopa “proverbio” tunaksoxtli tlen Adventismo Laodicense. Xiquinilhui: “In tonalmeh ya monechcahuijtoc, huan in panolistli tlen sesen tlanextiliztli.” “Amo se notlatol oc huehueyaz, yej in tlatol tlen Nehua niquijtojtoc mochihuas, quijtoa in Tecohtzin Dios.”</w:t>
      </w:r>
    </w:p>
    <w:p>
      <w:pPr>
        <w:pStyle w:val="ArticleBody"/>
        <w:jc w:val="left"/>
      </w:pPr>
      <w:r>
        <w:rPr>
          <w:rFonts w:ascii="Times New Roman" w:hAnsi="Times New Roman" w:eastAsia="Times New Roman" w:cs="Times New Roman"/>
        </w:rPr>
        <w:t>An Laodicea-botschaft yiafɔ sɛ asɛm no kyerɛ pefee sɛ nna no abɛn a anisoadehu biara n’asɛm bɛba mu, na saa nna no ne nna a wɔde reto wɔn mu nsɛnkyerɛnne ama apem ɔha aduanan anan no. Titiriw asɛm a ɛnsɛ sɛ woyi fi passage no mu ne sɛ Onyankopɔn ankasa ka tẽẽ sɛ wɔ “nna” no mu, a egyina hɔ ma sɔretwa bere no, Ɔbɛma Laodicea Adventism no “anisoadehu hunu,” wɔn “nkɔmhyɛ a ɛdɛfɛdɛfɛ,” ne wɔn “bɛ” a ɛyɛ atoro no agyae. Onyankopɔn ma wɔn atoro osutɔ a ɛto akyiri no ho asɛm no gyae ansa na Kwasida mmara a ɛrebɛn no aba, efisɛ Ɔma ɛgyae wɔ nna a Ɔrekasa ho no mu. Ɔma ɛgyae denam nokware osutɔ a ɛto akyiri no ho asɛm no so dua a Ɔresi so no so, bere a Ɔrema wɔn a wɔapaw wɔn no so sɛ frankaa wɔ Kwasida mmara a ɛrebɛn no mu no. Wɔsɔre wɔn a wɔapaw wɔn no ano ansa na “asasewosow” no aba.</w:t>
      </w:r>
    </w:p>
    <w:p>
      <w:pPr>
        <w:pStyle w:val="ArticleBody"/>
        <w:jc w:val="left"/>
      </w:pPr>
      <w:r>
        <w:rPr>
          <w:rFonts w:ascii="Times New Roman" w:hAnsi="Times New Roman" w:eastAsia="Times New Roman" w:cs="Times New Roman"/>
        </w:rPr>
        <w:t>Yeye njira ina imene amalepheretsera mwambi wachabe wa uthenga wachinyengo wa mvula yamasika yotsiriza kufika pamapeto, ndi kubwera kwa maweruzo a Mulungu osayembekezereka ndiponso okula mwamphamvu, amene amabwera monga chodabwitsa chachikulu kwambiri kwa ana a mdima, koma omwe ali mbali ya uthenga womwe ana a kuwala adzakhala akulosera. Mbiri imene tsopano tikulowamo ili pafupi kukumana ndi maweruzo a Mulungu. Maweruzo amenewo ayimiridwa mobwerezabwereza m’Mawu a Mulungu, ndipo nthawi ya kusindikizidwa, imene inayamba pa September 11, 2001, ndi pamene masomphenya aliwonse, kuphatikizapo masomphenya a maweruzo a Mulungu, ayenera kufika; pakuti Mawu Ake salephera konse.</w:t>
      </w:r>
    </w:p>
    <w:p>
      <w:pPr>
        <w:pStyle w:val="ArticleBody"/>
        <w:jc w:val="left"/>
      </w:pPr>
      <w:r>
        <w:rPr>
          <w:rFonts w:ascii="Times New Roman" w:hAnsi="Times New Roman" w:eastAsia="Times New Roman" w:cs="Times New Roman"/>
        </w:rPr>
        <w:t>Dalam artikel-artikel sebelumnya, kami telah menunjukkan bahwa tiga pasal pertama dalam kitab Daniel melambangkan pekabaran tiga malaikat dalam Wahyu pasal empat belas. Pasal dua adalah pekabaran malaikat kedua, dan karena itu merupakan ilustrasi dari ujian kedua pada masa pemeteraian. Ujian pertama adalah pasal satu, yaitu ujian mengenai makanan: apakah seseorang akan memilih makanan surgawi atau makanan Babel. Pasal dua diwakili oleh kebenaran yang tersembunyi di dalam mimpi Nebukadnezar tentang patung binatang-binatang, yang adalah kerajaan-kerajaan.</w:t>
      </w:r>
    </w:p>
    <w:p>
      <w:pPr>
        <w:pStyle w:val="ArticleBody"/>
        <w:jc w:val="left"/>
      </w:pPr>
      <w:r>
        <w:rPr>
          <w:rFonts w:ascii="Nirmala UI" w:hAnsi="Nirmala UI" w:eastAsia="Nirmala UI" w:cs="Nirmala UI"/>
        </w:rPr>
        <w:t>ডানিয়েল</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একশত</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সীলমোহরের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প্রতিমার</w:t>
      </w:r>
      <w:r>
        <w:rPr>
          <w:rFonts w:ascii="Times New Roman" w:hAnsi="Times New Roman" w:eastAsia="Times New Roman" w:cs="Times New Roman"/>
        </w:rPr>
        <w:t xml:space="preserve"> </w:t>
      </w:r>
      <w:r>
        <w:rPr>
          <w:rFonts w:ascii="Nirmala UI" w:hAnsi="Nirmala UI" w:eastAsia="Nirmala UI" w:cs="Nirmala UI"/>
        </w:rPr>
        <w:t>পরীক্ষাকে</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গুপ্ত</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নবূখদ্</w:t>
      </w:r>
      <w:r>
        <w:rPr>
          <w:rFonts w:ascii="Times New Roman" w:hAnsi="Times New Roman" w:eastAsia="Times New Roman" w:cs="Times New Roman"/>
        </w:rPr>
        <w:t>‌</w:t>
      </w:r>
      <w:r>
        <w:rPr>
          <w:rFonts w:ascii="Nirmala UI" w:hAnsi="Nirmala UI" w:eastAsia="Nirmala UI" w:cs="Nirmala UI"/>
        </w:rPr>
        <w:t>নিষর</w:t>
      </w:r>
      <w:r>
        <w:rPr>
          <w:rFonts w:ascii="Times New Roman" w:hAnsi="Times New Roman" w:eastAsia="Times New Roman" w:cs="Times New Roman"/>
        </w:rPr>
        <w:t xml:space="preserve"> </w:t>
      </w:r>
      <w:r>
        <w:rPr>
          <w:rFonts w:ascii="Nirmala UI" w:hAnsi="Nirmala UI" w:eastAsia="Nirmala UI" w:cs="Nirmala UI"/>
        </w:rPr>
        <w:t>স্বপ্নটি</w:t>
      </w:r>
      <w:r>
        <w:rPr>
          <w:rFonts w:ascii="Times New Roman" w:hAnsi="Times New Roman" w:eastAsia="Times New Roman" w:cs="Times New Roman"/>
        </w:rPr>
        <w:t xml:space="preserve"> </w:t>
      </w:r>
      <w:r>
        <w:rPr>
          <w:rFonts w:ascii="Nirmala UI" w:hAnsi="Nirmala UI" w:eastAsia="Nirmala UI" w:cs="Nirmala UI"/>
        </w:rPr>
        <w:t>স্মরণ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সক্ষম</w:t>
      </w:r>
      <w:r>
        <w:rPr>
          <w:rFonts w:ascii="Times New Roman" w:hAnsi="Times New Roman" w:eastAsia="Times New Roman" w:cs="Times New Roman"/>
        </w:rPr>
        <w:t xml:space="preserve"> </w:t>
      </w:r>
      <w:r>
        <w:rPr>
          <w:rFonts w:ascii="Nirmala UI" w:hAnsi="Nirmala UI" w:eastAsia="Nirmala UI" w:cs="Nirmala UI"/>
        </w:rPr>
        <w:t>হননি।</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গুপ্ত</w:t>
      </w:r>
      <w:r>
        <w:rPr>
          <w:rFonts w:ascii="Times New Roman" w:hAnsi="Times New Roman" w:eastAsia="Times New Roman" w:cs="Times New Roman"/>
        </w:rPr>
        <w:t xml:space="preserve"> </w:t>
      </w:r>
      <w:r>
        <w:rPr>
          <w:rFonts w:ascii="Nirmala UI" w:hAnsi="Nirmala UI" w:eastAsia="Nirmala UI" w:cs="Nirmala UI"/>
        </w:rPr>
        <w:t>সত্যকে</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একশত</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উন্মোচিত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প্রতিমাটিতে</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বাইবেলের</w:t>
      </w:r>
      <w:r>
        <w:rPr>
          <w:rFonts w:ascii="Times New Roman" w:hAnsi="Times New Roman" w:eastAsia="Times New Roman" w:cs="Times New Roman"/>
        </w:rPr>
        <w:t xml:space="preserve"> </w:t>
      </w:r>
      <w:r>
        <w:rPr>
          <w:rFonts w:ascii="Nirmala UI" w:hAnsi="Nirmala UI" w:eastAsia="Nirmala UI" w:cs="Nirmala UI"/>
        </w:rPr>
        <w:t>ভাববাণীর</w:t>
      </w:r>
      <w:r>
        <w:rPr>
          <w:rFonts w:ascii="Times New Roman" w:hAnsi="Times New Roman" w:eastAsia="Times New Roman" w:cs="Times New Roman"/>
        </w:rPr>
        <w:t xml:space="preserve"> </w:t>
      </w:r>
      <w:r>
        <w:rPr>
          <w:rFonts w:ascii="Nirmala UI" w:hAnsi="Nirmala UI" w:eastAsia="Nirmala UI" w:cs="Nirmala UI"/>
        </w:rPr>
        <w:t>রাজ্যসমূহ</w:t>
      </w:r>
      <w:r>
        <w:rPr>
          <w:rFonts w:ascii="Times New Roman" w:hAnsi="Times New Roman" w:eastAsia="Times New Roman" w:cs="Times New Roman"/>
        </w:rPr>
        <w:t xml:space="preserve"> </w:t>
      </w:r>
      <w:r>
        <w:rPr>
          <w:rFonts w:ascii="Nirmala UI" w:hAnsi="Nirmala UI" w:eastAsia="Nirmala UI" w:cs="Nirmala UI"/>
        </w:rPr>
        <w:t>সম্বন্ধেও</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গুপ্ত</w:t>
      </w:r>
      <w:r>
        <w:rPr>
          <w:rFonts w:ascii="Times New Roman" w:hAnsi="Times New Roman" w:eastAsia="Times New Roman" w:cs="Times New Roman"/>
        </w:rPr>
        <w:t xml:space="preserve"> </w:t>
      </w:r>
      <w:r>
        <w:rPr>
          <w:rFonts w:ascii="Nirmala UI" w:hAnsi="Nirmala UI" w:eastAsia="Nirmala UI" w:cs="Nirmala UI"/>
        </w:rPr>
        <w:t>সত্যকে</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ডানিয়েল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বিশ্বস্তজনের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জীবন</w:t>
      </w:r>
      <w:r>
        <w:rPr>
          <w:rFonts w:ascii="Times New Roman" w:hAnsi="Times New Roman" w:eastAsia="Times New Roman" w:cs="Times New Roman"/>
        </w:rPr>
        <w:t>-</w:t>
      </w:r>
      <w:r>
        <w:rPr>
          <w:rFonts w:ascii="Nirmala UI" w:hAnsi="Nirmala UI" w:eastAsia="Nirmala UI" w:cs="Nirmala UI"/>
        </w:rPr>
        <w:t>মৃত্যুর</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ক্যালদীয়</w:t>
      </w:r>
      <w:r>
        <w:rPr>
          <w:rFonts w:ascii="Times New Roman" w:hAnsi="Times New Roman" w:eastAsia="Times New Roman" w:cs="Times New Roman"/>
        </w:rPr>
        <w:t xml:space="preserve"> </w:t>
      </w:r>
      <w:r>
        <w:rPr>
          <w:rFonts w:ascii="Nirmala UI" w:hAnsi="Nirmala UI" w:eastAsia="Nirmala UI" w:cs="Nirmala UI"/>
        </w:rPr>
        <w:t>জ্ঞানী</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জন্যও</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বাবিলীয়</w:t>
      </w:r>
      <w:r>
        <w:rPr>
          <w:rFonts w:ascii="Times New Roman" w:hAnsi="Times New Roman" w:eastAsia="Times New Roman" w:cs="Times New Roman"/>
        </w:rPr>
        <w:t xml:space="preserve"> </w:t>
      </w:r>
      <w:r>
        <w:rPr>
          <w:rFonts w:ascii="Nirmala UI" w:hAnsi="Nirmala UI" w:eastAsia="Nirmala UI" w:cs="Nirmala UI"/>
        </w:rPr>
        <w:t>আহার</w:t>
      </w:r>
      <w:r>
        <w:rPr>
          <w:rFonts w:ascii="Times New Roman" w:hAnsi="Times New Roman" w:eastAsia="Times New Roman" w:cs="Times New Roman"/>
        </w:rPr>
        <w:t xml:space="preserve"> </w:t>
      </w:r>
      <w:r>
        <w:rPr>
          <w:rFonts w:ascii="Nirmala UI" w:hAnsi="Nirmala UI" w:eastAsia="Nirmala UI" w:cs="Nirmala UI"/>
        </w:rPr>
        <w:t>ভক্ষণ</w:t>
      </w:r>
      <w:r>
        <w:rPr>
          <w:rFonts w:ascii="Times New Roman" w:hAnsi="Times New Roman" w:eastAsia="Times New Roman" w:cs="Times New Roman"/>
        </w:rPr>
        <w:t xml:space="preserve"> </w:t>
      </w:r>
      <w:r>
        <w:rPr>
          <w:rFonts w:ascii="Nirmala UI" w:hAnsi="Nirmala UI" w:eastAsia="Nirmala UI" w:cs="Nirmala UI"/>
        </w:rPr>
        <w:t>করত।</w:t>
      </w:r>
    </w:p>
    <w:p>
      <w:pPr>
        <w:pStyle w:val="ArticleBody"/>
        <w:jc w:val="left"/>
      </w:pPr>
      <w:r>
        <w:rPr>
          <w:rFonts w:ascii="Times New Roman" w:hAnsi="Times New Roman" w:eastAsia="Times New Roman" w:cs="Times New Roman"/>
        </w:rPr>
        <w:t>Ellen White a été montrée que l’image de la bête serait formée « avant la clôture du temps de grâce, car c’est la grande épreuve pour le peuple de Dieu, par laquelle sa destinée éternelle sera décidée ». Le songe caché de Nebucadnetsar représente cette épreuve. La vérité cachée de l’image qui a été révélée en ces jours, lorsque l’effet de toute vision n’est plus différé, est que Jésus, en tant qu’Alpha et Oméga, a identifié, dans les première et dernière références aux royaumes de la prophétie biblique, que la huitième bête est issue des sept.</w:t>
      </w:r>
    </w:p>
    <w:p>
      <w:pPr>
        <w:pStyle w:val="ArticleBody"/>
        <w:jc w:val="left"/>
      </w:pPr>
      <w:r>
        <w:rPr>
          <w:rFonts w:ascii="Times New Roman" w:hAnsi="Times New Roman" w:eastAsia="Times New Roman" w:cs="Times New Roman"/>
        </w:rPr>
        <w:t>Luuka nambar siddeetii Mul’ata boqonnaa kudha-torbaa keessatti ibsame, isa torban keessaa ta’e, humna paaphaasii isa deebi’ee teessoo mootummaa lafaa irra kaa’ameedha; iccitii gadi fagoo dhokatee turee amma mul’ifame immoo, akkuma Ameerikaan biyya kana keessatti fakkii bineensichaa ijaartu, isheenis akkasuma mul’ata isa saddeettaffaa, isa torban keessaa ta’e, bakka buuti. Pirezidaantii ja’affaan yeroo dhumaatii bara 1989 irraa eegalee, inni pirezidaantii sooressa ta’ee mootummaa hunda bineensa ajjeefamaa sanaa kakaase, harka globalistoota progresiivii, woke, liberalii kanneen bara 2020 keessa madaa siyaasaa du’a geessisu argate; akkasiin gooniin Reepabilikaanii bineensa Waaqayyoon morme Mul’ata boqonnaa kudha-tokko keessatti ibsameen daandii irratti ajjeefame.</w:t>
      </w:r>
    </w:p>
    <w:p>
      <w:pPr>
        <w:pStyle w:val="ArticleBody"/>
        <w:jc w:val="left"/>
      </w:pPr>
      <w:r>
        <w:rPr>
          <w:rFonts w:ascii="Times New Roman" w:hAnsi="Times New Roman" w:eastAsia="Times New Roman" w:cs="Times New Roman"/>
        </w:rPr>
        <w:t>Kanu wotoo biara mu no, ɔsoro abɔfo a ɔto so abiɛsa no nkɔsoɔ no nso nyaa apirakuru a ɛyɛ owuo wɔ July 18, 2020, ateist aboa a ɔwɔ Adiyisɛm ti dubaako no nsam. Saa nkɔsoɔ no na na ɛyɛ Laodikea Seventh-day Adventists, na wɔ 2023 mu no, wɔmaa saa nkɔsoɔ no so sɛ ɔsoro abɔfo a ɔto so abiɛsa no Filadelfia nkɔsoɔ. Mmirɛn no baanu nyinaa wukuu wɔ 2020 mu, na mmirɛn no baanu nyinaa sɔre gyina hɔ bio wɔ nna mmiɛnsa ne fa a ɛyɛ nkrasɛm mu agyiraehyɛde akyi. Abɔdeɛ no honi a ɛwɔ amanyɔsɛm mu no nhyehyɛeɛ no gyina Asɔre ne Ɔman a wɔaka abɔ mu wɔ United States no so, na aboa a wɔyɛ ne honi wɔ nna a ɛdi akyiri no mu no ne aboa a ɔtɔ so nwɔtwe a ofiri baason no mu no. Sɛ wɔyɛ honi-aboa no wɔ United States a, ɛbɛnya saa nkɔmhyɛ mu su pɔtee no ara a ɛwɔ Roma aboa a ɔtɔ so nwɔtwe no mu.</w:t>
      </w:r>
    </w:p>
    <w:p>
      <w:pPr>
        <w:pStyle w:val="ArticleBody"/>
        <w:jc w:val="left"/>
      </w:pPr>
      <w:r>
        <w:rPr>
          <w:rFonts w:ascii="Times New Roman" w:hAnsi="Times New Roman" w:eastAsia="Times New Roman" w:cs="Times New Roman"/>
        </w:rPr>
        <w:t>Can you clarify what language “ff” refers to?</w:t>
      </w:r>
    </w:p>
    <w:p>
      <w:pPr>
        <w:pStyle w:val="ArticleScripture"/>
        <w:jc w:val="left"/>
      </w:pPr>
      <w:r>
        <w:rPr>
          <w:rFonts w:ascii="Times New Roman" w:hAnsi="Times New Roman" w:eastAsia="Times New Roman" w:cs="Times New Roman"/>
        </w:rPr>
        <w:t>“Ezékiel próféta ezt látta, amikor ámulattal telt tekintete elé olyan jelképek tárultak, amelyek egy Hatalmat nyilatkoztattak ki, amely felülről irányítja a földi uralkodók ügyeit. Az egymást metsző kerekeket négy élőlény mozgatta. Mindezek fölött magasan ott volt „egy trón alakja, amelynek látszata zafírkőhöz volt hasonló; és a trón alakja fölött, azon ülve, emberi alakhoz hasonló forma volt.” Ezékiel 1:26, RSV.</w:t>
      </w:r>
    </w:p>
    <w:p>
      <w:pPr>
        <w:pStyle w:val="ArticleScripture"/>
        <w:jc w:val="left"/>
      </w:pPr>
      <w:r>
        <w:rPr>
          <w:rFonts w:ascii="Times New Roman" w:hAnsi="Times New Roman" w:eastAsia="Times New Roman" w:cs="Times New Roman"/>
        </w:rPr>
        <w:t>«Чархҳо, ончунон мураккаб, ки дар назари аввал гӯё дар ошуфтагӣ менамуданд, бо ҳамоҳангии комил ҳаракат мекарданд. Мавҷудоти осмонӣ он чархҳоро ба ҳаракат меоварданд. Ҷараёни мураккаби рӯйдодҳои инсонӣ зери назорати илоҳӣ қарор дорад. Дар миёни низоъ ва ғавғои халқҳо, Ӯ, ки бар фарози каррубиён нишастааст, ҳанӯз ҳам корҳои ин заминро раҳнамоӣ мекунад. Ба ҳар миллат ва ҳар фард Худо дар нақшаи бузурги Худ ҷойгоҳе муайян кардааст. Имрӯз одамон ва миллатҳо бо интихоби худ сарнавишти хешро муайян месозанд, ва Худо бар ҳама ҳукмронӣ дорад, то мақсадҳои Худро ба иҷро расонад.»</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予言</w:t>
      </w:r>
      <w:r>
        <w:rPr>
          <w:rFonts w:ascii="MS Gothic" w:hAnsi="MS Gothic" w:eastAsia="MS Gothic" w:cs="MS Gothic"/>
        </w:rPr>
        <w:t>とは</w:t>
      </w:r>
      <w:r>
        <w:rPr>
          <w:rFonts w:ascii="Microsoft YaHei" w:hAnsi="Microsoft YaHei" w:eastAsia="Microsoft YaHei" w:cs="Microsoft YaHei"/>
        </w:rPr>
        <w:t>、偉大</w:t>
      </w:r>
      <w:r>
        <w:rPr>
          <w:rFonts w:ascii="MS Gothic" w:hAnsi="MS Gothic" w:eastAsia="MS Gothic" w:cs="MS Gothic"/>
        </w:rPr>
        <w:t>なる</w:t>
      </w:r>
      <w:r>
        <w:rPr>
          <w:rFonts w:ascii="Microsoft YaHei" w:hAnsi="Microsoft YaHei" w:eastAsia="Microsoft YaHei" w:cs="Microsoft YaHei"/>
        </w:rPr>
        <w:t>『</w:t>
      </w:r>
      <w:r>
        <w:rPr>
          <w:rFonts w:ascii="MS Gothic" w:hAnsi="MS Gothic" w:eastAsia="MS Gothic" w:cs="MS Gothic"/>
        </w:rPr>
        <w:t>わたしは</w:t>
      </w:r>
      <w:r>
        <w:rPr>
          <w:rFonts w:ascii="Microsoft YaHei" w:hAnsi="Microsoft YaHei" w:eastAsia="Microsoft YaHei" w:cs="Microsoft YaHei"/>
        </w:rPr>
        <w:t>有</w:t>
      </w:r>
      <w:r>
        <w:rPr>
          <w:rFonts w:ascii="MS Gothic" w:hAnsi="MS Gothic" w:eastAsia="MS Gothic" w:cs="MS Gothic"/>
        </w:rPr>
        <w:t>って</w:t>
      </w:r>
      <w:r>
        <w:rPr>
          <w:rFonts w:ascii="Microsoft YaHei" w:hAnsi="Microsoft YaHei" w:eastAsia="Microsoft YaHei" w:cs="Microsoft YaHei"/>
        </w:rPr>
        <w:t>有</w:t>
      </w:r>
      <w:r>
        <w:rPr>
          <w:rFonts w:ascii="MS Gothic" w:hAnsi="MS Gothic" w:eastAsia="MS Gothic" w:cs="MS Gothic"/>
        </w:rPr>
        <w:t>る</w:t>
      </w:r>
      <w:r>
        <w:rPr>
          <w:rFonts w:ascii="Microsoft YaHei" w:hAnsi="Microsoft YaHei" w:eastAsia="Microsoft YaHei" w:cs="Microsoft YaHei"/>
        </w:rPr>
        <w:t>者』</w:t>
      </w:r>
      <w:r>
        <w:rPr>
          <w:rFonts w:ascii="MS Gothic" w:hAnsi="MS Gothic" w:eastAsia="MS Gothic" w:cs="MS Gothic"/>
        </w:rPr>
        <w:t>がその</w:t>
      </w:r>
      <w:r>
        <w:rPr>
          <w:rFonts w:ascii="Microsoft YaHei" w:hAnsi="Microsoft YaHei" w:eastAsia="Microsoft YaHei" w:cs="Microsoft YaHei"/>
        </w:rPr>
        <w:t>御言葉</w:t>
      </w:r>
      <w:r>
        <w:rPr>
          <w:rFonts w:ascii="MS Gothic" w:hAnsi="MS Gothic" w:eastAsia="MS Gothic" w:cs="MS Gothic"/>
        </w:rPr>
        <w:t>のうちに</w:t>
      </w:r>
      <w:r>
        <w:rPr>
          <w:rFonts w:ascii="Microsoft YaHei" w:hAnsi="Microsoft YaHei" w:eastAsia="Microsoft YaHei" w:cs="Microsoft YaHei"/>
        </w:rPr>
        <w:t>与</w:t>
      </w:r>
      <w:r>
        <w:rPr>
          <w:rFonts w:ascii="MS Gothic" w:hAnsi="MS Gothic" w:eastAsia="MS Gothic" w:cs="MS Gothic"/>
        </w:rPr>
        <w:t>えられたものであり</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、永代</w:t>
      </w:r>
      <w:r>
        <w:rPr>
          <w:rFonts w:ascii="MS Gothic" w:hAnsi="MS Gothic" w:eastAsia="MS Gothic" w:cs="MS Gothic"/>
        </w:rPr>
        <w:t>の</w:t>
      </w:r>
      <w:r>
        <w:rPr>
          <w:rFonts w:ascii="Microsoft YaHei" w:hAnsi="Microsoft YaHei" w:eastAsia="Microsoft YaHei" w:cs="Microsoft YaHei"/>
        </w:rPr>
        <w:t>推移</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で</w:t>
      </w:r>
      <w:r>
        <w:rPr>
          <w:rFonts w:ascii="Microsoft YaHei" w:hAnsi="Microsoft YaHei" w:eastAsia="Microsoft YaHei" w:cs="Microsoft YaHei"/>
        </w:rPr>
        <w:t>、</w:t>
      </w:r>
      <w:r>
        <w:rPr>
          <w:rFonts w:ascii="MS Gothic" w:hAnsi="MS Gothic" w:eastAsia="MS Gothic" w:cs="MS Gothic"/>
        </w:rPr>
        <w:t>わたしたちがいまいかなる</w:t>
      </w:r>
      <w:r>
        <w:rPr>
          <w:rFonts w:ascii="Microsoft YaHei" w:hAnsi="Microsoft YaHei" w:eastAsia="Microsoft YaHei" w:cs="Microsoft YaHei"/>
        </w:rPr>
        <w:t>位置</w:t>
      </w:r>
      <w:r>
        <w:rPr>
          <w:rFonts w:ascii="MS Gothic" w:hAnsi="MS Gothic" w:eastAsia="MS Gothic" w:cs="MS Gothic"/>
        </w:rPr>
        <w:t>にあるかを</w:t>
      </w:r>
      <w:r>
        <w:rPr>
          <w:rFonts w:ascii="Microsoft YaHei" w:hAnsi="Microsoft YaHei" w:eastAsia="Microsoft YaHei" w:cs="Microsoft YaHei"/>
        </w:rPr>
        <w:t>告</w:t>
      </w:r>
      <w:r>
        <w:rPr>
          <w:rFonts w:ascii="MS Gothic" w:hAnsi="MS Gothic" w:eastAsia="MS Gothic" w:cs="MS Gothic"/>
        </w:rPr>
        <w:t>げている</w:t>
      </w:r>
      <w:r>
        <w:rPr>
          <w:rFonts w:ascii="Times New Roman" w:hAnsi="Times New Roman" w:eastAsia="Times New Roman" w:cs="Times New Roman"/>
        </w:rPr>
        <w:t>.</w:t>
      </w:r>
      <w:r>
        <w:rPr>
          <w:rFonts w:ascii="Microsoft YaHei" w:hAnsi="Microsoft YaHei" w:eastAsia="Microsoft YaHei" w:cs="Microsoft YaHei"/>
        </w:rPr>
        <w:t>預言</w:t>
      </w:r>
      <w:r>
        <w:rPr>
          <w:rFonts w:ascii="MS Gothic" w:hAnsi="MS Gothic" w:eastAsia="MS Gothic" w:cs="MS Gothic"/>
        </w:rPr>
        <w:t>が</w:t>
      </w:r>
      <w:r>
        <w:rPr>
          <w:rFonts w:ascii="Microsoft YaHei" w:hAnsi="Microsoft YaHei" w:eastAsia="Microsoft YaHei" w:cs="Microsoft YaHei"/>
        </w:rPr>
        <w:t>今日</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るまで</w:t>
      </w:r>
      <w:r>
        <w:rPr>
          <w:rFonts w:ascii="Microsoft YaHei" w:hAnsi="Microsoft YaHei" w:eastAsia="Microsoft YaHei" w:cs="Microsoft YaHei"/>
        </w:rPr>
        <w:t>予告</w:t>
      </w:r>
      <w:r>
        <w:rPr>
          <w:rFonts w:ascii="MS Gothic" w:hAnsi="MS Gothic" w:eastAsia="MS Gothic" w:cs="MS Gothic"/>
        </w:rPr>
        <w:t>してきたすべてのことは</w:t>
      </w:r>
      <w:r>
        <w:rPr>
          <w:rFonts w:ascii="Microsoft YaHei" w:hAnsi="Microsoft YaHei" w:eastAsia="Microsoft YaHei" w:cs="Microsoft YaHei"/>
        </w:rPr>
        <w:t>、歴史</w:t>
      </w:r>
      <w:r>
        <w:rPr>
          <w:rFonts w:ascii="MS Gothic" w:hAnsi="MS Gothic" w:eastAsia="MS Gothic" w:cs="MS Gothic"/>
        </w:rPr>
        <w:t>の</w:t>
      </w:r>
      <w:r>
        <w:rPr>
          <w:rFonts w:ascii="Microsoft YaHei" w:hAnsi="Microsoft YaHei" w:eastAsia="Microsoft YaHei" w:cs="Microsoft YaHei"/>
        </w:rPr>
        <w:t>頁</w:t>
      </w:r>
      <w:r>
        <w:rPr>
          <w:rFonts w:ascii="MS Gothic" w:hAnsi="MS Gothic" w:eastAsia="MS Gothic" w:cs="MS Gothic"/>
        </w:rPr>
        <w:t>にその</w:t>
      </w:r>
      <w:r>
        <w:rPr>
          <w:rFonts w:ascii="Microsoft YaHei" w:hAnsi="Microsoft YaHei" w:eastAsia="Microsoft YaHei" w:cs="Microsoft YaHei"/>
        </w:rPr>
        <w:t>跡</w:t>
      </w:r>
      <w:r>
        <w:rPr>
          <w:rFonts w:ascii="MS Gothic" w:hAnsi="MS Gothic" w:eastAsia="MS Gothic" w:cs="MS Gothic"/>
        </w:rPr>
        <w:t>をとどめており</w:t>
      </w:r>
      <w:r>
        <w:rPr>
          <w:rFonts w:ascii="Microsoft YaHei" w:hAnsi="Microsoft YaHei" w:eastAsia="Microsoft YaHei" w:cs="Microsoft YaHei"/>
        </w:rPr>
        <w:t>、</w:t>
      </w:r>
      <w:r>
        <w:rPr>
          <w:rFonts w:ascii="MS Gothic" w:hAnsi="MS Gothic" w:eastAsia="MS Gothic" w:cs="MS Gothic"/>
        </w:rPr>
        <w:t>なお</w:t>
      </w:r>
      <w:r>
        <w:rPr>
          <w:rFonts w:ascii="Microsoft YaHei" w:hAnsi="Microsoft YaHei" w:eastAsia="Microsoft YaHei" w:cs="Microsoft YaHei"/>
        </w:rPr>
        <w:t>将来</w:t>
      </w:r>
      <w:r>
        <w:rPr>
          <w:rFonts w:ascii="MS Gothic" w:hAnsi="MS Gothic" w:eastAsia="MS Gothic" w:cs="MS Gothic"/>
        </w:rPr>
        <w:t>に</w:t>
      </w:r>
      <w:r>
        <w:rPr>
          <w:rFonts w:ascii="Microsoft YaHei" w:hAnsi="Microsoft YaHei" w:eastAsia="Microsoft YaHei" w:cs="Microsoft YaHei"/>
        </w:rPr>
        <w:t>属</w:t>
      </w:r>
      <w:r>
        <w:rPr>
          <w:rFonts w:ascii="MS Gothic" w:hAnsi="MS Gothic" w:eastAsia="MS Gothic" w:cs="MS Gothic"/>
        </w:rPr>
        <w:t>するすべてのことも</w:t>
      </w:r>
      <w:r>
        <w:rPr>
          <w:rFonts w:ascii="Microsoft YaHei" w:hAnsi="Microsoft YaHei" w:eastAsia="Microsoft YaHei" w:cs="Microsoft YaHei"/>
        </w:rPr>
        <w:t>、定</w:t>
      </w:r>
      <w:r>
        <w:rPr>
          <w:rFonts w:ascii="MS Gothic" w:hAnsi="MS Gothic" w:eastAsia="MS Gothic" w:cs="MS Gothic"/>
        </w:rPr>
        <w:t>められた</w:t>
      </w:r>
      <w:r>
        <w:rPr>
          <w:rFonts w:ascii="Microsoft YaHei" w:hAnsi="Microsoft YaHei" w:eastAsia="Microsoft YaHei" w:cs="Microsoft YaHei"/>
        </w:rPr>
        <w:t>順序</w:t>
      </w:r>
      <w:r>
        <w:rPr>
          <w:rFonts w:ascii="MS Gothic" w:hAnsi="MS Gothic" w:eastAsia="MS Gothic" w:cs="MS Gothic"/>
        </w:rPr>
        <w:t>に</w:t>
      </w:r>
      <w:r>
        <w:rPr>
          <w:rFonts w:ascii="Microsoft YaHei" w:hAnsi="Microsoft YaHei" w:eastAsia="Microsoft YaHei" w:cs="Microsoft YaHei"/>
        </w:rPr>
        <w:t>従</w:t>
      </w:r>
      <w:r>
        <w:rPr>
          <w:rFonts w:ascii="MS Gothic" w:hAnsi="MS Gothic" w:eastAsia="MS Gothic" w:cs="MS Gothic"/>
        </w:rPr>
        <w:t>って</w:t>
      </w:r>
      <w:r>
        <w:rPr>
          <w:rFonts w:ascii="Microsoft YaHei" w:hAnsi="Microsoft YaHei" w:eastAsia="Microsoft YaHei" w:cs="Microsoft YaHei"/>
        </w:rPr>
        <w:t>成就</w:t>
      </w:r>
      <w:r>
        <w:rPr>
          <w:rFonts w:ascii="MS Gothic" w:hAnsi="MS Gothic" w:eastAsia="MS Gothic" w:cs="MS Gothic"/>
        </w:rPr>
        <w:t>するであろう</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“Les signes des temps déclarent que nous nous tenons sur le seuil d’événements grands et solennels. Tout, dans notre monde, est en agitation. Le Sauveur a prophétisé les événements qui doivent précéder sa venue : « Vous entendrez parler de guerres et de bruits de guerres…. Une nation s’élèvera contre une nation, et un royaume contre un royaume ; et il y aura des famines, des pestes et des tremblements de terre en divers lieux. » Matthieu 24:6, 7. Les dirigeants et les hommes d’État reconnaissent que quelque chose de grand et de décisif est sur le point de se produire, que le monde est à la veille d’une crise prodigieuse.</w:t>
      </w:r>
    </w:p>
    <w:p>
      <w:pPr>
        <w:pStyle w:val="ArticleScripture"/>
        <w:jc w:val="left"/>
      </w:pPr>
      <w:r>
        <w:rPr>
          <w:rFonts w:ascii="Times New Roman" w:hAnsi="Times New Roman" w:eastAsia="Times New Roman" w:cs="Times New Roman"/>
        </w:rPr>
        <w:t>“Biblia, na Biblia peke yake, hutoa mtazamo sahihi wa matukio ambayo tayari yanatupa vivuli vyake mbele; mlio wa kuja kwake ukiisababisha dunia kutetemeka na mioyo ya wanadamu kuzimia kwa hofu. ‘Tazama, Bwana ataiharibu dunia na kuifanya ukiwa, naye ataupotosha uso wake na kuwatawanya wakaao ndani yake.’ ‘Kwa maana wameivunja sheria, wamekiuka amri, wameivunja agano la milele. Kwa sababu hiyo laana inalimeza dunia, nao wakaao ndani yake wanapata mateso kwa hatia yao.’ Isaya 24:1, 5, 6, RSV.”</w:t>
      </w:r>
    </w:p>
    <w:p>
      <w:pPr>
        <w:pStyle w:val="ArticleScripture"/>
        <w:jc w:val="left"/>
      </w:pPr>
      <w:r>
        <w:rPr>
          <w:rFonts w:ascii="Times New Roman" w:hAnsi="Times New Roman" w:eastAsia="Times New Roman" w:cs="Times New Roman"/>
        </w:rPr>
        <w:t>“‘Ala! sebab hari itu besar, sehingga tidak ada yang seperti itu: itulah masa kesusahan Yakub; tetapi ia akan diselamatkan daripadanya.’ Yeremia 30:7.</w:t>
      </w:r>
    </w:p>
    <w:p>
      <w:pPr>
        <w:pStyle w:val="ArticleScripture"/>
        <w:jc w:val="left"/>
      </w:pPr>
      <w:r>
        <w:rPr>
          <w:rFonts w:ascii="Times New Roman" w:hAnsi="Times New Roman" w:eastAsia="Times New Roman" w:cs="Times New Roman"/>
        </w:rPr>
        <w:t>“‘Ngokuba umenzile uYehova, oyindawo yam yokusabela, Osenyangweni, ukuba abe yindawo yakho yokuhlala; Akuyi kukwehlela bubi, Nesibetho asiyi kusondela kufuphi nendawo ohlala kuyo.’ INdumiso 91:9, 10.</w:t>
      </w:r>
    </w:p>
    <w:p>
      <w:pPr>
        <w:pStyle w:val="ArticleScripture"/>
        <w:jc w:val="left"/>
      </w:pPr>
      <w:r>
        <w:rPr>
          <w:rFonts w:ascii="Times New Roman" w:hAnsi="Times New Roman" w:eastAsia="Times New Roman" w:cs="Times New Roman"/>
        </w:rPr>
        <w:t>“Ffumbe talirema gjuha laka mu kiseera kye ekibi ennyo. Asozze okununulwa. Emisingi egy’Obwakabaka bwe girissibwa ekitiibwa bonna abali wansi w’enjuba.” Historical Sketches 277–279.</w:t>
      </w:r>
    </w:p>
    <w:p>
      <w:pPr>
        <w:pStyle w:val="ArticleBody"/>
        <w:jc w:val="left"/>
      </w:pPr>
      <w:r>
        <w:rPr>
          <w:rFonts w:ascii="Times New Roman" w:hAnsi="Times New Roman" w:eastAsia="Times New Roman" w:cs="Times New Roman"/>
        </w:rPr>
        <w:t>“Lapè konplike evènman imen yo” se sa wou yo ki t ap kwaze youn ak lòt nan vizyon Ezekyèl la sou Kote Ki Pi Sen an te reprezante, pandan tan seleman an. Evènman sa yo anba kontwòl diven, paske evènman sa yo se akonplisman tout vizyon Pawòl Bondye a, ki jwenn efè final ak pafè yo nan tan seleman an. Gen yon “son” ki idantifye “yon kriz estrawòdinè” ke “mond lan sou pwen” rive reyalize. “Son” sa a fè “latè a tranble e kè moun yo dekouraje anba laperèz.” Ni tranbleman latè a, ni lefèt ke kè moun yo dekouraje anba laperèz, se senbòl son setyèm ak dènye Twonpèt la, ki se twazyèm malè a.</w:t>
      </w:r>
    </w:p>
    <w:p>
      <w:pPr>
        <w:pStyle w:val="ArticleBody"/>
        <w:jc w:val="left"/>
      </w:pPr>
      <w:r>
        <w:rPr>
          <w:rFonts w:ascii="Times New Roman" w:hAnsi="Times New Roman" w:eastAsia="Times New Roman" w:cs="Times New Roman"/>
        </w:rPr>
        <w:t>کۆڵانەوەی نەتەوەکان بەهۆی ئیسلامی وێڵەی سێیەم، وەک ژنێکە لە ئازاری منداڵبووندا، وەها نیشانەی قەیرانێکی زیادبوو، بەرزبوونەوە و توندتر بوونەوە دەکات. ئەو قەیرانەی بەردەوام لە 11ی سپتامبری 2001 دەستی پێ کرد؛ و لە 7ی ئۆکتۆبری 2023، ئازاری دایکبوونی توندی داهاتوو لێی دا، و چونکە وشەی خودا هەرگیز هەڵە ناکات، ئازاری دایکبوونی داهاتوو زۆر زوو دێت، و ئەوەش زیاتر وێرانکەر دەبێت. ئایا هێشتا لە شاردا دەژیت؟</w:t>
      </w:r>
    </w:p>
    <w:p>
      <w:pPr>
        <w:pStyle w:val="ArticleBody"/>
        <w:jc w:val="left"/>
      </w:pPr>
      <w:r>
        <w:rPr>
          <w:rFonts w:ascii="Times New Roman" w:hAnsi="Times New Roman" w:eastAsia="Times New Roman" w:cs="Times New Roman"/>
        </w:rPr>
        <w:t>Miu e na veivosaki oqo ena ulutaga e tarava.</w:t>
      </w:r>
    </w:p>
    <w:p>
      <w:pPr>
        <w:pStyle w:val="ArticleScripture"/>
        <w:jc w:val="left"/>
      </w:pPr>
      <w:r>
        <w:rPr>
          <w:rFonts w:ascii="Times New Roman" w:hAnsi="Times New Roman" w:eastAsia="Times New Roman" w:cs="Times New Roman"/>
        </w:rPr>
        <w:t>“Fa'i le perofeta, o le uili i totonu o le uili, ma le vaaiga o meaola o loo fesootai ma ia mea, sa foliga uma mai o ni mea lavelave ma e lē mafai ona faamatalaina. Peitai o le aao o le Poto e Le Gata Mai e iloa atu i totonu o uili, ma o le taunuuga o lana galuega o le faatulagaga atoatoa lea. O uili ta‘itasi, ua taitaia e le aao o le Atua, e galulue i le fealofani atoatoa ma isi uili uma. Ua faaalia mai ia te a‘u e faapea o meafaigaluega faaletagata e ono fia saili le pule tele ma taumafai e pulea e i latou lava le galuega. Ua latou tuua ai le Alii le Atua, le Tagata Galue Malosi, i tua tele i a latou metotia ma a latou fuafuaga, ma latou te lē tuuina atu iā te Ia lo latou faatuatuaga i mea uma e faatatau i le alualu i luma o le galuega. E lē tatau i se tasi, e tusa lava po o sina taimi puupuu, ona manatu faapea ua mafai ona ia faafoeina mea ia e ana i le O A‘U O LĒ O U IAI. O loo saunia e le Atua, i Lana tausiga faalelagi, se ala ina ia mafai ona faia le galuega e ala i sui faaletagata. O lea, ia tumau tagata ta‘itasi i lona tofiga o le tiute, ina ia faia lana vaega mo lenei taimi ma ia iloa o le Atua o lona faiaoga lea.” Testimonies, volume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Nomor Seratus Tiga Puluh Tiga</dc:title>
  <dc:subject>Levantando o Véu da Tapeçaria Profética: Perspectivas sobre o Tempo do Selamento dos 144.000</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