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ایک سو چونتیس نمبر</w:t>
      </w:r>
    </w:p>
    <w:p>
      <w:pPr>
        <w:pStyle w:val="ArticleSubtitle"/>
        <w:jc w:val="left"/>
      </w:pPr>
      <w:r>
        <w:rPr>
          <w:rFonts w:ascii="Arial" w:hAnsi="Arial" w:eastAsia="Arial" w:cs="Arial"/>
        </w:rPr>
        <w:t>Ufunuo wa Kinabii: Kuanzia Septemba 11, 2001, hadi Sheria ya Jumapili Inayokaribia nchini Marekani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Das Versiegelungszeit der einhundertvierundvierzigtausend von 11. September 2001 bis zum bald kommenden Sonntagsgesetz in den Vereinigten Staaten ist die prophetische Zeitspanne, in der jede Vision des Wortes Gottes in den letzten Tagen erfüllt wird.</w:t>
      </w:r>
    </w:p>
    <w:p>
      <w:pPr>
        <w:pStyle w:val="ArticleScripture"/>
        <w:jc w:val="left"/>
      </w:pPr>
      <w:r>
        <w:rPr>
          <w:rFonts w:ascii="Times New Roman" w:hAnsi="Times New Roman" w:eastAsia="Times New Roman" w:cs="Times New Roman"/>
        </w:rPr>
        <w:t>Entonces diles: Así dice el Señor Dios: Haré cesar este proverbio, y no lo usarán más como proverbio en Israel; sino diles: Se han acercado los días, y el cumplimiento de toda visión. Ezequiel 12:23.</w:t>
      </w:r>
    </w:p>
    <w:p>
      <w:pPr>
        <w:pStyle w:val="ArticleBody"/>
        <w:jc w:val="left"/>
      </w:pPr>
      <w:r>
        <w:rPr>
          <w:rFonts w:ascii="Times New Roman" w:hAnsi="Times New Roman" w:eastAsia="Times New Roman" w:cs="Times New Roman"/>
        </w:rPr>
        <w:t>Noong linyang iyon, muling dumarating ang ikatlong anghel, at sa gayon, ito ay kinakatawanan ng pagdating ng ikatlong anghel noong Oktubre 22, 1844, hanggang sa paghihimagsik ng 1863. Ang paghihimagsik ng 1863 ay kinakatawanan ng unang paghihimagsik ng sinaunang Israel sa Kadesh, at samakatuwid ay kinakatawanan ng buong kasaysayan mula sa pagtawid sa Dagat na Pula hanggang sa unang paghihimagsik sa Kadesh. Ang unang paghihimagsik sa Kadesh ay naglarawan sa ikalawang paghihimagsik sa Kadesh, at sa gayon, ang linya mula sa pagkamatay ni Aaron hanggang sa ikalawang paghihimagsik sa Kadesh ay inuulit sa linya ng pagtatatak.</w:t>
      </w:r>
    </w:p>
    <w:p>
      <w:pPr>
        <w:pStyle w:val="ArticleBody"/>
        <w:jc w:val="left"/>
      </w:pPr>
      <w:r>
        <w:rPr>
          <w:rFonts w:ascii="Times New Roman" w:hAnsi="Times New Roman" w:eastAsia="Times New Roman" w:cs="Times New Roman"/>
        </w:rPr>
        <w:t>To se opakuje v dějinách mileritů od roku 1840 až do roku 1844, což bylo předobrazeno Kristovým křtem až po kříž, a což zároveň představovalo také dějiny od kříže až po ukamenování Štěpána. Řádek za řádkem, každý ze starověkých proroků mluvil o tomto časovém období více než o dnech, ve kterých sám žil.</w:t>
      </w:r>
    </w:p>
    <w:p>
      <w:pPr>
        <w:pStyle w:val="ArticleScripture"/>
        <w:jc w:val="left"/>
      </w:pPr>
      <w:r>
        <w:rPr>
          <w:rFonts w:ascii="Times New Roman" w:hAnsi="Times New Roman" w:eastAsia="Times New Roman" w:cs="Times New Roman"/>
        </w:rPr>
        <w:t>« Chacun des anciens prophètes a parlé moins pour son propre temps que pour le nôtre, de sorte que leur prophétie demeure en vigueur pour nous.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 »</w:t>
      </w:r>
    </w:p>
    <w:p>
      <w:pPr>
        <w:pStyle w:val="ArticleScripture"/>
        <w:jc w:val="left"/>
      </w:pPr>
      <w:r>
        <w:rPr>
          <w:rFonts w:ascii="Times New Roman" w:hAnsi="Times New Roman" w:eastAsia="Times New Roman" w:cs="Times New Roman"/>
        </w:rPr>
        <w:t>«La Bible a accumulé et renfermé ensemble ses trésors pour cette dernière génération. Tous les grands événements et les transactions solennelles de l’histoire de l’Ancien Testament se sont répétés, et se répètent, dans l’Église en ces derniers jours.» Selected Messages, book 3, 338, 339.</w:t>
      </w:r>
    </w:p>
    <w:p>
      <w:pPr>
        <w:pStyle w:val="ArticleBody"/>
        <w:jc w:val="left"/>
      </w:pPr>
      <w:r>
        <w:rPr>
          <w:rFonts w:ascii="Times New Roman" w:hAnsi="Times New Roman" w:eastAsia="Times New Roman" w:cs="Times New Roman"/>
        </w:rPr>
        <w:t>Die „letzte Generation“ ist Petrus’ auserwähltes Geschlecht, nämlich die Hundertvierundvierzigtausend, und sie werden vom 11. September 2001 an bis zu dem bald kommenden Sonntagsgesetz erwählt, wo sie dann als Banner emporgehoben werden. „Alle“, nicht einige, sondern „alle großen Ereignisse und feierlichen Vorgänge“ des Wortes Gottes „wiederholen sich“ in der „letzten Generation“ der „Gemeinde“ der „letzten Tage“. In der Linie der Versiegelung treffen alle Bücher der Bibel zusammen und enden.</w:t>
      </w:r>
    </w:p>
    <w:p>
      <w:pPr>
        <w:pStyle w:val="ArticleScripture"/>
        <w:jc w:val="left"/>
      </w:pPr>
      <w:r>
        <w:rPr>
          <w:rFonts w:ascii="Times New Roman" w:hAnsi="Times New Roman" w:eastAsia="Times New Roman" w:cs="Times New Roman"/>
        </w:rPr>
        <w:t>« Dans l’Apocalypse, tous les livres de la Bible se rencontrent et s’achèvent. On y trouve le complément du livre de Daniel. L’un est une prophétie ; l’autre, une révélation. Le livre qui fut scellé n’est pas l’Apocalypse, mais cette partie de la prophétie de Daniel qui se rapporte aux derniers jours. L’ange donna cet ordre : “Mais toi, Daniel, tiens secrètes ces paroles, et scelle le livre jusqu’au temps de la fin.” Daniel 12:4. » Conquérants pacifiques, 585.</w:t>
      </w:r>
    </w:p>
    <w:p>
      <w:pPr>
        <w:pStyle w:val="ArticleBody"/>
        <w:jc w:val="left"/>
      </w:pPr>
      <w:r>
        <w:rPr>
          <w:rFonts w:ascii="Times New Roman" w:hAnsi="Times New Roman" w:eastAsia="Times New Roman" w:cs="Times New Roman"/>
        </w:rPr>
        <w:t>“</w:t>
      </w:r>
      <w:r>
        <w:rPr>
          <w:rFonts w:ascii="Nirmala UI" w:hAnsi="Nirmala UI" w:eastAsia="Nirmala UI" w:cs="Nirmala UI"/>
        </w:rPr>
        <w:t>වසිටින්නේ</w:t>
      </w:r>
      <w:r>
        <w:rPr>
          <w:rFonts w:ascii="Times New Roman" w:hAnsi="Times New Roman" w:eastAsia="Times New Roman" w:cs="Times New Roman"/>
        </w:rPr>
        <w:t xml:space="preserve"> </w:t>
      </w:r>
      <w:r>
        <w:rPr>
          <w:rFonts w:ascii="Nirmala UI" w:hAnsi="Nirmala UI" w:eastAsia="Nirmala UI" w:cs="Nirmala UI"/>
        </w:rPr>
        <w:t>දවස්</w:t>
      </w:r>
      <w:r>
        <w:rPr>
          <w:rFonts w:ascii="Times New Roman" w:hAnsi="Times New Roman" w:eastAsia="Times New Roman" w:cs="Times New Roman"/>
        </w:rPr>
        <w:t xml:space="preserve"> </w:t>
      </w:r>
      <w:r>
        <w:rPr>
          <w:rFonts w:ascii="Nirmala UI" w:hAnsi="Nirmala UI" w:eastAsia="Nirmala UI" w:cs="Nirmala UI"/>
        </w:rPr>
        <w:t>අන්තිමය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දානියෙල්ගේ</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කොටස</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ෂිනාර්හි</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ගංගා</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උලායි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හිද්දෙකෙල්</w:t>
      </w:r>
      <w:r>
        <w:rPr>
          <w:rFonts w:ascii="Times New Roman" w:hAnsi="Times New Roman" w:eastAsia="Times New Roman" w:cs="Times New Roman"/>
        </w:rPr>
        <w:t xml:space="preserve"> </w:t>
      </w:r>
      <w:r>
        <w:rPr>
          <w:rFonts w:ascii="Nirmala UI" w:hAnsi="Nirmala UI" w:eastAsia="Nirmala UI" w:cs="Nirmala UI"/>
        </w:rPr>
        <w:t>අසළ</w:t>
      </w:r>
      <w:r>
        <w:rPr>
          <w:rFonts w:ascii="Times New Roman" w:hAnsi="Times New Roman" w:eastAsia="Times New Roman" w:cs="Times New Roman"/>
        </w:rPr>
        <w:t xml:space="preserve"> </w:t>
      </w:r>
      <w:r>
        <w:rPr>
          <w:rFonts w:ascii="Nirmala UI" w:hAnsi="Nirmala UI" w:eastAsia="Nirmala UI" w:cs="Nirmala UI"/>
        </w:rPr>
        <w:t>දානියෙල්ට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දර්ශන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දර්ශන</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යායයේ</w:t>
      </w:r>
      <w:r>
        <w:rPr>
          <w:rFonts w:ascii="Times New Roman" w:hAnsi="Times New Roman" w:eastAsia="Times New Roman" w:cs="Times New Roman"/>
        </w:rPr>
        <w:t xml:space="preserve"> </w:t>
      </w:r>
      <w:r>
        <w:rPr>
          <w:rFonts w:ascii="Nirmala UI" w:hAnsi="Nirmala UI" w:eastAsia="Nirmala UI" w:cs="Nirmala UI"/>
        </w:rPr>
        <w:t>දහතුන්වන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දහහතරවන</w:t>
      </w:r>
      <w:r>
        <w:rPr>
          <w:rFonts w:ascii="Times New Roman" w:hAnsi="Times New Roman" w:eastAsia="Times New Roman" w:cs="Times New Roman"/>
        </w:rPr>
        <w:t xml:space="preserve"> </w:t>
      </w:r>
      <w:r>
        <w:rPr>
          <w:rFonts w:ascii="Nirmala UI" w:hAnsi="Nirmala UI" w:eastAsia="Nirmala UI" w:cs="Nirmala UI"/>
        </w:rPr>
        <w:t>පදයන්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යායයේ</w:t>
      </w:r>
      <w:r>
        <w:rPr>
          <w:rFonts w:ascii="Times New Roman" w:hAnsi="Times New Roman" w:eastAsia="Times New Roman" w:cs="Times New Roman"/>
        </w:rPr>
        <w:t xml:space="preserve"> </w:t>
      </w:r>
      <w:r>
        <w:rPr>
          <w:rFonts w:ascii="Nirmala UI" w:hAnsi="Nirmala UI" w:eastAsia="Nirmala UI" w:cs="Nirmala UI"/>
        </w:rPr>
        <w:t>හතළිස්වන</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හතළිස්පස්වන</w:t>
      </w:r>
      <w:r>
        <w:rPr>
          <w:rFonts w:ascii="Times New Roman" w:hAnsi="Times New Roman" w:eastAsia="Times New Roman" w:cs="Times New Roman"/>
        </w:rPr>
        <w:t xml:space="preserve"> </w:t>
      </w:r>
      <w:r>
        <w:rPr>
          <w:rFonts w:ascii="Nirmala UI" w:hAnsi="Nirmala UI" w:eastAsia="Nirmala UI" w:cs="Nirmala UI"/>
        </w:rPr>
        <w:t>පදයන්</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එක්ලක්ෂ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දහසගේ</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රාකාලය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උත්තම</w:t>
      </w:r>
      <w:r>
        <w:rPr>
          <w:rFonts w:ascii="Times New Roman" w:hAnsi="Times New Roman" w:eastAsia="Times New Roman" w:cs="Times New Roman"/>
        </w:rPr>
        <w:t xml:space="preserve"> </w:t>
      </w:r>
      <w:r>
        <w:rPr>
          <w:rFonts w:ascii="Nirmala UI" w:hAnsi="Nirmala UI" w:eastAsia="Nirmala UI" w:cs="Nirmala UI"/>
        </w:rPr>
        <w:t>පූජකයා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පරම්පරාවේ</w:t>
      </w:r>
      <w:r>
        <w:rPr>
          <w:rFonts w:ascii="Times New Roman" w:hAnsi="Times New Roman" w:eastAsia="Times New Roman" w:cs="Times New Roman"/>
        </w:rPr>
        <w:t xml:space="preserve"> </w:t>
      </w:r>
      <w:r>
        <w:rPr>
          <w:rFonts w:ascii="Nirmala UI" w:hAnsi="Nirmala UI" w:eastAsia="Nirmala UI" w:cs="Nirmala UI"/>
        </w:rPr>
        <w:t>තෝරාගත්</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දේවීය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මානවීය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සමන්විත</w:t>
      </w:r>
      <w:r>
        <w:rPr>
          <w:rFonts w:ascii="Times New Roman" w:hAnsi="Times New Roman" w:eastAsia="Times New Roman" w:cs="Times New Roman"/>
        </w:rPr>
        <w:t xml:space="preserve"> </w:t>
      </w:r>
      <w:r>
        <w:rPr>
          <w:rFonts w:ascii="Nirmala UI" w:hAnsi="Nirmala UI" w:eastAsia="Nirmala UI" w:cs="Nirmala UI"/>
        </w:rPr>
        <w:t>සම්බන්ධතාවයකට</w:t>
      </w:r>
      <w:r>
        <w:rPr>
          <w:rFonts w:ascii="Times New Roman" w:hAnsi="Times New Roman" w:eastAsia="Times New Roman" w:cs="Times New Roman"/>
        </w:rPr>
        <w:t xml:space="preserve"> </w:t>
      </w:r>
      <w:r>
        <w:rPr>
          <w:rFonts w:ascii="Nirmala UI" w:hAnsi="Nirmala UI" w:eastAsia="Nirmala UI" w:cs="Nirmala UI"/>
        </w:rPr>
        <w:t>සදාකාලිකව</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ඉතිහාසයයි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යායයේ</w:t>
      </w:r>
      <w:r>
        <w:rPr>
          <w:rFonts w:ascii="Times New Roman" w:hAnsi="Times New Roman" w:eastAsia="Times New Roman" w:cs="Times New Roman"/>
        </w:rPr>
        <w:t xml:space="preserve"> </w:t>
      </w:r>
      <w:r>
        <w:rPr>
          <w:rFonts w:ascii="Nirmala UI" w:hAnsi="Nirmala UI" w:eastAsia="Nirmala UI" w:cs="Nirmala UI"/>
        </w:rPr>
        <w:t>හතළිස්වන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අර්මගෙද්දෝනය</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නායකත්වය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අජගරයා</w:t>
      </w:r>
      <w:r>
        <w:rPr>
          <w:rFonts w:ascii="Times New Roman" w:hAnsi="Times New Roman" w:eastAsia="Times New Roman" w:cs="Times New Roman"/>
        </w:rPr>
        <w:t xml:space="preserve">, </w:t>
      </w:r>
      <w:r>
        <w:rPr>
          <w:rFonts w:ascii="Nirmala UI" w:hAnsi="Nirmala UI" w:eastAsia="Nirmala UI" w:cs="Nirmala UI"/>
        </w:rPr>
        <w:t>මෘගයා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බොරු</w:t>
      </w:r>
      <w:r>
        <w:rPr>
          <w:rFonts w:ascii="Times New Roman" w:hAnsi="Times New Roman" w:eastAsia="Times New Roman" w:cs="Times New Roman"/>
        </w:rPr>
        <w:t xml:space="preserve"> </w:t>
      </w:r>
      <w:r>
        <w:rPr>
          <w:rFonts w:ascii="Nirmala UI" w:hAnsi="Nirmala UI" w:eastAsia="Nirmala UI" w:cs="Nirmala UI"/>
        </w:rPr>
        <w:t>අනාගතවක්තෘයාගේ</w:t>
      </w:r>
      <w:r>
        <w:rPr>
          <w:rFonts w:ascii="Times New Roman" w:hAnsi="Times New Roman" w:eastAsia="Times New Roman" w:cs="Times New Roman"/>
        </w:rPr>
        <w:t xml:space="preserve"> </w:t>
      </w:r>
      <w:r>
        <w:rPr>
          <w:rFonts w:ascii="Nirmala UI" w:hAnsi="Nirmala UI" w:eastAsia="Nirmala UI" w:cs="Nirmala UI"/>
        </w:rPr>
        <w:t>සම්බන්ධතාවය</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දක්වයි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හතළිස්වන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බයිබල්</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හයවන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භූමි</w:t>
      </w:r>
      <w:r>
        <w:rPr>
          <w:rFonts w:ascii="Times New Roman" w:hAnsi="Times New Roman" w:eastAsia="Times New Roman" w:cs="Times New Roman"/>
        </w:rPr>
        <w:t xml:space="preserve"> </w:t>
      </w:r>
      <w:r>
        <w:rPr>
          <w:rFonts w:ascii="Nirmala UI" w:hAnsi="Nirmala UI" w:eastAsia="Nirmala UI" w:cs="Nirmala UI"/>
        </w:rPr>
        <w:t>මෘගයා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රිපබ්ලිකානවාදයේ</w:t>
      </w:r>
      <w:r>
        <w:rPr>
          <w:rFonts w:ascii="Times New Roman" w:hAnsi="Times New Roman" w:eastAsia="Times New Roman" w:cs="Times New Roman"/>
        </w:rPr>
        <w:t xml:space="preserve"> </w:t>
      </w:r>
      <w:r>
        <w:rPr>
          <w:rFonts w:ascii="Nirmala UI" w:hAnsi="Nirmala UI" w:eastAsia="Nirmala UI" w:cs="Nirmala UI"/>
        </w:rPr>
        <w:t>කොම්මුවේ</w:t>
      </w:r>
      <w:r>
        <w:rPr>
          <w:rFonts w:ascii="Times New Roman" w:hAnsi="Times New Roman" w:eastAsia="Times New Roman" w:cs="Times New Roman"/>
        </w:rPr>
        <w:t xml:space="preserve"> </w:t>
      </w:r>
      <w:r>
        <w:rPr>
          <w:rFonts w:ascii="Nirmala UI" w:hAnsi="Nirmala UI" w:eastAsia="Nirmala UI" w:cs="Nirmala UI"/>
        </w:rPr>
        <w:t>ඉතිහාසයෙන්</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හතළිස්වන</w:t>
      </w:r>
      <w:r>
        <w:rPr>
          <w:rFonts w:ascii="Times New Roman" w:hAnsi="Times New Roman" w:eastAsia="Times New Roman" w:cs="Times New Roman"/>
        </w:rPr>
        <w:t xml:space="preserve"> </w:t>
      </w:r>
      <w:r>
        <w:rPr>
          <w:rFonts w:ascii="Nirmala UI" w:hAnsi="Nirmala UI" w:eastAsia="Nirmala UI" w:cs="Nirmala UI"/>
        </w:rPr>
        <w:t>පදයම</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ඉක්මනින්</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පැවැත්වෙන</w:t>
      </w:r>
      <w:r>
        <w:rPr>
          <w:rFonts w:ascii="Times New Roman" w:hAnsi="Times New Roman" w:eastAsia="Times New Roman" w:cs="Times New Roman"/>
        </w:rPr>
        <w:t xml:space="preserve"> </w:t>
      </w:r>
      <w:r>
        <w:rPr>
          <w:rFonts w:ascii="Nirmala UI" w:hAnsi="Nirmala UI" w:eastAsia="Nirmala UI" w:cs="Nirmala UI"/>
        </w:rPr>
        <w:t>එමම</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රොටස්ටන්තවාදයේ</w:t>
      </w:r>
      <w:r>
        <w:rPr>
          <w:rFonts w:ascii="Times New Roman" w:hAnsi="Times New Roman" w:eastAsia="Times New Roman" w:cs="Times New Roman"/>
        </w:rPr>
        <w:t xml:space="preserve"> </w:t>
      </w:r>
      <w:r>
        <w:rPr>
          <w:rFonts w:ascii="Nirmala UI" w:hAnsi="Nirmala UI" w:eastAsia="Nirmala UI" w:cs="Nirmala UI"/>
        </w:rPr>
        <w:t>කොම්මුවේ</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නිර්වචනය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රඥාවන්තයන්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මෝඩයන්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වෙන්වීමද</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දක්වයි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تمام «کتاب‌های کتاب‌مقدس» در کتاب مکاشفه «به هم می‌رسند و پایان می‌یابند»، و هنگامی که به هم می‌رسند، کتاب مکاشفه، کتاب دانیال را «تکمیل» می‌کند، و واژهٔ «تکمیل» به معنای به کمال رساندن است. در زمان مُهرگذاریِ آن یکصد و چهل و چهار هزار نفر، چنان‌که در کتاب مکاشفه به تصویر کشیده شده است، نبوت‌های دانیال که در ایام آخر گشوده شدند، به کمال رسانده می‌شوند، آنگاه که سطر به سطر، بر خطِ تاریخِ نمایانده‌شده در باب هجدهم مکاشفه، در کنار هم قرار می‌گیرند؛ تاریخی که با صدا در آیات یک تا سه آغاز می‌شود و با صدای دومِ آیهٔ چهار پایان می‌یابد.</w:t>
      </w:r>
    </w:p>
    <w:p>
      <w:pPr>
        <w:pStyle w:val="ArticleBody"/>
        <w:jc w:val="left"/>
      </w:pPr>
      <w:r>
        <w:rPr>
          <w:rFonts w:ascii="Times New Roman" w:hAnsi="Times New Roman" w:eastAsia="Times New Roman" w:cs="Times New Roman"/>
        </w:rPr>
        <w:t>Ukuphelela kombono wesiprofetho omelwe nguMfula iHidekeli encwadini kaDaniyeli, kumela ukuphelela kombono wangaphandle wezitha zabantu bakaNkulunkulu ezinyathela phansi indawo engcwele nebandla. Ukuphelela kombono wesiprofetho omelwe nguMfula i-Ulai encwadini kaDaniyeli, kumela ukuphelela kombono wangaphakathi kaKristu ebonakala phakathi kwabantu baKhe lapho egcwalisa isithembiso sesivumelwano sokuhlanganisa ubuNkulunkulu nobuntu phezu kwesizukulwane sokugcina esikhethiweyo.</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केंद्रित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2001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पैट्रियट</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1798 </w:t>
      </w:r>
      <w:r>
        <w:rPr>
          <w:rFonts w:ascii="Nirmala UI" w:hAnsi="Nirmala UI" w:eastAsia="Nirmala UI" w:cs="Nirmala UI"/>
        </w:rPr>
        <w:t>के</w:t>
      </w:r>
      <w:r>
        <w:rPr>
          <w:rFonts w:ascii="Times New Roman" w:hAnsi="Times New Roman" w:eastAsia="Times New Roman" w:cs="Times New Roman"/>
        </w:rPr>
        <w:t xml:space="preserve"> Alien and Sedition Acts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1798 </w:t>
      </w:r>
      <w:r>
        <w:rPr>
          <w:rFonts w:ascii="Nirmala UI" w:hAnsi="Nirmala UI" w:eastAsia="Nirmala UI" w:cs="Nirmala UI"/>
        </w:rPr>
        <w:t>के</w:t>
      </w:r>
      <w:r>
        <w:rPr>
          <w:rFonts w:ascii="Times New Roman" w:hAnsi="Times New Roman" w:eastAsia="Times New Roman" w:cs="Times New Roman"/>
        </w:rPr>
        <w:t xml:space="preserve"> Alien and Sedition Acts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1776 </w:t>
      </w:r>
      <w:r>
        <w:rPr>
          <w:rFonts w:ascii="Nirmala UI" w:hAnsi="Nirmala UI" w:eastAsia="Nirmala UI" w:cs="Nirmala UI"/>
        </w:rPr>
        <w:t>में</w:t>
      </w:r>
      <w:r>
        <w:rPr>
          <w:rFonts w:ascii="Times New Roman" w:hAnsi="Times New Roman" w:eastAsia="Times New Roman" w:cs="Times New Roman"/>
        </w:rPr>
        <w:t xml:space="preserve"> Declaration of Independence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भविष्यवाणीमय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1789 </w:t>
      </w:r>
      <w:r>
        <w:rPr>
          <w:rFonts w:ascii="Nirmala UI" w:hAnsi="Nirmala UI" w:eastAsia="Nirmala UI" w:cs="Nirmala UI"/>
        </w:rPr>
        <w:t>में</w:t>
      </w:r>
      <w:r>
        <w:rPr>
          <w:rFonts w:ascii="Times New Roman" w:hAnsi="Times New Roman" w:eastAsia="Times New Roman" w:cs="Times New Roman"/>
        </w:rPr>
        <w:t xml:space="preserve"> Constitution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बोला।</w:t>
      </w:r>
    </w:p>
    <w:p>
      <w:pPr>
        <w:pStyle w:val="ArticleBody"/>
        <w:jc w:val="left"/>
      </w:pPr>
      <w:r>
        <w:rPr>
          <w:rFonts w:ascii="Times New Roman" w:hAnsi="Times New Roman" w:eastAsia="Times New Roman" w:cs="Times New Roman"/>
        </w:rPr>
        <w:t>Le fait de parler de 1776 s’aligne sur le fait de parler du Patriot Act, et les Alien and Sedition Acts représentent la loi dominicale qui doit bientôt venir aux États-Unis. Au milieu de cette histoire, il devrait y avoir une autre prise de parole qui s’aligne sur 1789. La première voix d’Apocalypse dix-huit, versets un à trois, est clairement identifiée comme survenant lorsque les grands édifices de la ville de New York furent renversés. La seconde voix du verset quatre est, elle aussi, clairement identifiée comme la loi dominicale imminente. Ces deux voix sont des voix divines, car elles sont toutes deux la voix de l’ange qui doit éclairer la terre de sa gloire, que Sister White identifie comme étant le premier ange d’Apocalypse quatorze. Jésus était le premier ange, et Il illustre toujours la fin d’une chose par son commencement; ainsi, Il est aussi le troisième ange, qui est l’ange qui éclaire la terre de sa gloire.</w:t>
      </w:r>
    </w:p>
    <w:p>
      <w:pPr>
        <w:pStyle w:val="ArticleBody"/>
        <w:jc w:val="left"/>
      </w:pPr>
      <w:r>
        <w:rPr>
          <w:rFonts w:ascii="Gadugi" w:hAnsi="Gadugi" w:eastAsia="Gadugi" w:cs="Gadugi"/>
        </w:rPr>
        <w:t>ᏍᎩᏂ</w:t>
      </w:r>
      <w:r>
        <w:rPr>
          <w:rFonts w:ascii="Times New Roman" w:hAnsi="Times New Roman" w:eastAsia="Times New Roman" w:cs="Times New Roman"/>
        </w:rPr>
        <w:t xml:space="preserve"> </w:t>
      </w:r>
      <w:r>
        <w:rPr>
          <w:rFonts w:ascii="Gadugi" w:hAnsi="Gadugi" w:eastAsia="Gadugi" w:cs="Gadugi"/>
        </w:rPr>
        <w:t>ᎤᏂᏴᏫᏯ</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ᏗᏎᏍᏗ</w:t>
      </w:r>
      <w:r>
        <w:rPr>
          <w:rFonts w:ascii="Times New Roman" w:hAnsi="Times New Roman" w:eastAsia="Times New Roman" w:cs="Times New Roman"/>
        </w:rPr>
        <w:t xml:space="preserve"> </w:t>
      </w:r>
      <w:r>
        <w:rPr>
          <w:rFonts w:ascii="Gadugi" w:hAnsi="Gadugi" w:eastAsia="Gadugi" w:cs="Gadugi"/>
        </w:rPr>
        <w:t>ᎤᏂᏬᏂᏍᎬᎢ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ᎤᏂᎦᏔᎲᎢ</w:t>
      </w:r>
      <w:r>
        <w:rPr>
          <w:rFonts w:ascii="Times New Roman" w:hAnsi="Times New Roman" w:eastAsia="Times New Roman" w:cs="Times New Roman"/>
        </w:rPr>
        <w:t xml:space="preserve"> </w:t>
      </w:r>
      <w:r>
        <w:rPr>
          <w:rFonts w:ascii="Gadugi" w:hAnsi="Gadugi" w:eastAsia="Gadugi" w:cs="Gadugi"/>
        </w:rPr>
        <w:t>ᎠᎾᏟᎶᏍᏔᏅᎢ</w:t>
      </w:r>
      <w:r>
        <w:rPr>
          <w:rFonts w:ascii="Times New Roman" w:hAnsi="Times New Roman" w:eastAsia="Times New Roman" w:cs="Times New Roman"/>
        </w:rPr>
        <w:t xml:space="preserve"> </w:t>
      </w:r>
      <w:r>
        <w:rPr>
          <w:rFonts w:ascii="Gadugi" w:hAnsi="Gadugi" w:eastAsia="Gadugi" w:cs="Gadugi"/>
        </w:rPr>
        <w:t>ᎦᏃᎯᏳ</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Revelation chapter ten </w:t>
      </w:r>
      <w:r>
        <w:rPr>
          <w:rFonts w:ascii="Gadugi" w:hAnsi="Gadugi" w:eastAsia="Gadugi" w:cs="Gadugi"/>
        </w:rPr>
        <w:t>ᎭᏫᏂᏗᏢ</w:t>
      </w:r>
      <w:r>
        <w:rPr>
          <w:rFonts w:ascii="Times New Roman" w:hAnsi="Times New Roman" w:eastAsia="Times New Roman" w:cs="Times New Roman"/>
        </w:rPr>
        <w:t xml:space="preserve">, </w:t>
      </w:r>
      <w:r>
        <w:rPr>
          <w:rFonts w:ascii="Gadugi" w:hAnsi="Gadugi" w:eastAsia="Gadugi" w:cs="Gadugi"/>
        </w:rPr>
        <w:t>ᎠᏂᏃᎮᎸᎢ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August 11, 1840 </w:t>
      </w:r>
      <w:r>
        <w:rPr>
          <w:rFonts w:ascii="Gadugi" w:hAnsi="Gadugi" w:eastAsia="Gadugi" w:cs="Gadugi"/>
        </w:rPr>
        <w:t>ᎤᏩᏍᏗ</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ᏗᎦᎸᏉᏗ</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ᎠᏂᏃᎮᎸᎢ</w:t>
      </w:r>
      <w:r>
        <w:rPr>
          <w:rFonts w:ascii="Times New Roman" w:hAnsi="Times New Roman" w:eastAsia="Times New Roman" w:cs="Times New Roman"/>
        </w:rPr>
        <w:t xml:space="preserve"> September 11, 2001 </w:t>
      </w:r>
      <w:r>
        <w:rPr>
          <w:rFonts w:ascii="Gadugi" w:hAnsi="Gadugi" w:eastAsia="Gadugi" w:cs="Gadugi"/>
        </w:rPr>
        <w:t>ᎤᏩᏍᏗ</w:t>
      </w:r>
      <w:r>
        <w:rPr>
          <w:rFonts w:ascii="Times New Roman" w:hAnsi="Times New Roman" w:eastAsia="Times New Roman" w:cs="Times New Roman"/>
        </w:rPr>
        <w:t xml:space="preserve">. Sister White </w:t>
      </w:r>
      <w:r>
        <w:rPr>
          <w:rFonts w:ascii="Gadugi" w:hAnsi="Gadugi" w:eastAsia="Gadugi" w:cs="Gadugi"/>
        </w:rPr>
        <w:t>ᎬᏩᏓᏁᎸ</w:t>
      </w:r>
      <w:r>
        <w:rPr>
          <w:rFonts w:ascii="Times New Roman" w:hAnsi="Times New Roman" w:eastAsia="Times New Roman" w:cs="Times New Roman"/>
        </w:rPr>
        <w:t xml:space="preserve"> </w:t>
      </w:r>
      <w:r>
        <w:rPr>
          <w:rFonts w:ascii="Gadugi" w:hAnsi="Gadugi" w:eastAsia="Gadugi" w:cs="Gadugi"/>
        </w:rPr>
        <w:t>ᎤᏗᏗᏍᎬᎢ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ᎤᏂᏃᎮᎸᎯ</w:t>
      </w:r>
      <w:r>
        <w:rPr>
          <w:rFonts w:ascii="Times New Roman" w:hAnsi="Times New Roman" w:eastAsia="Times New Roman" w:cs="Times New Roman"/>
        </w:rPr>
        <w:t xml:space="preserve"> chapter ten </w:t>
      </w:r>
      <w:r>
        <w:rPr>
          <w:rFonts w:ascii="Gadugi" w:hAnsi="Gadugi" w:eastAsia="Gadugi" w:cs="Gadugi"/>
        </w:rPr>
        <w:t>ᎭᏫᏂᏗᏢ</w:t>
      </w:r>
      <w:r>
        <w:rPr>
          <w:rFonts w:ascii="Times New Roman" w:hAnsi="Times New Roman" w:eastAsia="Times New Roman" w:cs="Times New Roman"/>
        </w:rPr>
        <w:t xml:space="preserve">, “no less a personage than Jesus Christ.” </w:t>
      </w:r>
      <w:r>
        <w:rPr>
          <w:rFonts w:ascii="Gadugi" w:hAnsi="Gadugi" w:eastAsia="Gadugi" w:cs="Gadugi"/>
        </w:rPr>
        <w:t>ᎤᏛᏅ</w:t>
      </w:r>
      <w:r>
        <w:rPr>
          <w:rFonts w:ascii="Times New Roman" w:hAnsi="Times New Roman" w:eastAsia="Times New Roman" w:cs="Times New Roman"/>
        </w:rPr>
        <w:t xml:space="preserve">. Revelation eighteen </w:t>
      </w:r>
      <w:r>
        <w:rPr>
          <w:rFonts w:ascii="Gadugi" w:hAnsi="Gadugi" w:eastAsia="Gadugi" w:cs="Gadugi"/>
        </w:rPr>
        <w:t>ᎭᏫᏂᏗᏢ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ᎠᏔᎵᏁ</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ᎤᏪᎶᏗ</w:t>
      </w:r>
      <w:r>
        <w:rPr>
          <w:rFonts w:ascii="Times New Roman" w:hAnsi="Times New Roman" w:eastAsia="Times New Roman" w:cs="Times New Roman"/>
        </w:rPr>
        <w:t xml:space="preserve"> </w:t>
      </w:r>
      <w:r>
        <w:rPr>
          <w:rFonts w:ascii="Gadugi" w:hAnsi="Gadugi" w:eastAsia="Gadugi" w:cs="Gadugi"/>
        </w:rPr>
        <w:t>ᎦᏃᎯᏳ</w:t>
      </w:r>
      <w:r>
        <w:rPr>
          <w:rFonts w:ascii="Times New Roman" w:hAnsi="Times New Roman" w:eastAsia="Times New Roman" w:cs="Times New Roman"/>
        </w:rPr>
        <w:t xml:space="preserve"> 1776, 1789 </w:t>
      </w:r>
      <w:r>
        <w:rPr>
          <w:rFonts w:ascii="Gadugi" w:hAnsi="Gadugi" w:eastAsia="Gadugi" w:cs="Gadugi"/>
        </w:rPr>
        <w:t>ᎠᎴ</w:t>
      </w:r>
      <w:r>
        <w:rPr>
          <w:rFonts w:ascii="Times New Roman" w:hAnsi="Times New Roman" w:eastAsia="Times New Roman" w:cs="Times New Roman"/>
        </w:rPr>
        <w:t xml:space="preserve"> 1798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ᏧᏬᏂᏒᎢ</w:t>
      </w:r>
      <w:r>
        <w:rPr>
          <w:rFonts w:ascii="Times New Roman" w:hAnsi="Times New Roman" w:eastAsia="Times New Roman" w:cs="Times New Roman"/>
        </w:rPr>
        <w:t xml:space="preserve">. Revelation eighteen </w:t>
      </w:r>
      <w:r>
        <w:rPr>
          <w:rFonts w:ascii="Gadugi" w:hAnsi="Gadugi" w:eastAsia="Gadugi" w:cs="Gadugi"/>
        </w:rPr>
        <w:t>ᎭᏫᏂᏗᏢ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ᎠᏔᎵᏁ</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ᏥᏂᎦᏪᏍᎬᎢ</w:t>
      </w:r>
      <w:r>
        <w:rPr>
          <w:rFonts w:ascii="Times New Roman" w:hAnsi="Times New Roman" w:eastAsia="Times New Roman" w:cs="Times New Roman"/>
        </w:rPr>
        <w:t xml:space="preserve"> Revelation chapter eleven </w:t>
      </w:r>
      <w:r>
        <w:rPr>
          <w:rFonts w:ascii="Gadugi" w:hAnsi="Gadugi" w:eastAsia="Gadugi" w:cs="Gadugi"/>
        </w:rPr>
        <w:t>ᎭᏫᏂᏗᏢ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Au bout de trois jours et demi, un esprit de vie, venant de Dieu, entra en eux, et ils se tinrent sur leurs pieds; et une grande crainte saisit ceux qui les voyaient. Et ils entendirent du ciel une grande voix leur disant: Montez ici. Et ils montèrent au ciel dans une nuée; et leurs ennemis les regardèrent. Apocalypse 11:11, 12.</w:t>
      </w:r>
    </w:p>
    <w:p>
      <w:pPr>
        <w:pStyle w:val="ArticleBody"/>
        <w:jc w:val="left"/>
      </w:pPr>
      <w:r>
        <w:rPr>
          <w:rFonts w:ascii="Times New Roman" w:hAnsi="Times New Roman" w:eastAsia="Times New Roman" w:cs="Times New Roman"/>
        </w:rPr>
        <w:t>Em julho de 2023, uma voz vinda do céu (a voz de Cristo) começou a ressuscitar as duas testemunhas que haviam sido mortas nas ruas pelo dragão ateísta que sobe do abismo. A partir desse ponto, as questões associadas à Constituição dos Estados Unidos tornaram-se um tema profético, pois, na voz seguinte, representada por 1798, a Constituição será completamente derrubada. Cada um dos três marcos de 1776, 1789 e 1798 está em alinhamento com as três vozes divinas assinaladas como 11 de setembro de 2001, julho de 2023 e a lei dominical prestes a vir.</w:t>
      </w:r>
    </w:p>
    <w:p>
      <w:pPr>
        <w:pStyle w:val="ArticleBody"/>
        <w:jc w:val="left"/>
      </w:pPr>
      <w:r>
        <w:rPr>
          <w:rFonts w:ascii="Times New Roman" w:hAnsi="Times New Roman" w:eastAsia="Times New Roman" w:cs="Times New Roman"/>
        </w:rPr>
        <w:t>Ces trois étapes correspondent aux trois étapes du troisième malheur, représentées par le 11 septembre 2001, le 7 octobre 2023, et la loi dominicale bientôt à venir, lorsque la septième trompette, qui est le troisième malheur, surviendra soudainement à l’heure du « grand tremblement de terre ». En 2023, la transition des deux cornes de la bête de la terre a commencé, comme le représente le songe secret de l’image de Nebucadnetsar. Le songe de Nebucadnetsar au chapitre deux était un secret que Dieu seul pouvait révéler, et Il l’a révélé à ceux qui avaient passé la première épreuve représentée au chapitre un de Daniel.</w:t>
      </w:r>
    </w:p>
    <w:p>
      <w:pPr>
        <w:pStyle w:val="ArticleBody"/>
        <w:jc w:val="left"/>
      </w:pPr>
      <w:r>
        <w:rPr>
          <w:rFonts w:ascii="Nirmala UI" w:hAnsi="Nirmala UI" w:eastAsia="Nirmala UI" w:cs="Nirmala UI"/>
        </w:rPr>
        <w:t>ඩැනියෙල්</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පරීක්ෂාව</w:t>
      </w:r>
      <w:r>
        <w:rPr>
          <w:rFonts w:ascii="Times New Roman" w:hAnsi="Times New Roman" w:eastAsia="Times New Roman" w:cs="Times New Roman"/>
        </w:rPr>
        <w:t xml:space="preserve"> </w:t>
      </w:r>
      <w:r>
        <w:rPr>
          <w:rFonts w:ascii="Nirmala UI" w:hAnsi="Nirmala UI" w:eastAsia="Nirmala UI" w:cs="Nirmala UI"/>
        </w:rPr>
        <w:t>ජයගත්</w:t>
      </w:r>
      <w:r>
        <w:rPr>
          <w:rFonts w:ascii="Times New Roman" w:hAnsi="Times New Roman" w:eastAsia="Times New Roman" w:cs="Times New Roman"/>
        </w:rPr>
        <w:t xml:space="preserve"> </w:t>
      </w:r>
      <w:r>
        <w:rPr>
          <w:rFonts w:ascii="Nirmala UI" w:hAnsi="Nirmala UI" w:eastAsia="Nirmala UI" w:cs="Nirmala UI"/>
        </w:rPr>
        <w:t>තිදෙනා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විරූපවන්තයෝ</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ආහාරය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ස්වර්ගික</w:t>
      </w:r>
      <w:r>
        <w:rPr>
          <w:rFonts w:ascii="Times New Roman" w:hAnsi="Times New Roman" w:eastAsia="Times New Roman" w:cs="Times New Roman"/>
        </w:rPr>
        <w:t xml:space="preserve"> </w:t>
      </w:r>
      <w:r>
        <w:rPr>
          <w:rFonts w:ascii="Nirmala UI" w:hAnsi="Nirmala UI" w:eastAsia="Nirmala UI" w:cs="Nirmala UI"/>
        </w:rPr>
        <w:t>ආහාරය</w:t>
      </w:r>
      <w:r>
        <w:rPr>
          <w:rFonts w:ascii="Times New Roman" w:hAnsi="Times New Roman" w:eastAsia="Times New Roman" w:cs="Times New Roman"/>
        </w:rPr>
        <w:t xml:space="preserve"> </w:t>
      </w:r>
      <w:r>
        <w:rPr>
          <w:rFonts w:ascii="Nirmala UI" w:hAnsi="Nirmala UI" w:eastAsia="Nirmala UI" w:cs="Nirmala UI"/>
        </w:rPr>
        <w:t>භුජනය</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තෝරාගත්</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දේවදූතයාගේ</w:t>
      </w:r>
      <w:r>
        <w:rPr>
          <w:rFonts w:ascii="Times New Roman" w:hAnsi="Times New Roman" w:eastAsia="Times New Roman" w:cs="Times New Roman"/>
        </w:rPr>
        <w:t xml:space="preserve"> </w:t>
      </w:r>
      <w:r>
        <w:rPr>
          <w:rFonts w:ascii="Nirmala UI" w:hAnsi="Nirmala UI" w:eastAsia="Nirmala UI" w:cs="Nirmala UI"/>
        </w:rPr>
        <w:t>අතින්</w:t>
      </w:r>
      <w:r>
        <w:rPr>
          <w:rFonts w:ascii="Times New Roman" w:hAnsi="Times New Roman" w:eastAsia="Times New Roman" w:cs="Times New Roman"/>
        </w:rPr>
        <w:t xml:space="preserve"> </w:t>
      </w:r>
      <w:r>
        <w:rPr>
          <w:rFonts w:ascii="Nirmala UI" w:hAnsi="Nirmala UI" w:eastAsia="Nirmala UI" w:cs="Nirmala UI"/>
        </w:rPr>
        <w:t>කුඩා</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ගන්නා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දේවදූතයා</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රිස්තුස්වහන්සේම</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අන්</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අන්තර්ගත</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භුජනය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දසවන</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ස්වර්ගික</w:t>
      </w:r>
      <w:r>
        <w:rPr>
          <w:rFonts w:ascii="Times New Roman" w:hAnsi="Times New Roman" w:eastAsia="Times New Roman" w:cs="Times New Roman"/>
        </w:rPr>
        <w:t xml:space="preserve"> </w:t>
      </w:r>
      <w:r>
        <w:rPr>
          <w:rFonts w:ascii="Nirmala UI" w:hAnsi="Nirmala UI" w:eastAsia="Nirmala UI" w:cs="Nirmala UI"/>
        </w:rPr>
        <w:t>මන්නාවගේ</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භුජනය</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ලේ</w:t>
      </w:r>
      <w:r>
        <w:rPr>
          <w:rFonts w:ascii="Times New Roman" w:hAnsi="Times New Roman" w:eastAsia="Times New Roman" w:cs="Times New Roman"/>
        </w:rPr>
        <w:t xml:space="preserve"> </w:t>
      </w:r>
      <w:r>
        <w:rPr>
          <w:rFonts w:ascii="Nirmala UI" w:hAnsi="Nirmala UI" w:eastAsia="Nirmala UI" w:cs="Nirmala UI"/>
        </w:rPr>
        <w:t>පානය</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තෝරාගත්</w:t>
      </w:r>
      <w:r>
        <w:rPr>
          <w:rFonts w:ascii="Times New Roman" w:hAnsi="Times New Roman" w:eastAsia="Times New Roman" w:cs="Times New Roman"/>
        </w:rPr>
        <w:t xml:space="preserve">, </w:t>
      </w:r>
      <w:r>
        <w:rPr>
          <w:rFonts w:ascii="Nirmala UI" w:hAnsi="Nirmala UI" w:eastAsia="Nirmala UI" w:cs="Nirmala UI"/>
        </w:rPr>
        <w:t>අන්</w:t>
      </w:r>
      <w:r>
        <w:rPr>
          <w:rFonts w:ascii="Times New Roman" w:hAnsi="Times New Roman" w:eastAsia="Times New Roman" w:cs="Times New Roman"/>
        </w:rPr>
        <w:t xml:space="preserve"> </w:t>
      </w:r>
      <w:r>
        <w:rPr>
          <w:rFonts w:ascii="Nirmala UI" w:hAnsi="Nirmala UI" w:eastAsia="Nirmala UI" w:cs="Nirmala UI"/>
        </w:rPr>
        <w:t>පන්තිය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පිළිගත්</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 xml:space="preserve"> </w:t>
      </w:r>
      <w:r>
        <w:rPr>
          <w:rFonts w:ascii="Nirmala UI" w:hAnsi="Nirmala UI" w:eastAsia="Nirmala UI" w:cs="Nirmala UI"/>
        </w:rPr>
        <w:t>පන්තිය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රිස්තුස්වහන්සේගෙන්</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හයවන</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හැටහයවන</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සදාකාලයටම</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නොහැර</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නොකළහ</w:t>
      </w:r>
      <w:r>
        <w:rPr>
          <w:rFonts w:ascii="Times New Roman" w:hAnsi="Times New Roman" w:eastAsia="Times New Roman" w:cs="Times New Roman"/>
        </w:rPr>
        <w:t>.</w:t>
      </w:r>
    </w:p>
    <w:p>
      <w:pPr>
        <w:pStyle w:val="ArticleBody"/>
        <w:jc w:val="left"/>
      </w:pPr>
      <w:r>
        <w:rPr>
          <w:rFonts w:ascii="Nirmala UI" w:hAnsi="Nirmala UI" w:eastAsia="Nirmala UI" w:cs="Nirmala UI"/>
        </w:rPr>
        <w:t>பரலோக</w:t>
      </w:r>
      <w:r>
        <w:rPr>
          <w:rFonts w:ascii="Times New Roman" w:hAnsi="Times New Roman" w:eastAsia="Times New Roman" w:cs="Times New Roman"/>
        </w:rPr>
        <w:t xml:space="preserve"> </w:t>
      </w:r>
      <w:r>
        <w:rPr>
          <w:rFonts w:ascii="Nirmala UI" w:hAnsi="Nirmala UI" w:eastAsia="Nirmala UI" w:cs="Nirmala UI"/>
        </w:rPr>
        <w:t>மன்னாவைப்</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கற்றுக்கொடுத்தது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வரிசையில்</w:t>
      </w:r>
      <w:r>
        <w:rPr>
          <w:rFonts w:ascii="Times New Roman" w:hAnsi="Times New Roman" w:eastAsia="Times New Roman" w:cs="Times New Roman"/>
        </w:rPr>
        <w:t xml:space="preserve"> </w:t>
      </w:r>
      <w:r>
        <w:rPr>
          <w:rFonts w:ascii="Nirmala UI" w:hAnsi="Nirmala UI" w:eastAsia="Nirmala UI" w:cs="Nirmala UI"/>
        </w:rPr>
        <w:t>கலிலேயாவில்</w:t>
      </w:r>
      <w:r>
        <w:rPr>
          <w:rFonts w:ascii="Times New Roman" w:hAnsi="Times New Roman" w:eastAsia="Times New Roman" w:cs="Times New Roman"/>
        </w:rPr>
        <w:t xml:space="preserve"> </w:t>
      </w:r>
      <w:r>
        <w:rPr>
          <w:rFonts w:ascii="Nirmala UI" w:hAnsi="Nirmala UI" w:eastAsia="Nirmala UI" w:cs="Nirmala UI"/>
        </w:rPr>
        <w:t>இருந்தபோதுதான்</w:t>
      </w:r>
      <w:r>
        <w:rPr>
          <w:rFonts w:ascii="Times New Roman" w:hAnsi="Times New Roman" w:eastAsia="Times New Roman" w:cs="Times New Roman"/>
        </w:rPr>
        <w:t>; “</w:t>
      </w:r>
      <w:r>
        <w:rPr>
          <w:rFonts w:ascii="Nirmala UI" w:hAnsi="Nirmala UI" w:eastAsia="Nirmala UI" w:cs="Nirmala UI"/>
        </w:rPr>
        <w:t>கலிலேயா</w:t>
      </w:r>
      <w:r>
        <w:rPr>
          <w:rFonts w:ascii="Times New Roman" w:hAnsi="Times New Roman" w:eastAsia="Times New Roman" w:cs="Times New Roman"/>
        </w:rPr>
        <w:t xml:space="preserve">” </w:t>
      </w:r>
      <w:r>
        <w:rPr>
          <w:rFonts w:ascii="Nirmala UI" w:hAnsi="Nirmala UI" w:eastAsia="Nirmala UI" w:cs="Nirmala UI"/>
        </w:rPr>
        <w:t>என்பதன்</w:t>
      </w:r>
      <w:r>
        <w:rPr>
          <w:rFonts w:ascii="Times New Roman" w:hAnsi="Times New Roman" w:eastAsia="Times New Roman" w:cs="Times New Roman"/>
        </w:rPr>
        <w:t xml:space="preserve"> </w:t>
      </w:r>
      <w:r>
        <w:rPr>
          <w:rFonts w:ascii="Nirmala UI" w:hAnsi="Nirmala UI" w:eastAsia="Nirmala UI" w:cs="Nirmala UI"/>
        </w:rPr>
        <w:t>பொருள்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திருப்புமுனை</w:t>
      </w:r>
      <w:r>
        <w:rPr>
          <w:rFonts w:ascii="Times New Roman" w:hAnsi="Times New Roman" w:eastAsia="Times New Roman" w:cs="Times New Roman"/>
        </w:rPr>
        <w:t xml:space="preserve">” </w:t>
      </w:r>
      <w:r>
        <w:rPr>
          <w:rFonts w:ascii="Nirmala UI" w:hAnsi="Nirmala UI" w:eastAsia="Nirmala UI" w:cs="Nirmala UI"/>
        </w:rPr>
        <w:t>என்பதாகும்</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உண்டதுபோலவும்</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உண்டதுபோலவும்</w:t>
      </w:r>
      <w:r>
        <w:rPr>
          <w:rFonts w:ascii="Times New Roman" w:hAnsi="Times New Roman" w:eastAsia="Times New Roman" w:cs="Times New Roman"/>
        </w:rPr>
        <w:t xml:space="preserve">, </w:t>
      </w:r>
      <w:r>
        <w:rPr>
          <w:rFonts w:ascii="Nirmala UI" w:hAnsi="Nirmala UI" w:eastAsia="Nirmala UI" w:cs="Nirmala UI"/>
        </w:rPr>
        <w:t>எரேமியா</w:t>
      </w:r>
      <w:r>
        <w:rPr>
          <w:rFonts w:ascii="Times New Roman" w:hAnsi="Times New Roman" w:eastAsia="Times New Roman" w:cs="Times New Roman"/>
        </w:rPr>
        <w:t xml:space="preserve"> </w:t>
      </w:r>
      <w:r>
        <w:rPr>
          <w:rFonts w:ascii="Nirmala UI" w:hAnsi="Nirmala UI" w:eastAsia="Nirmala UI" w:cs="Nirmala UI"/>
        </w:rPr>
        <w:t>பதினைந்தாம்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உண்டதுபோலவும்</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சீடர்கள்</w:t>
      </w:r>
      <w:r>
        <w:rPr>
          <w:rFonts w:ascii="Times New Roman" w:hAnsi="Times New Roman" w:eastAsia="Times New Roman" w:cs="Times New Roman"/>
        </w:rPr>
        <w:t xml:space="preserve"> </w:t>
      </w:r>
      <w:r>
        <w:rPr>
          <w:rFonts w:ascii="Nirmala UI" w:hAnsi="Nirmala UI" w:eastAsia="Nirmala UI" w:cs="Nirmala UI"/>
        </w:rPr>
        <w:t>உண்ண</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பரலோக</w:t>
      </w:r>
      <w:r>
        <w:rPr>
          <w:rFonts w:ascii="Times New Roman" w:hAnsi="Times New Roman" w:eastAsia="Times New Roman" w:cs="Times New Roman"/>
        </w:rPr>
        <w:t xml:space="preserve"> </w:t>
      </w:r>
      <w:r>
        <w:rPr>
          <w:rFonts w:ascii="Nirmala UI" w:hAnsi="Nirmala UI" w:eastAsia="Nirmala UI" w:cs="Nirmala UI"/>
        </w:rPr>
        <w:t>மன்னாவின்</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முன்வைத்தார்</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சிறு</w:t>
      </w:r>
      <w:r>
        <w:rPr>
          <w:rFonts w:ascii="Times New Roman" w:hAnsi="Times New Roman" w:eastAsia="Times New Roman" w:cs="Times New Roman"/>
        </w:rPr>
        <w:t xml:space="preserve"> </w:t>
      </w:r>
      <w:r>
        <w:rPr>
          <w:rFonts w:ascii="Nirmala UI" w:hAnsi="Nirmala UI" w:eastAsia="Nirmala UI" w:cs="Nirmala UI"/>
        </w:rPr>
        <w:t>புத்தகத்தை</w:t>
      </w:r>
      <w:r>
        <w:rPr>
          <w:rFonts w:ascii="Times New Roman" w:hAnsi="Times New Roman" w:eastAsia="Times New Roman" w:cs="Times New Roman"/>
        </w:rPr>
        <w:t xml:space="preserve"> </w:t>
      </w:r>
      <w:r>
        <w:rPr>
          <w:rFonts w:ascii="Nirmala UI" w:hAnsi="Nirmala UI" w:eastAsia="Nirmala UI" w:cs="Nirmala UI"/>
        </w:rPr>
        <w:t>உண்டபோது</w:t>
      </w:r>
      <w:r>
        <w:rPr>
          <w:rFonts w:ascii="Times New Roman" w:hAnsi="Times New Roman" w:eastAsia="Times New Roman" w:cs="Times New Roman"/>
        </w:rPr>
        <w:t xml:space="preserve"> </w:t>
      </w:r>
      <w:r>
        <w:rPr>
          <w:rFonts w:ascii="Nirmala UI" w:hAnsi="Nirmala UI" w:eastAsia="Nirmala UI" w:cs="Nirmala UI"/>
        </w:rPr>
        <w:t>அவரால்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1840 </w:t>
      </w:r>
      <w:r>
        <w:rPr>
          <w:rFonts w:ascii="Nirmala UI" w:hAnsi="Nirmala UI" w:eastAsia="Nirmala UI" w:cs="Nirmala UI"/>
        </w:rPr>
        <w:t>முதல்</w:t>
      </w:r>
      <w:r>
        <w:rPr>
          <w:rFonts w:ascii="Times New Roman" w:hAnsi="Times New Roman" w:eastAsia="Times New Roman" w:cs="Times New Roman"/>
        </w:rPr>
        <w:t xml:space="preserve"> 1844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மில்லரைட்டுகளின்</w:t>
      </w:r>
      <w:r>
        <w:rPr>
          <w:rFonts w:ascii="Times New Roman" w:hAnsi="Times New Roman" w:eastAsia="Times New Roman" w:cs="Times New Roman"/>
        </w:rPr>
        <w:t xml:space="preserve"> </w:t>
      </w:r>
      <w:r>
        <w:rPr>
          <w:rFonts w:ascii="Nirmala UI" w:hAnsi="Nirmala UI" w:eastAsia="Nirmala UI" w:cs="Nirmala UI"/>
        </w:rPr>
        <w:t>வரலாற்றைக்</w:t>
      </w:r>
      <w:r>
        <w:rPr>
          <w:rFonts w:ascii="Times New Roman" w:hAnsi="Times New Roman" w:eastAsia="Times New Roman" w:cs="Times New Roman"/>
        </w:rPr>
        <w:t xml:space="preserve"> </w:t>
      </w:r>
      <w:r>
        <w:rPr>
          <w:rFonts w:ascii="Nirmala UI" w:hAnsi="Nirmala UI" w:eastAsia="Nirmala UI" w:cs="Nirmala UI"/>
        </w:rPr>
        <w:t>குறித்தது</w:t>
      </w:r>
      <w:r>
        <w:rPr>
          <w:rFonts w:ascii="Times New Roman" w:hAnsi="Times New Roman" w:eastAsia="Times New Roman" w:cs="Times New Roman"/>
        </w:rPr>
        <w:t xml:space="preserve">; </w:t>
      </w:r>
      <w:r>
        <w:rPr>
          <w:rFonts w:ascii="Nirmala UI" w:hAnsi="Nirmala UI" w:eastAsia="Nirmala UI" w:cs="Nirmala UI"/>
        </w:rPr>
        <w:t>ஆனாலும்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மில்லரைட்டுகளின்</w:t>
      </w:r>
      <w:r>
        <w:rPr>
          <w:rFonts w:ascii="Times New Roman" w:hAnsi="Times New Roman" w:eastAsia="Times New Roman" w:cs="Times New Roman"/>
        </w:rPr>
        <w:t xml:space="preserve"> </w:t>
      </w:r>
      <w:r>
        <w:rPr>
          <w:rFonts w:ascii="Nirmala UI" w:hAnsi="Nirmala UI" w:eastAsia="Nirmala UI" w:cs="Nirmala UI"/>
        </w:rPr>
        <w:t>வரலாற்றைக்</w:t>
      </w:r>
      <w:r>
        <w:rPr>
          <w:rFonts w:ascii="Times New Roman" w:hAnsi="Times New Roman" w:eastAsia="Times New Roman" w:cs="Times New Roman"/>
        </w:rPr>
        <w:t xml:space="preserve"> </w:t>
      </w:r>
      <w:r>
        <w:rPr>
          <w:rFonts w:ascii="Nirmala UI" w:hAnsi="Nirmala UI" w:eastAsia="Nirmala UI" w:cs="Nirmala UI"/>
        </w:rPr>
        <w:t>காட்டிலும்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நாற்பத்திநாலாயிரம்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முத்திரையிடுதலின்</w:t>
      </w:r>
      <w:r>
        <w:rPr>
          <w:rFonts w:ascii="Times New Roman" w:hAnsi="Times New Roman" w:eastAsia="Times New Roman" w:cs="Times New Roman"/>
        </w:rPr>
        <w:t xml:space="preserve"> </w:t>
      </w:r>
      <w:r>
        <w:rPr>
          <w:rFonts w:ascii="Nirmala UI" w:hAnsi="Nirmala UI" w:eastAsia="Nirmala UI" w:cs="Nirmala UI"/>
        </w:rPr>
        <w:t>காலத்தையே</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நேரடியாக</w:t>
      </w:r>
      <w:r>
        <w:rPr>
          <w:rFonts w:ascii="Times New Roman" w:hAnsi="Times New Roman" w:eastAsia="Times New Roman" w:cs="Times New Roman"/>
        </w:rPr>
        <w:t xml:space="preserve"> </w:t>
      </w:r>
      <w:r>
        <w:rPr>
          <w:rFonts w:ascii="Nirmala UI" w:hAnsi="Nirmala UI" w:eastAsia="Nirmala UI" w:cs="Nirmala UI"/>
        </w:rPr>
        <w:t>பிரதிநிதித்துவப்படுத்தியது</w:t>
      </w:r>
      <w:r>
        <w:rPr>
          <w:rFonts w:ascii="Times New Roman" w:hAnsi="Times New Roman" w:eastAsia="Times New Roman" w:cs="Times New Roman"/>
        </w:rPr>
        <w:t xml:space="preserve">. </w:t>
      </w:r>
      <w:r>
        <w:rPr>
          <w:rFonts w:ascii="Nirmala UI" w:hAnsi="Nirmala UI" w:eastAsia="Nirmala UI" w:cs="Nirmala UI"/>
        </w:rPr>
        <w:t>சிறு</w:t>
      </w:r>
      <w:r>
        <w:rPr>
          <w:rFonts w:ascii="Times New Roman" w:hAnsi="Times New Roman" w:eastAsia="Times New Roman" w:cs="Times New Roman"/>
        </w:rPr>
        <w:t xml:space="preserve"> </w:t>
      </w:r>
      <w:r>
        <w:rPr>
          <w:rFonts w:ascii="Nirmala UI" w:hAnsi="Nirmala UI" w:eastAsia="Nirmala UI" w:cs="Nirmala UI"/>
        </w:rPr>
        <w:t>புத்தகத்தை</w:t>
      </w:r>
      <w:r>
        <w:rPr>
          <w:rFonts w:ascii="Times New Roman" w:hAnsi="Times New Roman" w:eastAsia="Times New Roman" w:cs="Times New Roman"/>
        </w:rPr>
        <w:t xml:space="preserve"> </w:t>
      </w:r>
      <w:r>
        <w:rPr>
          <w:rFonts w:ascii="Nirmala UI" w:hAnsi="Nirmala UI" w:eastAsia="Nirmala UI" w:cs="Nirmala UI"/>
        </w:rPr>
        <w:t>உண்ணும்படி</w:t>
      </w:r>
      <w:r>
        <w:rPr>
          <w:rFonts w:ascii="Times New Roman" w:hAnsi="Times New Roman" w:eastAsia="Times New Roman" w:cs="Times New Roman"/>
        </w:rPr>
        <w:t xml:space="preserve"> </w:t>
      </w:r>
      <w:r>
        <w:rPr>
          <w:rFonts w:ascii="Nirmala UI" w:hAnsi="Nirmala UI" w:eastAsia="Nirmala UI" w:cs="Nirmala UI"/>
        </w:rPr>
        <w:t>யோவானுக்கு</w:t>
      </w:r>
      <w:r>
        <w:rPr>
          <w:rFonts w:ascii="Times New Roman" w:hAnsi="Times New Roman" w:eastAsia="Times New Roman" w:cs="Times New Roman"/>
        </w:rPr>
        <w:t xml:space="preserve"> </w:t>
      </w:r>
      <w:r>
        <w:rPr>
          <w:rFonts w:ascii="Nirmala UI" w:hAnsi="Nirmala UI" w:eastAsia="Nirmala UI" w:cs="Nirmala UI"/>
        </w:rPr>
        <w:t>சொல்லப்பட்டபோது</w:t>
      </w:r>
      <w:r>
        <w:rPr>
          <w:rFonts w:ascii="Times New Roman" w:hAnsi="Times New Roman" w:eastAsia="Times New Roman" w:cs="Times New Roman"/>
        </w:rPr>
        <w:t xml:space="preserve"> </w:t>
      </w:r>
      <w:r>
        <w:rPr>
          <w:rFonts w:ascii="Nirmala UI" w:hAnsi="Nirmala UI" w:eastAsia="Nirmala UI" w:cs="Nirmala UI"/>
        </w:rPr>
        <w:t>அவருக்குக்</w:t>
      </w:r>
      <w:r>
        <w:rPr>
          <w:rFonts w:ascii="Times New Roman" w:hAnsi="Times New Roman" w:eastAsia="Times New Roman" w:cs="Times New Roman"/>
        </w:rPr>
        <w:t xml:space="preserve"> </w:t>
      </w:r>
      <w:r>
        <w:rPr>
          <w:rFonts w:ascii="Nirmala UI" w:hAnsi="Nirmala UI" w:eastAsia="Nirmala UI" w:cs="Nirmala UI"/>
        </w:rPr>
        <w:t>கொடுக்கப்பட்ட</w:t>
      </w:r>
      <w:r>
        <w:rPr>
          <w:rFonts w:ascii="Times New Roman" w:hAnsi="Times New Roman" w:eastAsia="Times New Roman" w:cs="Times New Roman"/>
        </w:rPr>
        <w:t xml:space="preserve"> </w:t>
      </w:r>
      <w:r>
        <w:rPr>
          <w:rFonts w:ascii="Nirmala UI" w:hAnsi="Nirmala UI" w:eastAsia="Nirmala UI" w:cs="Nirmala UI"/>
        </w:rPr>
        <w:t>அறிவுறுத்தல்களினால்</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தெளிவாக</w:t>
      </w:r>
      <w:r>
        <w:rPr>
          <w:rFonts w:ascii="Times New Roman" w:hAnsi="Times New Roman" w:eastAsia="Times New Roman" w:cs="Times New Roman"/>
        </w:rPr>
        <w:t xml:space="preserve"> </w:t>
      </w:r>
      <w:r>
        <w:rPr>
          <w:rFonts w:ascii="Nirmala UI" w:hAnsi="Nirmala UI" w:eastAsia="Nirmala UI" w:cs="Nirmala UI"/>
        </w:rPr>
        <w:t>வெளிப்படுகிறது</w:t>
      </w:r>
      <w:r>
        <w:rPr>
          <w:rFonts w:ascii="Times New Roman" w:hAnsi="Times New Roman" w:eastAsia="Times New Roman" w:cs="Times New Roman"/>
        </w:rPr>
        <w:t>.</w:t>
      </w:r>
    </w:p>
    <w:p>
      <w:pPr>
        <w:pStyle w:val="ArticleScripture"/>
        <w:jc w:val="left"/>
      </w:pPr>
      <w:r>
        <w:rPr>
          <w:rFonts w:ascii="Microsoft YaHei" w:hAnsi="Microsoft YaHei" w:eastAsia="Microsoft YaHei" w:cs="Microsoft YaHei"/>
        </w:rPr>
        <w:t>我就走到那天使那里</w:t>
      </w:r>
      <w:r>
        <w:rPr>
          <w:rFonts w:ascii="Times New Roman" w:hAnsi="Times New Roman" w:eastAsia="Times New Roman" w:cs="Times New Roman"/>
        </w:rPr>
        <w:t>,</w:t>
      </w:r>
      <w:r>
        <w:rPr>
          <w:rFonts w:ascii="Microsoft YaHei" w:hAnsi="Microsoft YaHei" w:eastAsia="Microsoft YaHei" w:cs="Microsoft YaHei"/>
        </w:rPr>
        <w:t>对他说：</w:t>
      </w:r>
      <w:r>
        <w:rPr>
          <w:rFonts w:ascii="Times New Roman" w:hAnsi="Times New Roman" w:eastAsia="Times New Roman" w:cs="Times New Roman"/>
        </w:rPr>
        <w:t>“</w:t>
      </w:r>
      <w:r>
        <w:rPr>
          <w:rFonts w:ascii="Microsoft YaHei" w:hAnsi="Microsoft YaHei" w:eastAsia="Microsoft YaHei" w:cs="Microsoft YaHei"/>
        </w:rPr>
        <w:t>把小书卷给我</w:t>
      </w:r>
      <w:r>
        <w:rPr>
          <w:rFonts w:ascii="Times New Roman" w:hAnsi="Times New Roman" w:eastAsia="Times New Roman" w:cs="Times New Roman"/>
        </w:rPr>
        <w:t>.”</w:t>
      </w:r>
      <w:r>
        <w:rPr>
          <w:rFonts w:ascii="Microsoft YaHei" w:hAnsi="Microsoft YaHei" w:eastAsia="Microsoft YaHei" w:cs="Microsoft YaHei"/>
        </w:rPr>
        <w:t>他对我说：</w:t>
      </w:r>
      <w:r>
        <w:rPr>
          <w:rFonts w:ascii="Times New Roman" w:hAnsi="Times New Roman" w:eastAsia="Times New Roman" w:cs="Times New Roman"/>
        </w:rPr>
        <w:t>“</w:t>
      </w:r>
      <w:r>
        <w:rPr>
          <w:rFonts w:ascii="Microsoft YaHei" w:hAnsi="Microsoft YaHei" w:eastAsia="Microsoft YaHei" w:cs="Microsoft YaHei"/>
        </w:rPr>
        <w:t>你拿着吃尽了</w:t>
      </w:r>
      <w:r>
        <w:rPr>
          <w:rFonts w:ascii="Times New Roman" w:hAnsi="Times New Roman" w:eastAsia="Times New Roman" w:cs="Times New Roman"/>
        </w:rPr>
        <w:t>;</w:t>
      </w:r>
      <w:r>
        <w:rPr>
          <w:rFonts w:ascii="Microsoft YaHei" w:hAnsi="Microsoft YaHei" w:eastAsia="Microsoft YaHei" w:cs="Microsoft YaHei"/>
        </w:rPr>
        <w:t>它必叫你肚腹发苦</w:t>
      </w:r>
      <w:r>
        <w:rPr>
          <w:rFonts w:ascii="Times New Roman" w:hAnsi="Times New Roman" w:eastAsia="Times New Roman" w:cs="Times New Roman"/>
        </w:rPr>
        <w:t>,</w:t>
      </w:r>
      <w:r>
        <w:rPr>
          <w:rFonts w:ascii="Microsoft YaHei" w:hAnsi="Microsoft YaHei" w:eastAsia="Microsoft YaHei" w:cs="Microsoft YaHei"/>
        </w:rPr>
        <w:t>然而在你口中要甜如蜜</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10:9</w:t>
      </w:r>
    </w:p>
    <w:p>
      <w:pPr>
        <w:pStyle w:val="ArticleBody"/>
        <w:jc w:val="left"/>
      </w:pPr>
      <w:r>
        <w:rPr>
          <w:rFonts w:ascii="Times New Roman" w:hAnsi="Times New Roman" w:eastAsia="Times New Roman" w:cs="Times New Roman"/>
        </w:rPr>
        <w:t>Dans ce verset, il fut dit d’avance à Jean, avant qu’il ne prît et ne mangeât le petit livre, quelle expérience serait produite par le message qu’il mangeait. Les millérites ne comprirent pas d’avance les expériences douces-amères avant leur accomplissement historique du symbolisme de Jean dans leur ligne d’histoire prophétique. Mais les cent quarante-quatre mille en ont été informés d’avance, et il leur est demandé de le savoir. Lorsque Jean illustre soit l’histoire du mouvement du premier ange, soit l’histoire du troisième ange, le message produit deux classes d’adorateurs, puis s’achève dans l’amère déception. Lorsque Jérémie mangea le petit livre, il refusa alors de s’associer à « l’assemblée des moqueurs ».</w:t>
      </w:r>
    </w:p>
    <w:p>
      <w:pPr>
        <w:pStyle w:val="ArticleScripture"/>
        <w:jc w:val="left"/>
      </w:pPr>
      <w:r>
        <w:rPr>
          <w:rFonts w:ascii="Times New Roman" w:hAnsi="Times New Roman" w:eastAsia="Times New Roman" w:cs="Times New Roman"/>
        </w:rPr>
        <w:t>Je ne me suis point assis dans l’assemblée des moqueurs, et je ne m’y suis point réjoui ; je me suis assis seul à cause de ta main, car tu m’as rempli d’indignation. Jérémie 15:17.</w:t>
      </w:r>
    </w:p>
    <w:p>
      <w:pPr>
        <w:pStyle w:val="ArticleBody"/>
        <w:jc w:val="left"/>
      </w:pPr>
      <w:r>
        <w:rPr>
          <w:rFonts w:ascii="Times New Roman" w:hAnsi="Times New Roman" w:eastAsia="Times New Roman" w:cs="Times New Roman"/>
        </w:rPr>
        <w:t>Na mgbe Ezikieli riri obere akwụkwọ ahụ, a gwara ya ka o nye ozi ahụ ndị nnupụisi nke ụlọ Izrel, ndị na-agaghị ege ntị.</w:t>
      </w:r>
    </w:p>
    <w:p>
      <w:pPr>
        <w:pStyle w:val="ArticleScripture"/>
        <w:jc w:val="left"/>
      </w:pPr>
      <w:r>
        <w:rPr>
          <w:rFonts w:ascii="Times New Roman" w:hAnsi="Times New Roman" w:eastAsia="Times New Roman" w:cs="Times New Roman"/>
        </w:rPr>
        <w:t>Et il me dit: Fils de l’homme, mange ce que tu trouves; mange ce rouleau, puis va, parle à la maison d’Israël.... Mais la maison d’Israël ne voudra pas t’écouter, parce qu’ils ne veulent pas m’écouter; car toute la maison d’Israël a le front obstiné et le cœur endurci. Ézéchiel 3:1,7.</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गलील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w:t>
      </w:r>
      <w:r>
        <w:rPr>
          <w:rFonts w:ascii="Nirmala UI" w:hAnsi="Nirmala UI" w:eastAsia="Nirmala UI" w:cs="Nirmala UI"/>
        </w:rPr>
        <w:t>गिरजाघर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SIX, </w:t>
      </w:r>
      <w:r>
        <w:rPr>
          <w:rFonts w:ascii="Nirmala UI" w:hAnsi="Nirmala UI" w:eastAsia="Nirmala UI" w:cs="Nirmala UI"/>
        </w:rPr>
        <w:t>पद</w:t>
      </w:r>
      <w:r>
        <w:rPr>
          <w:rFonts w:ascii="Times New Roman" w:hAnsi="Times New Roman" w:eastAsia="Times New Roman" w:cs="Times New Roman"/>
        </w:rPr>
        <w:t xml:space="preserve"> SIXTY-SIX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अवतरण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ठट्ठा</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साथियों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विरोध।</w:t>
      </w:r>
    </w:p>
    <w:p>
      <w:pPr>
        <w:pStyle w:val="ArticleBody"/>
        <w:jc w:val="left"/>
      </w:pPr>
      <w:r>
        <w:rPr>
          <w:rFonts w:ascii="Times New Roman" w:hAnsi="Times New Roman" w:eastAsia="Times New Roman" w:cs="Times New Roman"/>
        </w:rPr>
        <w:t>Pou liy Jan chapit sis la, rive Galile a se 11 septanm 2001. Mesaj pou manje chè a epi bwè san an se listwa ki finalman mennen nan lwa dimanch ki prèt pou vini an. “Ou se sa ou manje a,” jan sa reprezante pa Danyèl ak twa jenn gason fidèl yo nan chapit premye a; epi, nan Jan sis, sila yo ki te chwazi manje chè Kris la epi bwè san Li, yo te vin imaj sa yo te manje a. Yo te vin imaj Kris la, tandiske lòt gwoup la, ki te vire do epi ki pa t mache ankò ak Kris la, te manifeste imaj bèt la. Yon gwoup te imaj Kreyatè a, lòt la imaj kreyasyon an. Jan chapit sis ajoute siyifikasyon “Galile” a nan 11 septanm 2001, paske siyifikasyon an se “gon”, konsa li make pwen vire pou disip yo. Èske yo t ap vire sou rejim syèl la oswa sou rejim Babilòn nan? Se nan pwen vire pwofetik yo Kris manifeste limyè a pou peryòd ki vin apre a, jan sa reprezante pa desandan Li an 2001, lè tè a te klere ak glwa Li.</w:t>
      </w:r>
    </w:p>
    <w:p>
      <w:pPr>
        <w:pStyle w:val="ArticleScripture"/>
        <w:jc w:val="left"/>
      </w:pPr>
      <w:r>
        <w:rPr>
          <w:rFonts w:ascii="Times New Roman" w:hAnsi="Times New Roman" w:eastAsia="Times New Roman" w:cs="Times New Roman"/>
        </w:rPr>
        <w:t>«Жамоатий таврихдан ўрганилиши лозим бўлган дарслар бор; ва буларга эътибор қаратилмоқда, токи ҳамма Худо ҳозир ҳам доимо қандай ишлаб келган бўлса, ўша йўсинда ишлашини англасин. Унинг қўли бугун ҳам Ўз ишида ва халқлар орасида кўрилади, худди хушхабар Илдисда Одамга илк бор эълон қилинган вақтдан буён қандай кўриниб келган бўлса, шундай.»</w:t>
      </w:r>
    </w:p>
    <w:p>
      <w:pPr>
        <w:pStyle w:val="ArticleScripture"/>
        <w:jc w:val="left"/>
      </w:pPr>
      <w:r>
        <w:rPr>
          <w:rFonts w:ascii="Times New Roman" w:hAnsi="Times New Roman" w:eastAsia="Times New Roman" w:cs="Times New Roman"/>
        </w:rPr>
        <w:t>«Գոյություն ունեն ժամանակաշրջաններ, որոնք շրջադարձային կետեր են ազգերի և եկեղեցու պատմության մեջ։ Աստծո նախախնամության մեջ, երբ այս տարբեր ճգնաժամերը գալիս են, այդ ժամանակի համար լույսը տրվում է։ Եթե այն ընդունվում է, տեղի է ունենում հոգևոր առաջընթաց, իսկ եթե մերժվում է, հետևում են հոգևոր անկումը և կործանումը։ Տերը Իր խոսքում բացահայտել է ավետարանի գործուն առաջխաղացման գործը, ինչպես այն իրականացվել է անցյալում և իրականացվելու է ապագայում, մինչև իսկ վերջին բախումը, երբ սատանայական ուժերը կկատարեն իրենց վերջին զարմանահրաշ շարժումը»։ Bible Echo, August 26, 1895.</w:t>
      </w:r>
    </w:p>
    <w:p>
      <w:pPr>
        <w:pStyle w:val="ArticleBody"/>
        <w:jc w:val="left"/>
      </w:pPr>
      <w:r>
        <w:rPr>
          <w:rFonts w:ascii="Times New Roman" w:hAnsi="Times New Roman" w:eastAsia="Times New Roman" w:cs="Times New Roman"/>
        </w:rPr>
        <w:t>Mungu daima hutenda kazi kwa misingi ileile ya historia ya zamani, naye habadiliki kamwe. Kuna “vipindi vya mgeuko” (Galilaya), ambavyo ni “mivuto ya hatari,” na katika “vipindi vya mgeuko” hivyo “nuru ya wakati huo hutolewa.” Nuru ya kipindi cha kutiwa muhuri kwa wale mia moja arobaini na nne elfu ilitolewa katika mivuto ya hatari iliyoanza tarehe 11 Septemba, 2001. Ikiwa nuru hiyo “itapokelewa, kunakuwa na maendeleo ya kiroho; ikikataliwa, ulegevu wa kiroho na kuvunjikiwa imani hufuata.” Nuru hiyo huzaa madaraja mawili ya waabuduo. Nuru inayofuata kipindi cha mgeuko huwakilisha ujumbe unaozaa madaraja mawili ya waabuduo.</w:t>
      </w:r>
    </w:p>
    <w:p>
      <w:pPr>
        <w:pStyle w:val="ArticleBody"/>
        <w:jc w:val="left"/>
      </w:pP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ሁለተኛውን</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ያብራራል፤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የምግብ</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የሚከተለው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በናቡከደነፆር</w:t>
      </w:r>
      <w:r>
        <w:rPr>
          <w:rFonts w:ascii="Times New Roman" w:hAnsi="Times New Roman" w:eastAsia="Times New Roman" w:cs="Times New Roman"/>
        </w:rPr>
        <w:t xml:space="preserve"> </w:t>
      </w:r>
      <w:r>
        <w:rPr>
          <w:rFonts w:ascii="Ebrima" w:hAnsi="Ebrima" w:eastAsia="Ebrima" w:cs="Ebrima"/>
        </w:rPr>
        <w:t>ተሸንፎ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በሕዝቦች</w:t>
      </w:r>
      <w:r>
        <w:rPr>
          <w:rFonts w:ascii="Times New Roman" w:hAnsi="Times New Roman" w:eastAsia="Times New Roman" w:cs="Times New Roman"/>
        </w:rPr>
        <w:t xml:space="preserve"> </w:t>
      </w:r>
      <w:r>
        <w:rPr>
          <w:rFonts w:ascii="Ebrima" w:hAnsi="Ebrima" w:eastAsia="Ebrima" w:cs="Ebrima"/>
        </w:rPr>
        <w:t>ታሪክም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የመለወጫ</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ቀውስም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ጊዜም</w:t>
      </w:r>
      <w:r>
        <w:rPr>
          <w:rFonts w:ascii="Times New Roman" w:hAnsi="Times New Roman" w:eastAsia="Times New Roman" w:cs="Times New Roman"/>
        </w:rPr>
        <w:t xml:space="preserve"> </w:t>
      </w:r>
      <w:r>
        <w:rPr>
          <w:rFonts w:ascii="Ebrima" w:hAnsi="Ebrima" w:eastAsia="Ebrima" w:cs="Ebrima"/>
        </w:rPr>
        <w:t>የምግብ</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ተሰጠ።</w:t>
      </w:r>
      <w:r>
        <w:rPr>
          <w:rFonts w:ascii="Times New Roman" w:hAnsi="Times New Roman" w:eastAsia="Times New Roman" w:cs="Times New Roman"/>
        </w:rPr>
        <w:t xml:space="preserve"> </w:t>
      </w:r>
      <w:r>
        <w:rPr>
          <w:rFonts w:ascii="Ebrima" w:hAnsi="Ebrima" w:eastAsia="Ebrima" w:cs="Ebrima"/>
        </w:rPr>
        <w:t>ዳንኤልና</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ታማኞች</w:t>
      </w:r>
      <w:r>
        <w:rPr>
          <w:rFonts w:ascii="Times New Roman" w:hAnsi="Times New Roman" w:eastAsia="Times New Roman" w:cs="Times New Roman"/>
        </w:rPr>
        <w:t xml:space="preserve"> </w:t>
      </w:r>
      <w:r>
        <w:rPr>
          <w:rFonts w:ascii="Ebrima" w:hAnsi="Ebrima" w:eastAsia="Ebrima" w:cs="Ebrima"/>
        </w:rPr>
        <w:t>ፈተናውን</w:t>
      </w:r>
      <w:r>
        <w:rPr>
          <w:rFonts w:ascii="Times New Roman" w:hAnsi="Times New Roman" w:eastAsia="Times New Roman" w:cs="Times New Roman"/>
        </w:rPr>
        <w:t xml:space="preserve"> </w:t>
      </w:r>
      <w:r>
        <w:rPr>
          <w:rFonts w:ascii="Ebrima" w:hAnsi="Ebrima" w:eastAsia="Ebrima" w:cs="Ebrima"/>
        </w:rPr>
        <w:t>አለፉ፤</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ሁለተኛውን</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ያለፉትን</w:t>
      </w:r>
      <w:r>
        <w:rPr>
          <w:rFonts w:ascii="Times New Roman" w:hAnsi="Times New Roman" w:eastAsia="Times New Roman" w:cs="Times New Roman"/>
        </w:rPr>
        <w:t xml:space="preserve"> </w:t>
      </w:r>
      <w:r>
        <w:rPr>
          <w:rFonts w:ascii="Ebrima" w:hAnsi="Ebrima" w:eastAsia="Ebrima" w:cs="Ebrima"/>
        </w:rPr>
        <w:t>ዳግመኛ</w:t>
      </w:r>
      <w:r>
        <w:rPr>
          <w:rFonts w:ascii="Times New Roman" w:hAnsi="Times New Roman" w:eastAsia="Times New Roman" w:cs="Times New Roman"/>
        </w:rPr>
        <w:t xml:space="preserve"> </w:t>
      </w:r>
      <w:r>
        <w:rPr>
          <w:rFonts w:ascii="Ebrima" w:hAnsi="Ebrima" w:eastAsia="Ebrima" w:cs="Ebrima"/>
        </w:rPr>
        <w:t>ወከሉ።</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ናቡከደነፆር</w:t>
      </w:r>
      <w:r>
        <w:rPr>
          <w:rFonts w:ascii="Times New Roman" w:hAnsi="Times New Roman" w:eastAsia="Times New Roman" w:cs="Times New Roman"/>
        </w:rPr>
        <w:t xml:space="preserve"> </w:t>
      </w:r>
      <w:r>
        <w:rPr>
          <w:rFonts w:ascii="Ebrima" w:hAnsi="Ebrima" w:eastAsia="Ebrima" w:cs="Ebrima"/>
        </w:rPr>
        <w:t>እንኳን</w:t>
      </w:r>
      <w:r>
        <w:rPr>
          <w:rFonts w:ascii="Times New Roman" w:hAnsi="Times New Roman" w:eastAsia="Times New Roman" w:cs="Times New Roman"/>
        </w:rPr>
        <w:t xml:space="preserve"> </w:t>
      </w:r>
      <w:r>
        <w:rPr>
          <w:rFonts w:ascii="Ebrima" w:hAnsi="Ebrima" w:eastAsia="Ebrima" w:cs="Ebrima"/>
        </w:rPr>
        <w:t>ሳይቀር፣</w:t>
      </w:r>
      <w:r>
        <w:rPr>
          <w:rFonts w:ascii="Times New Roman" w:hAnsi="Times New Roman" w:eastAsia="Times New Roman" w:cs="Times New Roman"/>
        </w:rPr>
        <w:t xml:space="preserve"> </w:t>
      </w:r>
      <w:r>
        <w:rPr>
          <w:rFonts w:ascii="Ebrima" w:hAnsi="Ebrima" w:eastAsia="Ebrima" w:cs="Ebrima"/>
        </w:rPr>
        <w:t>የማያውቀው</w:t>
      </w:r>
      <w:r>
        <w:rPr>
          <w:rFonts w:ascii="Times New Roman" w:hAnsi="Times New Roman" w:eastAsia="Times New Roman" w:cs="Times New Roman"/>
        </w:rPr>
        <w:t xml:space="preserve"> </w:t>
      </w:r>
      <w:r>
        <w:rPr>
          <w:rFonts w:ascii="Ebrima" w:hAnsi="Ebrima" w:eastAsia="Ebrima" w:cs="Ebrima"/>
        </w:rPr>
        <w:t>ምስጢር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Le symbole de l’épreuve était l’image du rêve de Nebucadnetsar. C’était une épreuve de vie ou de mort concernant une image que personne ne connaissait. L’image identifiait les royaumes de la prophétie biblique, et, dans les chapitres sept et huit de Daniel, les mêmes royaumes de Daniel deux sont représentés comme des bêtes. L’épreuve de Nebucadnetsar était l’épreuve de « l’image des bêtes », laquelle, dans les derniers jours, survient pendant la période du scellement des cent quarante-quatre mille.</w:t>
      </w:r>
    </w:p>
    <w:p>
      <w:pPr>
        <w:pStyle w:val="ArticleBody"/>
        <w:jc w:val="left"/>
      </w:pPr>
      <w:r>
        <w:rPr>
          <w:rFonts w:ascii="Times New Roman" w:hAnsi="Times New Roman" w:eastAsia="Times New Roman" w:cs="Times New Roman"/>
        </w:rPr>
        <w:t>Eminsukunu ez'enkomerero, okutondebwa kw'ekifaananyi ky'ensolo kwe kugezesebwa okunene eri abantu ba Katonda, abakiikirirwa Danyeri n'abasajja abasatu ab'ekitiibwa. Kwe kugezesebwa kwe balina okuyitamu nga tebannateekebwako akabonero, n'olwekyo gwe mubaka ogw'okuteekebwako akabonero n'okugezesebwa oguvaamu ekibiina ekimu ekifuna akabonero ka Katonda ne kiraga ekifaananyi kya Katonda, oba ekibiina ekirala ekifuna akabonero k'ensolo, era noolwekyo ne kiraga ekifaananyi ky'ensolo. Mu Danyeri essuula ey'okubiri, obubaka bw'ekifaananyi ky'ensolo bwali busibiddwa obutategeerekeka okutuusa ku byafaayo bwe bwafuuka ensonga y'obulamu n'okufa. Ekifaananyi kya Nebukadduneeza kyategeerebwa bulungi abaMillerite, naye mu byafaayo eby'okuteekebwako akabonero amazima agakisiddwa, agakwatagana n'ekifaananyi kya Nebukadduneeza, gaggulwawo; naye eri abo bokka abaali bamaze okutwala obubaka obwateekwa okulibwa ekiseera eky'okukyuka bwe kyatuuka.</w:t>
      </w:r>
    </w:p>
    <w:p>
      <w:pPr>
        <w:pStyle w:val="ArticleBody"/>
        <w:jc w:val="left"/>
      </w:pPr>
      <w:r>
        <w:rPr>
          <w:rFonts w:ascii="Times New Roman" w:hAnsi="Times New Roman" w:eastAsia="Times New Roman" w:cs="Times New Roman"/>
        </w:rPr>
        <w:t>Ny hanina dia ny hafatry ny ranonorana fara, izay nanomboka raha nidina ilay anjely ao amin’ny Apokalypsy valo ambin’ny folo; ary ny hafatry ny ranonorana fara dia ny fomba fiasa atao andalana manaraka andalana. Raha tsy mihinana izany fahamarinana izany, dia tsy azo jerena ny hafatra miafina momba ny fananganana ny sarin’ny bibidia.</w:t>
      </w:r>
    </w:p>
    <w:p>
      <w:pPr>
        <w:pStyle w:val="ArticleBody"/>
        <w:jc w:val="left"/>
      </w:pPr>
      <w:r>
        <w:rPr>
          <w:rFonts w:ascii="Times New Roman" w:hAnsi="Times New Roman" w:eastAsia="Times New Roman" w:cs="Times New Roman"/>
        </w:rPr>
        <w:t>Ellen White a été « clairement instruite que l’image de la bête serait formée avant la clôture du temps de grâce ». Le message relatif à la formation de l’image de la bête dans Daniel deux représente une formation de l’image qui ne devait être vue que dans l’histoire qui suivit le « tournant décisif », lorsque la lumière serait alors donnée. Ce que l’on comprend maintenant au sujet de l’image de Nebucadnetsar, c’est qu’elle n’identifiait pas simplement les quatre premiers royaumes de la prophétie biblique, mais les huit royaumes dans leur ensemble, et cette compréhension produit une nouvelle formation de l’image-bête.</w:t>
      </w:r>
    </w:p>
    <w:p>
      <w:pPr>
        <w:pStyle w:val="ArticleBody"/>
        <w:jc w:val="left"/>
      </w:pPr>
      <w:r>
        <w:rPr>
          <w:rFonts w:ascii="Times New Roman" w:hAnsi="Times New Roman" w:eastAsia="Times New Roman" w:cs="Times New Roman"/>
        </w:rPr>
        <w:t>Cette vérité établit que la huitième bête est issue des sept, et elle établit en outre que les États-Unis, qui forment d’abord une image de la bête, puis contraignent ensuite le monde entier à faire de même, posséderont la caractéristique prophétique de la bête dont ils forment une image. Cette image comprend le fait qu’elle est la huitième, issue des sept, et que, dans l’histoire des trois voix de Christ, elle marque le point tournant du 11 septembre 2001, la voix de 2023 appelant les ossements desséchés et morts des deux témoins à se tenir sur leurs pieds, et la voix de l’appel à sortir de Babylone.</w:t>
      </w:r>
    </w:p>
    <w:p>
      <w:pPr>
        <w:pStyle w:val="ArticleBody"/>
        <w:jc w:val="left"/>
      </w:pPr>
      <w:r>
        <w:rPr>
          <w:rFonts w:ascii="Times New Roman" w:hAnsi="Times New Roman" w:eastAsia="Times New Roman" w:cs="Times New Roman"/>
        </w:rPr>
        <w:t>La voix de 2023 est la voix qui identifie le secret de l’image de Nebucadnetsar et le moment où elle parle.</w:t>
      </w:r>
    </w:p>
    <w:p>
      <w:pPr>
        <w:pStyle w:val="ArticleBody"/>
        <w:jc w:val="left"/>
      </w:pPr>
      <w:r>
        <w:rPr>
          <w:rFonts w:ascii="Times New Roman" w:hAnsi="Times New Roman" w:eastAsia="Times New Roman" w:cs="Times New Roman"/>
        </w:rPr>
        <w:t>11 септември 2001 г. представлява периода, който започва там и завършва на 18 юли 2020 г. Периодът на втория глас от единадесета глава представлява периода от 18 юли 2020 г. до третия глас при скоро идващия неделен закон. Вторият период, който започва на 18 юли 2020 г., включва ориентировъчния белег от 3 ноември 2020 г. и ориентировъчния белег от 6 януари 2021 г., когато онези, които бяха убили двамата свидетели, започнаха да се радват и да си изпращат подаръци, и включва юли 2023 г., когато гласът в пустинята започна да издава предупреждението на седмата тръба.</w:t>
      </w:r>
    </w:p>
    <w:p>
      <w:pPr>
        <w:pStyle w:val="ArticleBody"/>
        <w:jc w:val="left"/>
      </w:pPr>
      <w:r>
        <w:rPr>
          <w:rFonts w:ascii="Times New Roman" w:hAnsi="Times New Roman" w:eastAsia="Times New Roman" w:cs="Times New Roman"/>
        </w:rPr>
        <w:t>Fadlan doonaa daraasaddan maqaalka xiga.</w:t>
      </w:r>
    </w:p>
    <w:p>
      <w:pPr>
        <w:pStyle w:val="ArticleScripture"/>
        <w:jc w:val="left"/>
      </w:pP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बवंडर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लिपटती</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अंबर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पहिए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काटते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प्राणियों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संचालित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नीलमणि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Ezekiel 1:4, 26; 10:8. </w:t>
      </w:r>
      <w:r>
        <w:rPr>
          <w:rFonts w:ascii="Nirmala UI" w:hAnsi="Nirmala UI" w:eastAsia="Nirmala UI" w:cs="Nirmala UI"/>
        </w:rPr>
        <w:t>पहियों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जटिल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w:t>
      </w:r>
      <w:r>
        <w:rPr>
          <w:rFonts w:ascii="Nirmala UI" w:hAnsi="Nirmala UI" w:eastAsia="Nirmala UI" w:cs="Nirmala UI"/>
        </w:rPr>
        <w:t>व्यस्त</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सामंजस्य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पहियों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गतिमान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नीलमणि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विराजमान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इन्द्रधनुष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ដូចដែលភាពស្មុគស្មាញដូចកង់ទាំងនោះស្ថិតនៅក្រោមការដឹកនាំនៃព្រះហស្តដែលនៅក្រោមស្លាបនៃកេរូប៊ីម</w:t>
      </w:r>
      <w:r>
        <w:rPr>
          <w:rFonts w:ascii="Times New Roman" w:hAnsi="Times New Roman" w:eastAsia="Times New Roman" w:cs="Times New Roman"/>
        </w:rPr>
        <w:t xml:space="preserve"> </w:t>
      </w:r>
      <w:r>
        <w:rPr>
          <w:rFonts w:ascii="Leelawadee UI" w:hAnsi="Leelawadee UI" w:eastAsia="Leelawadee UI" w:cs="Leelawadee UI"/>
        </w:rPr>
        <w:t>នោះដែរ</w:t>
      </w:r>
      <w:r>
        <w:rPr>
          <w:rFonts w:ascii="Times New Roman" w:hAnsi="Times New Roman" w:eastAsia="Times New Roman" w:cs="Times New Roman"/>
        </w:rPr>
        <w:t xml:space="preserve"> </w:t>
      </w:r>
      <w:r>
        <w:rPr>
          <w:rFonts w:ascii="Leelawadee UI" w:hAnsi="Leelawadee UI" w:eastAsia="Leelawadee UI" w:cs="Leelawadee UI"/>
        </w:rPr>
        <w:t>ល្បែងស្មុគស្មាញនៃព្រឹត្តិការណ៍មនុស្សក៏ស្ថិតនៅក្រោមការគ្រប់គ្រងដ៏ទេវភាព។</w:t>
      </w:r>
      <w:r>
        <w:rPr>
          <w:rFonts w:ascii="Times New Roman" w:hAnsi="Times New Roman" w:eastAsia="Times New Roman" w:cs="Times New Roman"/>
        </w:rPr>
        <w:t xml:space="preserve"> </w:t>
      </w:r>
      <w:r>
        <w:rPr>
          <w:rFonts w:ascii="Leelawadee UI" w:hAnsi="Leelawadee UI" w:eastAsia="Leelawadee UI" w:cs="Leelawadee UI"/>
        </w:rPr>
        <w:t>កណ្ដាលក្នុងការប្រយុទ្ធប្រឆាំង</w:t>
      </w:r>
      <w:r>
        <w:rPr>
          <w:rFonts w:ascii="Times New Roman" w:hAnsi="Times New Roman" w:eastAsia="Times New Roman" w:cs="Times New Roman"/>
        </w:rPr>
        <w:t xml:space="preserve"> </w:t>
      </w:r>
      <w:r>
        <w:rPr>
          <w:rFonts w:ascii="Leelawadee UI" w:hAnsi="Leelawadee UI" w:eastAsia="Leelawadee UI" w:cs="Leelawadee UI"/>
        </w:rPr>
        <w:t>និងភាពចលាចលនៃប្រជាជាតិទាំងឡាយ</w:t>
      </w:r>
      <w:r>
        <w:rPr>
          <w:rFonts w:ascii="Times New Roman" w:hAnsi="Times New Roman" w:eastAsia="Times New Roman" w:cs="Times New Roman"/>
        </w:rPr>
        <w:t xml:space="preserve"> </w:t>
      </w:r>
      <w:r>
        <w:rPr>
          <w:rFonts w:ascii="Leelawadee UI" w:hAnsi="Leelawadee UI" w:eastAsia="Leelawadee UI" w:cs="Leelawadee UI"/>
        </w:rPr>
        <w:t>ព្រះអង្គដែលគង់នៅលើកេរូប៊ីមនៅតែទ្រង់ដឹកនាំកិច្ចការទាំងឡាយនៃផែនដី។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«Историята на народите, които един след друг са заемали отредените им време и място, несъзнателно свидетелствайки за истината, чийто смисъл самите те не са разбирали, говори и на нас. На всеки народ и на всеки човек днес Бог е определил място в Своя велик план. Днес хората и народите биват измервани с отвеса в ръката на Онзи, Който не греши. Всички чрез собствения си избор решават своята участ, а Бог направлява всичко за осъществяването на Своите намерения.»</w:t>
      </w:r>
    </w:p>
    <w:p>
      <w:pPr>
        <w:pStyle w:val="ArticleScripture"/>
        <w:jc w:val="left"/>
      </w:pPr>
      <w:r>
        <w:rPr>
          <w:rFonts w:ascii="Times New Roman" w:hAnsi="Times New Roman" w:eastAsia="Times New Roman" w:cs="Times New Roman"/>
        </w:rPr>
        <w:t>«ההיסטוריה אשר ה"אני הוא" הגדול התווה בדברו, מחברת חוליה אחר חוליה בשרשרת הנבואה, מן הנצח שבעבר עד הנצח שבעתיד, מורה לנו היכן אנו עומדים היום במהלך הדורות, ומה ניתן לצפות בזמן העתיד לבוא. כל אשר הנבואה חזתה כי יבוא לידי קיום, עד העת הנוכחית, נרשם על דפי ההיסטוריה, ואנו יכולים להיות סמוכים ובטוחים כי כל אשר עוד עתיד לבוא יתקיים כסדרו.»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چونتیس نمبر</dc:title>
  <dc:subject>Ufunuo wa Kinabii: Kuanzia Septemba 11, 2001, hadi Sheria ya Jumapili Inayokaribia nchini Marekani</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