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Bilangan Seratus Tiga Puluh Enam</w:t>
      </w:r>
    </w:p>
    <w:p>
      <w:pPr>
        <w:pStyle w:val="ArticleSubtitle"/>
        <w:jc w:val="left"/>
      </w:pPr>
      <w:r>
        <w:rPr>
          <w:rFonts w:ascii="Arial" w:hAnsi="Arial" w:eastAsia="Arial" w:cs="Arial"/>
        </w:rPr>
        <w:t>Le Passage prophétique du républicanisme et du protestantisme : de la mort à la résurrection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Il y a une transition à la fois de la corne républicaine et de la véritable corne protestante de la bête de la terre, qui a commencé en l’an 2020. La véritable corne protestante a été mise à mort le 18 juillet 2020, et la corne républicaine a été mise à mort le 3 novembre 2020. Selon le chapitre onze de l’Apocalypse, après trois jours et demi symboliques, elles se tiendront de nouveau sur leurs pieds. Lorsqu’elles se tiendront debout, la véritable corne protestante passera de l’état de Laodicéens à celui de Philadelphiens. Ils auront été retirés d’une Église et introduits dans un mouvement. Ils ont été retirés de l’expérience de la septième Église pour être amenés dans l’expérience de la sixième Église. Ils sont devenus le huitième, qui est issu des sept.</w:t>
      </w:r>
    </w:p>
    <w:p>
      <w:pPr>
        <w:pStyle w:val="ArticleBody"/>
        <w:jc w:val="left"/>
      </w:pPr>
      <w:r>
        <w:rPr>
          <w:rFonts w:ascii="Times New Roman" w:hAnsi="Times New Roman" w:eastAsia="Times New Roman" w:cs="Times New Roman"/>
        </w:rPr>
        <w:t>Wɔnde asɔrefa a ɛhyɛɛ Adventism ase no yɛɛ Filadelfia kuw no, na wɔresan de Filadelfia kuw no aba awiei no mu bio. Adwuma a abɔfo baasa a wɔwɔ Adiyisɛm ti dunan mu yɛe no fii ase sɛ kuw bi, na ɛbɛba awiei nso sɛ kuw bi. Filadelfia kuw no a wɔde gyina hɔ ma no wɔ asɔre a ɛto so asia, Filadelfia no, wui wɔ afe 1856 mu, na efi 2023 afe no awiei a ɛne July bosome no awiei no, wɔresɔre no bio mprempren sɛ nea ɛto so awotwe, a ɔyɛ nea ofi baason no mu.</w:t>
      </w:r>
    </w:p>
    <w:p>
      <w:pPr>
        <w:pStyle w:val="ArticleBody"/>
        <w:jc w:val="left"/>
      </w:pPr>
      <w:r>
        <w:rPr>
          <w:rFonts w:ascii="Times New Roman" w:hAnsi="Times New Roman" w:eastAsia="Times New Roman" w:cs="Times New Roman"/>
        </w:rPr>
        <w:t>Dans cette même histoire, la corne républicaine connaît une mort et une résurrection parallèles, le sixième président depuis Reagan, au temps de la fin en 1989, devenant le huitième président, qui est des sept. Le processus de transition de la corne républicaine est représenté par sa fusion avec la corne du protestantisme apostat, ce qui constitue une fornication spirituelle et l’image de la bête. La corne républicaine devient le huitième, qui est des sept, car elle représente une image de la bête du catholicisme, c’est-à-dire la huitième tête, qui est des sept têtes, dans le chapitre dix-sept de l’Apocalypse, et dans le chapitre deux de Daniel.</w:t>
      </w:r>
    </w:p>
    <w:p>
      <w:pPr>
        <w:pStyle w:val="ArticleBody"/>
        <w:jc w:val="left"/>
      </w:pPr>
      <w:r>
        <w:rPr>
          <w:rFonts w:ascii="Times New Roman" w:hAnsi="Times New Roman" w:eastAsia="Times New Roman" w:cs="Times New Roman"/>
        </w:rPr>
        <w:t>Ɗoŋol siyaasii ngol duudeere Republicanism ɗin ko waɗii e sahaa moƴƴugol daga 1776 haa 1798. On sahaa annabaaku on ko cuɓoraaɗi kañum moƴƴo ngam andude waɗtugol e ɗaɓɓitugol sirru suuɗiiɗo maangol nebiiya Nebukadnezar dow nataaji dabbunde ɗin. On sahaa moƴƴugol on ko waɗtinaama e sahaa moƴƴugol duuɓi sappo e tati ngam Almasiihu e antikristi ɗin fof.</w:t>
      </w:r>
    </w:p>
    <w:p>
      <w:pPr>
        <w:pStyle w:val="ArticleBody"/>
        <w:jc w:val="left"/>
      </w:pPr>
      <w:r>
        <w:rPr>
          <w:rFonts w:ascii="Times New Roman" w:hAnsi="Times New Roman" w:eastAsia="Times New Roman" w:cs="Times New Roman"/>
        </w:rPr>
        <w:t>Le temps du scellement, depuis le 11 septembre 2001 jusqu’à la loi dominicale qui doit bientôt venir, est la période prophétique où l’effet de toute vision s’accomplit. Il représente la période qui s’achève avec le retour de la papauté sur le trône de la terre comme le huitième royaume, qui est issu des sept, à l’heure du « grand tremblement de terre » d’Apocalypse chapitre onze. Il a donc été préfiguré par la période qui a précédé la première fois où la papauté fut intronisée en 538. En 538, la papauté promulgua une loi dominicale au concile d’Orléans, marquant la fin des trente années de préparation et préfigurant la loi dominicale qui doit bientôt venir. Jésus ne change jamais; il doit donc y avoir une période qui précède la loi dominicale, durant laquelle la blessure mortelle est guérie, comme ce fut le cas la première fois que la papauté fut intronisée.</w:t>
      </w:r>
    </w:p>
    <w:p>
      <w:pPr>
        <w:pStyle w:val="ArticleBody"/>
        <w:jc w:val="left"/>
      </w:pPr>
      <w:r>
        <w:rPr>
          <w:rFonts w:ascii="Times New Roman" w:hAnsi="Times New Roman" w:eastAsia="Times New Roman" w:cs="Times New Roman"/>
        </w:rPr>
        <w:t>Jëi periudhë paraqitet nga historitë e lidhura me shenjat udhëzuese të viteve 508, 533 dhe 538. Në vitin 508 filloi periudha e përgatitjes, ose vendosja e papatit. Mbretëria e katërt e Romës pagane, një fuqi e dragoit, ishte nënshtruar, dhe në vitin 533 Justiniani dekretoi se papati ishte “kreu i kishave, dhe gjithashtu ndreqësi i heretikëve.” E vetmja gjë që mbetej, në mënyrë që papati të merrte kontrollin në vitin 538, ishte largimi i gotëve nga Qyteti i Romës, dhe kjo ndodhi në vitin 538. Ajo vijë historike tridhjetëvjeçare ecte paralel me lindjen e Krishtit, e cila u pasua nga shërbesa e Gjonit, që çoi në fuqizimin e Jezusit si Mesia në pagëzimin e Tij.</w:t>
      </w:r>
    </w:p>
    <w:p>
      <w:pPr>
        <w:pStyle w:val="ArticleBody"/>
        <w:jc w:val="left"/>
      </w:pPr>
      <w:r>
        <w:rPr>
          <w:rFonts w:ascii="Times New Roman" w:hAnsi="Times New Roman" w:eastAsia="Times New Roman" w:cs="Times New Roman"/>
        </w:rPr>
        <w:t>Nyengo ya kukonzekera mu mbiri ya Khristu imayendera limodzi ndi nthawi ya kusindikiza, ndipo imakhudza mzere wamkati wa nyanga ya Chiprotestanti, pamene nyengo ya kukonzekera ya wotsutsakhristu imakhudza mzere wakunja wa nyanga ya Chirepublican. Nyengo ziwirizi zimapereka mboni ziwiri za September 11, 2001, October 7, 2023, ndi lamulo la Sabata lomwe likubwera posachedwa. Nyengo imodzi ikugogomezera umboni wakunja, ndipo inayo umboni wamkati wa nthawi ya kusindikiza ya anthu zana limodzi ndi makumi anayi mphambu anayi sauzande.</w:t>
      </w:r>
    </w:p>
    <w:p>
      <w:pPr>
        <w:pStyle w:val="ArticleBody"/>
        <w:jc w:val="left"/>
      </w:pPr>
      <w:r>
        <w:rPr>
          <w:rFonts w:ascii="Times New Roman" w:hAnsi="Times New Roman" w:eastAsia="Times New Roman" w:cs="Times New Roman"/>
        </w:rPr>
        <w:t>L'œuvre de Jean, comme voix dans le désert qui préparait la voie au Messager de l'alliance, était parallèle au décret de Justinien qui préparait la voie à l'homme de péché, lequel est le messager de l'alliance de la mort. Le 7 octobre 2023 fut l'avertissement de ce qui va se produire lorsque la loi du dimanche sera imposée, comme ce fut le cas en 538. Le 7 octobre 2023 correspond à 533 dans la période de préparation à la première fois où la papauté fut placée sur le trône de la terre. C'est l'avertissement qu'à la loi du dimanche qui vient bientôt, comme en 538, le pape redeviendra une fois encore à la fois le chef des Églises et aussi le correcteur des hérétiques. C'est aussi l'avertissement de l'escalade de la guerre de l'islam du troisième malheur.</w:t>
      </w:r>
    </w:p>
    <w:p>
      <w:pPr>
        <w:pStyle w:val="ArticleBody"/>
        <w:jc w:val="left"/>
      </w:pPr>
      <w:r>
        <w:rPr>
          <w:rFonts w:ascii="Times New Roman" w:hAnsi="Times New Roman" w:eastAsia="Times New Roman" w:cs="Times New Roman"/>
        </w:rPr>
        <w:t>C’est l’avertissement qui identifie l’islam (les nouvelles de l’orient), et l’avertissement du rétablissement du pape (les nouvelles du nord). Cet avertissement coïncide avec l’œuvre du messager qui prépare le chemin dans les derniers jours, pour le Messager de l’Alliance, qui doit alors entrer en alliance avec les cent quarante-quatre mille.</w:t>
      </w:r>
    </w:p>
    <w:p>
      <w:pPr>
        <w:pStyle w:val="ArticleBody"/>
        <w:jc w:val="left"/>
      </w:pPr>
      <w:r>
        <w:rPr>
          <w:rFonts w:ascii="Times New Roman" w:hAnsi="Times New Roman" w:eastAsia="Times New Roman" w:cs="Times New Roman"/>
        </w:rPr>
        <w:t>Les trois périodes de préparation (les trente années du Christ et de l’antichrist, ainsi que le temps du scellement) sont aussi préfigurées par la période allant de 1776 à 1798. La fin de la bête de la terre possède une période déterminée qui précède sa fin en tant que sixième royaume de la prophétie biblique; dès lors, le commencement de la bête de la terre comme sixième royaume de la prophétie biblique doit avoir une période prophétique qui précède le commencement de ce royaume. Alpha et Oméga illustrent toujours la fin d’une chose avec le commencement d’une chose.</w:t>
      </w:r>
    </w:p>
    <w:p>
      <w:pPr>
        <w:pStyle w:val="ArticleBody"/>
        <w:jc w:val="left"/>
      </w:pPr>
      <w:r>
        <w:rPr>
          <w:rFonts w:ascii="Times New Roman" w:hAnsi="Times New Roman" w:eastAsia="Times New Roman" w:cs="Times New Roman"/>
        </w:rPr>
        <w:t>1776, 1789 et 1798 représentent le 11 septembre 2001, le 7 octobre 2023 et la loi dominicale imminente. De 1776 à 1798, la préparation prophétique de l’établissement du sixième royaume s’est accomplie, tout comme les années 508, 533 et 538 représentaient la préparation de l’établissement du cinquième royaume. Ils doivent posséder ces mêmes caractéristiques prophétiques, car le sixième royaume doit être l’image du cinquième royaume.</w:t>
      </w:r>
    </w:p>
    <w:p>
      <w:pPr>
        <w:pStyle w:val="ArticleBody"/>
        <w:jc w:val="left"/>
      </w:pPr>
      <w:r>
        <w:rPr>
          <w:rFonts w:ascii="Times New Roman" w:hAnsi="Times New Roman" w:eastAsia="Times New Roman" w:cs="Times New Roman"/>
        </w:rPr>
        <w:t>Krisito ya yambo zintatu zo kwitegura ezi zikalongozya ku lubapatizo Lwake zimilila cikati cimo cine, nkambo Krisito na kaboola ku kusimika cizuminano kwa iviki limwi, kutandikila ku lubapatizo Lwake, wa kali kutegula bwami Bwakwe bwa luzyalo. Mu kutegula bwami Bwakwe bwa luzyalo mu myaka eyo ili ciloba, wakasansa bulowa Bwakwe ku kusimika obo bwami, alimwi mu kucita boobo, wakasiya cikozyanyo ca ciindi naakali kuzotegula bwami Bwakwe bwa bulemu. Obo bwami bwa bulemu mbo bwami bwa Daniele babili, obo bumililwa nkaambo iibwe ilyakatemwa kuzwa ku dundu citakwe maanza. Obo bwami, Mukaintu White ulatuzibya kuti butegulwa mu ciindi ca mvula ya kumamanino, alimwi mvula ya kumamanino yakatalika pa 11 ya September, 2001.</w:t>
      </w:r>
    </w:p>
    <w:p>
      <w:pPr>
        <w:pStyle w:val="ArticleScripture"/>
        <w:jc w:val="left"/>
      </w:pPr>
      <w:r>
        <w:rPr>
          <w:rFonts w:ascii="Times New Roman" w:hAnsi="Times New Roman" w:eastAsia="Times New Roman" w:cs="Times New Roman"/>
        </w:rPr>
        <w:t>“Nön söñgü yagyş sap bolğanlar üstine geler — ol wagtda hemmesi ony öňküsi ýaly kabul ederler.</w:t>
      </w:r>
    </w:p>
    <w:p>
      <w:pPr>
        <w:pStyle w:val="ArticleScripture"/>
        <w:jc w:val="left"/>
      </w:pPr>
      <w:r>
        <w:rPr>
          <w:rFonts w:ascii="Times New Roman" w:hAnsi="Times New Roman" w:eastAsia="Times New Roman" w:cs="Times New Roman"/>
        </w:rPr>
        <w:t>«Lorsque les quatre anges relâcheront leur étreinte, le Christ établira son royaume. Nul ne recevra la pluie de l’arrière-saison, sinon ceux qui font tout ce qui est en leur pouvoir. Le Christ nous aiderait. Tous pourraient être vainqueurs par la grâce de Dieu, par le sang de Jésus. Tout le ciel s’intéresse à l’œuvre. Les anges s’y intéressent.» Spalding and Magan, 3.</w:t>
      </w:r>
    </w:p>
    <w:p>
      <w:pPr>
        <w:pStyle w:val="ArticleBody"/>
        <w:jc w:val="left"/>
      </w:pPr>
      <w:r>
        <w:rPr>
          <w:rFonts w:ascii="Times New Roman" w:hAnsi="Times New Roman" w:eastAsia="Times New Roman" w:cs="Times New Roman"/>
        </w:rPr>
        <w:t>Le 11 septembre 2001, les quatre vents, représentés comme un cheval furieux (l’islam), furent relâchés, puis retenus, tandis que les cent quarante-quatre mille sont en train d’être scellés. 1776, 1789 et 1798 représentent la période du scellement des cent quarante-quatre mille, et ces trois dates représentent des promulgations légales qui ont conduit à l’établissement du sixième royaume de la prophétie biblique. La deuxième date, 1789, désigne la Constitution des États-Unis, et par conséquent c’était le message qui identifiait la Constitution comme la puissance double qui devait paraître en 1798, tout comme 533 fut l’annonce de la puissance double qui devait paraître en 538, et comme Jean-Baptiste annonça la puissance double qui devait se manifester au baptême du Christ.</w:t>
      </w:r>
    </w:p>
    <w:p>
      <w:pPr>
        <w:pStyle w:val="ArticleBody"/>
        <w:jc w:val="left"/>
      </w:pPr>
      <w:r>
        <w:rPr>
          <w:rFonts w:ascii="Times New Roman" w:hAnsi="Times New Roman" w:eastAsia="Times New Roman" w:cs="Times New Roman"/>
        </w:rPr>
        <w:t>دو قدرتی که قدرتِ دوگانهٔ مسیح را تشکیل می‌داد، نمونهٔ او بود که نشان می‌داد الوهیتِ متحد با انسانیت گناه نمی‌کند. دو قدرتی که قدرتِ دوگانهٔ دجّال را تشکیل می‌داد، برتخت‌نشاندنِ او به‌عنوان رأسِ کلیساها، و برتخت‌نشاندنِ او به‌عنوان اصلاح‌کنندهٔ بدعت‌گذاران بود. دو قدرتی که قدرتِ دوگانهٔ وحشِ زمین را تشکیل می‌دهد، دو شاخِ جمهوری‌خواهی و پروتستانیسم است.</w:t>
      </w:r>
    </w:p>
    <w:p>
      <w:pPr>
        <w:pStyle w:val="ArticleScripture"/>
        <w:jc w:val="left"/>
      </w:pPr>
      <w:r>
        <w:rPr>
          <w:rFonts w:ascii="Times New Roman" w:hAnsi="Times New Roman" w:eastAsia="Times New Roman" w:cs="Times New Roman"/>
        </w:rPr>
        <w:t>“‘And he had two horns like a lamb.’ Mbeu sɔre atɛnkyɛn dua no kyerɛ mmeranteɛyɛ, ahotew, ne brɛoo, na ɛfata yiye sɛ egyina hɔ ma United States suban bere a wɔde no maa odiyifo no sɛ ‘ɛrefi pue’ wɔ 1798 mu no. Kristofo a woguan fii wɔn man so a wodii kan guan kɔɔ America na wɔhwehwɛɛ guankɔbea fi ahene nhyɛso ne asɔfoɔ gyidi-animtiaabu mu no mu no, na wɔn mu pii sii wɔn adwene pi sɛ wɔbɛhyehyɛ aban bi wɔ ɔman mu ne nyamesom mu ahofadi a emu trɛw no fapem so. Wɔn adwene nyaa baabi wɔ Ahofadi Ho Mpaemuka no mu, a ɛda nokware kɛse yi adi sɛ ‘nnipa nyinaa wɔbɔɔ wɔn pɛ’ na wɔde hokwan a wontumi nnye mfi wɔn nsa no ama wɔn, sɛ ‘nkwa, ahofadi, ne anigyehwehwɛ.’ Na Mmara Titen no ma ɔman no nkurɔfoɔ awerɛhyem wɔ wɔn hokwan a wɔwɔ sɛ wɔdi wɔn ho so no ho, na ɛhyehyɛ sɛ ananmusifo a nkurɔfo no paw wɔn denam amansan abatow so no na wɔbɛyɛ mmara na wɔadi ho dwuma. Wɔmaa nyamesom mu gyidi ahofadi nso, na wɔmaa obiara kwan sɛ ɔnsom Onyankopɔn sɛnea n’ahonim kyerɛ no. Republicanism ne Protestantism bɛyɛɛ ɔman no nnyinasosɛm titiriw. Saa nnyinasosɛm yi ne ne tumi ne ne yiyedi ahintasɛm no. Wɔn a wɔahyɛ wɔn so na wɔabrɛ wɔn ase wɔ Kristofo wiase nyinaa mu no de anigye ne anidaso ahwɛ asase yi so. Nnipa ɔpepem pii ahwehwɛ n’mpoano, na United States asɔre akodu baabi a ɛka aman a wɔwɔ tumi kɛse wɔ asase so no ho.” The Great Controversy, 441.</w:t>
      </w:r>
    </w:p>
    <w:p>
      <w:pPr>
        <w:pStyle w:val="ArticleBody"/>
        <w:jc w:val="left"/>
      </w:pPr>
      <w:r>
        <w:rPr>
          <w:rFonts w:ascii="Times New Roman" w:hAnsi="Times New Roman" w:eastAsia="Times New Roman" w:cs="Times New Roman"/>
        </w:rPr>
        <w:t>1776, 1789 et 1798 représentent trois histoires qui soulignent que le huitième est issu des sept. 1776 représente la publication de la Déclaration d’Indépendance, ainsi que l’histoire des Premier et Deuxième Congrès continentaux. 1789 représente la publication de la Constitution et l’histoire des Articles de la Confédération. 1798 représente la publication des Alien and Sedition Acts, ainsi que le commencement de la bête de la terre en tant que sixième royaume de la prophétie biblique.</w:t>
      </w:r>
    </w:p>
    <w:p>
      <w:pPr>
        <w:pStyle w:val="ArticleBody"/>
        <w:jc w:val="left"/>
      </w:pPr>
      <w:r>
        <w:rPr>
          <w:rFonts w:ascii="Times New Roman" w:hAnsi="Times New Roman" w:eastAsia="Times New Roman" w:cs="Times New Roman"/>
        </w:rPr>
        <w:t>Den første kontinentale kongres fandt sted i 1774 og var en afgørende institution i De Forenede Staters tidlige historie, idet den fungerede som et regerende organ under den amerikanske uafhængighedskrig. De kontinentale kongresser er opdelt i to profetiske perioder: den første kongres og den sidste kongres. Den første kontinentale kongres havde to præsidenter og samledes i Philadelphia fra den 5. september til den 26. oktober 1774. Peyton Randolph var mødets første præsident fra den 5. september til den 22. oktober, og derefter ledede Henry Middleton forhandlingerne i de næste fem dage indtil den 26. oktober 1774.</w:t>
      </w:r>
    </w:p>
    <w:p>
      <w:pPr>
        <w:pStyle w:val="ArticleBody"/>
        <w:jc w:val="left"/>
      </w:pPr>
      <w:r>
        <w:rPr>
          <w:rFonts w:ascii="Times New Roman" w:hAnsi="Times New Roman" w:eastAsia="Times New Roman" w:cs="Times New Roman"/>
        </w:rPr>
        <w:t>Den anden kontinentale kongres fandt sted fra 1775 til 1781. Den anden kontinentale kongres havde seks præsidenter i løbet af sin eksistens. Peyton Randolph fungerede som præsident fra den 10. maj 1775 til den 24. maj 1775. Han var den første præsident for både den første og den anden kontinentale kongres. Der var i alt otte præsidenter i løbet af den første og den anden kontinentale kongres’ historie.</w:t>
      </w:r>
    </w:p>
    <w:p>
      <w:pPr>
        <w:pStyle w:val="ArticleBody"/>
        <w:jc w:val="left"/>
      </w:pPr>
      <w:r>
        <w:rPr>
          <w:rFonts w:ascii="Times New Roman" w:hAnsi="Times New Roman" w:eastAsia="Times New Roman" w:cs="Times New Roman"/>
        </w:rPr>
        <w:t>Le deuxième président du Deuxième Congrès continental fut John Hancock, et Hancock présida du 24 mai 1775 au 31 octobre 1777. Henry Laurens présida du 1er novembre 1777 au 9 décembre 1778. John Jay présida du 10 décembre 1778 au 28 septembre 1779. Samuel Huntington présida du 28 septembre 1779 au 9 juillet 1781. Thomas McKean présida du 10 juillet 1781 au 4 novembre 1781.</w:t>
      </w:r>
    </w:p>
    <w:p>
      <w:pPr>
        <w:pStyle w:val="ArticleBody"/>
        <w:jc w:val="left"/>
      </w:pPr>
      <w:r>
        <w:rPr>
          <w:rFonts w:ascii="Times New Roman" w:hAnsi="Times New Roman" w:eastAsia="Times New Roman" w:cs="Times New Roman"/>
        </w:rPr>
        <w:t>Peyton Randolph var den første præsident for både den Første og den Anden Kontinentalkongres. Dette viser, at der i løbet af de to perioder med Kontinentalkongresserne var otte præsidentperioder, men den præsident, der var den første præsident i hver af de to perioder, var den samme person. Derfor var der, skønt der var otte præsidentperioder, i virkeligheden kun syv præsidenter. Den første præsident var én af de syv mænd, som var præsidenter, men eftersom Randolph præsiderede to gange i den historie, repræsenterer han også den ottende, som var af de syv.</w:t>
      </w:r>
    </w:p>
    <w:p>
      <w:pPr>
        <w:pStyle w:val="ArticleBody"/>
        <w:jc w:val="left"/>
      </w:pP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ᎤᎾᏓᏅᏛ</w:t>
      </w:r>
      <w:r>
        <w:rPr>
          <w:rFonts w:ascii="Times New Roman" w:hAnsi="Times New Roman" w:eastAsia="Times New Roman" w:cs="Times New Roman"/>
        </w:rPr>
        <w:t xml:space="preserve"> </w:t>
      </w:r>
      <w:r>
        <w:rPr>
          <w:rFonts w:ascii="Gadugi" w:hAnsi="Gadugi" w:eastAsia="Gadugi" w:cs="Gadugi"/>
        </w:rPr>
        <w:t>ᎤᏃᎮᎸ</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Ꭹ</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ᎤᎾᏓᏅᏛ</w:t>
      </w:r>
      <w:r>
        <w:rPr>
          <w:rFonts w:ascii="Times New Roman" w:hAnsi="Times New Roman" w:eastAsia="Times New Roman" w:cs="Times New Roman"/>
        </w:rPr>
        <w:t xml:space="preserve"> </w:t>
      </w:r>
      <w:r>
        <w:rPr>
          <w:rFonts w:ascii="Gadugi" w:hAnsi="Gadugi" w:eastAsia="Gadugi" w:cs="Gadugi"/>
        </w:rPr>
        <w:t>ᏚᏂᏂᏴᎮ</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ᎤᏓᏡᎬ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ᎠᎾᏓᏡᎬ</w:t>
      </w:r>
      <w:r>
        <w:rPr>
          <w:rFonts w:ascii="Times New Roman" w:hAnsi="Times New Roman" w:eastAsia="Times New Roman" w:cs="Times New Roman"/>
        </w:rPr>
        <w:t xml:space="preserve"> </w:t>
      </w:r>
      <w:r>
        <w:rPr>
          <w:rFonts w:ascii="Gadugi" w:hAnsi="Gadugi" w:eastAsia="Gadugi" w:cs="Gadugi"/>
        </w:rPr>
        <w:t>ᎤᏂᏂᏴᎮ</w:t>
      </w:r>
      <w:r>
        <w:rPr>
          <w:rFonts w:ascii="Times New Roman" w:hAnsi="Times New Roman" w:eastAsia="Times New Roman" w:cs="Times New Roman"/>
        </w:rPr>
        <w:t xml:space="preserve"> </w:t>
      </w:r>
      <w:r>
        <w:rPr>
          <w:rFonts w:ascii="Gadugi" w:hAnsi="Gadugi" w:eastAsia="Gadugi" w:cs="Gadugi"/>
        </w:rPr>
        <w:t>ᎠᏂᏴᏫᏯ</w:t>
      </w:r>
      <w:r>
        <w:rPr>
          <w:rFonts w:ascii="Times New Roman" w:hAnsi="Times New Roman" w:eastAsia="Times New Roman" w:cs="Times New Roman"/>
        </w:rPr>
        <w:t xml:space="preserve"> </w:t>
      </w:r>
      <w:r>
        <w:rPr>
          <w:rFonts w:ascii="Gadugi" w:hAnsi="Gadugi" w:eastAsia="Gadugi" w:cs="Gadugi"/>
        </w:rPr>
        <w:t>ᎤᏂᏍᏛ</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ᎠᎾᏓᏅᏛ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ᏦᎩ</w:t>
      </w:r>
      <w:r>
        <w:rPr>
          <w:rFonts w:ascii="Times New Roman" w:hAnsi="Times New Roman" w:eastAsia="Times New Roman" w:cs="Times New Roman"/>
        </w:rPr>
        <w:t xml:space="preserve"> </w:t>
      </w:r>
      <w:r>
        <w:rPr>
          <w:rFonts w:ascii="Gadugi" w:hAnsi="Gadugi" w:eastAsia="Gadugi" w:cs="Gadugi"/>
        </w:rPr>
        <w:t>ᏩᏏᏂᏛ</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ᏗᎦᏚᎲ</w:t>
      </w:r>
      <w:r>
        <w:rPr>
          <w:rFonts w:ascii="Times New Roman" w:hAnsi="Times New Roman" w:eastAsia="Times New Roman" w:cs="Times New Roman"/>
        </w:rPr>
        <w:t xml:space="preserve"> </w:t>
      </w:r>
      <w:r>
        <w:rPr>
          <w:rFonts w:ascii="Gadugi" w:hAnsi="Gadugi" w:eastAsia="Gadugi" w:cs="Gadugi"/>
        </w:rPr>
        <w:t>ᎤᏪᏥᏍᎩ</w:t>
      </w:r>
      <w:r>
        <w:rPr>
          <w:rFonts w:ascii="Times New Roman" w:hAnsi="Times New Roman" w:eastAsia="Times New Roman" w:cs="Times New Roman"/>
        </w:rPr>
        <w:t xml:space="preserve"> </w:t>
      </w:r>
      <w:r>
        <w:rPr>
          <w:rFonts w:ascii="Gadugi" w:hAnsi="Gadugi" w:eastAsia="Gadugi" w:cs="Gadugi"/>
        </w:rPr>
        <w:t>ᏱᎨᏎ</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ᎪᎯᏳᏍᏗ</w:t>
      </w:r>
      <w:r>
        <w:rPr>
          <w:rFonts w:ascii="Times New Roman" w:hAnsi="Times New Roman" w:eastAsia="Times New Roman" w:cs="Times New Roman"/>
        </w:rPr>
        <w:t xml:space="preserve">, </w:t>
      </w:r>
      <w:r>
        <w:rPr>
          <w:rFonts w:ascii="Gadugi" w:hAnsi="Gadugi" w:eastAsia="Gadugi" w:cs="Gadugi"/>
        </w:rPr>
        <w:t>ᎾᏍᎩᏰ</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ᎤᏂᎦᏘᏯ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ᎤᎬᔪᏌᏛ</w:t>
      </w:r>
      <w:r>
        <w:rPr>
          <w:rFonts w:ascii="Times New Roman" w:hAnsi="Times New Roman" w:eastAsia="Times New Roman" w:cs="Times New Roman"/>
        </w:rPr>
        <w:t xml:space="preserve"> </w:t>
      </w:r>
      <w:r>
        <w:rPr>
          <w:rFonts w:ascii="Gadugi" w:hAnsi="Gadugi" w:eastAsia="Gadugi" w:cs="Gadugi"/>
        </w:rPr>
        <w:t>ᎤᎾᏤᎵᎦ</w:t>
      </w:r>
      <w:r>
        <w:rPr>
          <w:rFonts w:ascii="Times New Roman" w:hAnsi="Times New Roman" w:eastAsia="Times New Roman" w:cs="Times New Roman"/>
        </w:rPr>
        <w:t xml:space="preserve"> </w:t>
      </w:r>
      <w:r>
        <w:rPr>
          <w:rFonts w:ascii="Gadugi" w:hAnsi="Gadugi" w:eastAsia="Gadugi" w:cs="Gadugi"/>
        </w:rPr>
        <w:t>ᎠᏂᏴᏫᏯ</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ᎤᎵᏂᎩᏛ</w:t>
      </w:r>
      <w:r>
        <w:rPr>
          <w:rFonts w:ascii="Times New Roman" w:hAnsi="Times New Roman" w:eastAsia="Times New Roman" w:cs="Times New Roman"/>
        </w:rPr>
        <w:t xml:space="preserve"> </w:t>
      </w:r>
      <w:r>
        <w:rPr>
          <w:rFonts w:ascii="Gadugi" w:hAnsi="Gadugi" w:eastAsia="Gadugi" w:cs="Gadugi"/>
        </w:rPr>
        <w:t>ᎡᎯ</w:t>
      </w:r>
      <w:r>
        <w:rPr>
          <w:rFonts w:ascii="Times New Roman" w:hAnsi="Times New Roman" w:eastAsia="Times New Roman" w:cs="Times New Roman"/>
        </w:rPr>
        <w:t xml:space="preserve"> </w:t>
      </w:r>
      <w:r>
        <w:rPr>
          <w:rFonts w:ascii="Gadugi" w:hAnsi="Gadugi" w:eastAsia="Gadugi" w:cs="Gadugi"/>
        </w:rPr>
        <w:t>ᏥᏂᎨᏒ</w:t>
      </w:r>
      <w:r>
        <w:rPr>
          <w:rFonts w:ascii="Times New Roman" w:hAnsi="Times New Roman" w:eastAsia="Times New Roman" w:cs="Times New Roman"/>
        </w:rPr>
        <w:t xml:space="preserve"> </w:t>
      </w:r>
      <w:r>
        <w:rPr>
          <w:rFonts w:ascii="Gadugi" w:hAnsi="Gadugi" w:eastAsia="Gadugi" w:cs="Gadugi"/>
        </w:rPr>
        <w:t>ᎤᎾᏓᏡᎬ</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Étant le premier président des deux périodes, Randolph représente deux témoins qui préfigurent le premier président effectif, à savoir George Washington. Washington est représenté par Randolph et, par conséquent, Randolph, en tant que symbole de Washington, exprime à la fois les caractéristiques prophétiques de Randolph, le premier président, mais aussi le fait que Randolph était le huitième, issu des sept. Ainsi, George Washington, en tant que premier président et premier Commandant en chef, était aussi prophétiquement le huitième, et issu des sept.</w:t>
      </w:r>
    </w:p>
    <w:p>
      <w:pPr>
        <w:pStyle w:val="ArticleBody"/>
        <w:jc w:val="left"/>
      </w:pPr>
      <w:r>
        <w:rPr>
          <w:rFonts w:ascii="Times New Roman" w:hAnsi="Times New Roman" w:eastAsia="Times New Roman" w:cs="Times New Roman"/>
        </w:rPr>
        <w:t>Jésus illustre la fin d’une chose par son commencement; ainsi, le dernier président et commandant en chef sera le huitième, et il est issu des sept. Ce fait prophétique est établi dans l’histoire des Premier et Second Congrès continentaux, laquelle est représentée par la date du premier repère, 1776, et par la publication de la Déclaration d’indépendance.</w:t>
      </w:r>
    </w:p>
    <w:p>
      <w:pPr>
        <w:pStyle w:val="ArticleBody"/>
        <w:jc w:val="left"/>
      </w:pPr>
      <w:r>
        <w:rPr>
          <w:rFonts w:ascii="Times New Roman" w:hAnsi="Times New Roman" w:eastAsia="Times New Roman" w:cs="Times New Roman"/>
        </w:rPr>
        <w:t>Le jalon de 1776 préfigure le 11 septembre 2001 et le Patriot Act, lorsque l’indépendance américaine fut placée sous l’autorité du droit romain, et non plus sous celle du droit anglais. Il marque le commencement de la période prophétique qui prépare la voie pour que la papauté reprenne une fois encore le trône de la terre lors de la loi dominicale imminente.</w:t>
      </w:r>
    </w:p>
    <w:p>
      <w:pPr>
        <w:pStyle w:val="ArticleBody"/>
        <w:jc w:val="left"/>
      </w:pPr>
      <w:r>
        <w:rPr>
          <w:rFonts w:ascii="Times New Roman" w:hAnsi="Times New Roman" w:eastAsia="Times New Roman" w:cs="Times New Roman"/>
        </w:rPr>
        <w:t>1776</w:t>
      </w:r>
      <w:r>
        <w:rPr>
          <w:rFonts w:ascii="Malgun Gothic" w:hAnsi="Malgun Gothic" w:eastAsia="Malgun Gothic" w:cs="Malgun Gothic"/>
        </w:rPr>
        <w:t>로</w:t>
      </w:r>
      <w:r>
        <w:rPr>
          <w:rFonts w:ascii="Times New Roman" w:hAnsi="Times New Roman" w:eastAsia="Times New Roman" w:cs="Times New Roman"/>
        </w:rPr>
        <w:t xml:space="preserve"> </w:t>
      </w:r>
      <w:r>
        <w:rPr>
          <w:rFonts w:ascii="Malgun Gothic" w:hAnsi="Malgun Gothic" w:eastAsia="Malgun Gothic" w:cs="Malgun Gothic"/>
        </w:rPr>
        <w:t>표상된</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기간과</w:t>
      </w:r>
      <w:r>
        <w:rPr>
          <w:rFonts w:ascii="Times New Roman" w:hAnsi="Times New Roman" w:eastAsia="Times New Roman" w:cs="Times New Roman"/>
        </w:rPr>
        <w:t xml:space="preserve"> </w:t>
      </w:r>
      <w:r>
        <w:rPr>
          <w:rFonts w:ascii="Malgun Gothic" w:hAnsi="Malgun Gothic" w:eastAsia="Malgun Gothic" w:cs="Malgun Gothic"/>
        </w:rPr>
        <w:t>마찬가지로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기간은</w:t>
      </w:r>
      <w:r>
        <w:rPr>
          <w:rFonts w:ascii="Times New Roman" w:hAnsi="Times New Roman" w:eastAsia="Times New Roman" w:cs="Times New Roman"/>
        </w:rPr>
        <w:t xml:space="preserve"> </w:t>
      </w:r>
      <w:r>
        <w:rPr>
          <w:rFonts w:ascii="Malgun Gothic" w:hAnsi="Malgun Gothic" w:eastAsia="Malgun Gothic" w:cs="Malgun Gothic"/>
        </w:rPr>
        <w:t>제</w:t>
      </w:r>
      <w:r>
        <w:rPr>
          <w:rFonts w:ascii="Times New Roman" w:hAnsi="Times New Roman" w:eastAsia="Times New Roman" w:cs="Times New Roman"/>
        </w:rPr>
        <w:t>2</w:t>
      </w:r>
      <w:r>
        <w:rPr>
          <w:rFonts w:ascii="Malgun Gothic" w:hAnsi="Malgun Gothic" w:eastAsia="Malgun Gothic" w:cs="Malgun Gothic"/>
        </w:rPr>
        <w:t>차</w:t>
      </w:r>
      <w:r>
        <w:rPr>
          <w:rFonts w:ascii="Times New Roman" w:hAnsi="Times New Roman" w:eastAsia="Times New Roman" w:cs="Times New Roman"/>
        </w:rPr>
        <w:t xml:space="preserve"> </w:t>
      </w:r>
      <w:r>
        <w:rPr>
          <w:rFonts w:ascii="Malgun Gothic" w:hAnsi="Malgun Gothic" w:eastAsia="Malgun Gothic" w:cs="Malgun Gothic"/>
        </w:rPr>
        <w:t>대륙회의가</w:t>
      </w:r>
      <w:r>
        <w:rPr>
          <w:rFonts w:ascii="Times New Roman" w:hAnsi="Times New Roman" w:eastAsia="Times New Roman" w:cs="Times New Roman"/>
        </w:rPr>
        <w:t xml:space="preserve"> 1781</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종결된</w:t>
      </w:r>
      <w:r>
        <w:rPr>
          <w:rFonts w:ascii="Times New Roman" w:hAnsi="Times New Roman" w:eastAsia="Times New Roman" w:cs="Times New Roman"/>
        </w:rPr>
        <w:t xml:space="preserve"> </w:t>
      </w:r>
      <w:r>
        <w:rPr>
          <w:rFonts w:ascii="Malgun Gothic" w:hAnsi="Malgun Gothic" w:eastAsia="Malgun Gothic" w:cs="Malgun Gothic"/>
        </w:rPr>
        <w:t>때부터</w:t>
      </w:r>
      <w:r>
        <w:rPr>
          <w:rFonts w:ascii="Times New Roman" w:hAnsi="Times New Roman" w:eastAsia="Times New Roman" w:cs="Times New Roman"/>
        </w:rPr>
        <w:t xml:space="preserve"> </w:t>
      </w:r>
      <w:r>
        <w:rPr>
          <w:rFonts w:ascii="Malgun Gothic" w:hAnsi="Malgun Gothic" w:eastAsia="Malgun Gothic" w:cs="Malgun Gothic"/>
        </w:rPr>
        <w:t>헌법의</w:t>
      </w:r>
      <w:r>
        <w:rPr>
          <w:rFonts w:ascii="Times New Roman" w:hAnsi="Times New Roman" w:eastAsia="Times New Roman" w:cs="Times New Roman"/>
        </w:rPr>
        <w:t xml:space="preserve"> </w:t>
      </w:r>
      <w:r>
        <w:rPr>
          <w:rFonts w:ascii="Malgun Gothic" w:hAnsi="Malgun Gothic" w:eastAsia="Malgun Gothic" w:cs="Malgun Gothic"/>
        </w:rPr>
        <w:t>공포와</w:t>
      </w:r>
      <w:r>
        <w:rPr>
          <w:rFonts w:ascii="Times New Roman" w:hAnsi="Times New Roman" w:eastAsia="Times New Roman" w:cs="Times New Roman"/>
        </w:rPr>
        <w:t xml:space="preserve"> </w:t>
      </w:r>
      <w:r>
        <w:rPr>
          <w:rFonts w:ascii="Malgun Gothic" w:hAnsi="Malgun Gothic" w:eastAsia="Malgun Gothic" w:cs="Malgun Gothic"/>
        </w:rPr>
        <w:t>연관된</w:t>
      </w:r>
      <w:r>
        <w:rPr>
          <w:rFonts w:ascii="Times New Roman" w:hAnsi="Times New Roman" w:eastAsia="Times New Roman" w:cs="Times New Roman"/>
        </w:rPr>
        <w:t xml:space="preserve"> </w:t>
      </w:r>
      <w:r>
        <w:rPr>
          <w:rFonts w:ascii="Malgun Gothic" w:hAnsi="Malgun Gothic" w:eastAsia="Malgun Gothic" w:cs="Malgun Gothic"/>
        </w:rPr>
        <w:t>이정표를</w:t>
      </w:r>
      <w:r>
        <w:rPr>
          <w:rFonts w:ascii="Times New Roman" w:hAnsi="Times New Roman" w:eastAsia="Times New Roman" w:cs="Times New Roman"/>
        </w:rPr>
        <w:t xml:space="preserve"> </w:t>
      </w:r>
      <w:r>
        <w:rPr>
          <w:rFonts w:ascii="Malgun Gothic" w:hAnsi="Malgun Gothic" w:eastAsia="Malgun Gothic" w:cs="Malgun Gothic"/>
        </w:rPr>
        <w:t>규정하는</w:t>
      </w:r>
      <w:r>
        <w:rPr>
          <w:rFonts w:ascii="Times New Roman" w:hAnsi="Times New Roman" w:eastAsia="Times New Roman" w:cs="Times New Roman"/>
        </w:rPr>
        <w:t xml:space="preserve"> </w:t>
      </w:r>
      <w:r>
        <w:rPr>
          <w:rFonts w:ascii="Malgun Gothic" w:hAnsi="Malgun Gothic" w:eastAsia="Malgun Gothic" w:cs="Malgun Gothic"/>
        </w:rPr>
        <w:t>연도인</w:t>
      </w:r>
      <w:r>
        <w:rPr>
          <w:rFonts w:ascii="Times New Roman" w:hAnsi="Times New Roman" w:eastAsia="Times New Roman" w:cs="Times New Roman"/>
        </w:rPr>
        <w:t xml:space="preserve"> 1789</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이르기까지의</w:t>
      </w:r>
      <w:r>
        <w:rPr>
          <w:rFonts w:ascii="Times New Roman" w:hAnsi="Times New Roman" w:eastAsia="Times New Roman" w:cs="Times New Roman"/>
        </w:rPr>
        <w:t xml:space="preserve"> </w:t>
      </w:r>
      <w:r>
        <w:rPr>
          <w:rFonts w:ascii="Malgun Gothic" w:hAnsi="Malgun Gothic" w:eastAsia="Malgun Gothic" w:cs="Malgun Gothic"/>
        </w:rPr>
        <w:t>역사를</w:t>
      </w:r>
      <w:r>
        <w:rPr>
          <w:rFonts w:ascii="Times New Roman" w:hAnsi="Times New Roman" w:eastAsia="Times New Roman" w:cs="Times New Roman"/>
        </w:rPr>
        <w:t xml:space="preserve"> </w:t>
      </w:r>
      <w:r>
        <w:rPr>
          <w:rFonts w:ascii="Malgun Gothic" w:hAnsi="Malgun Gothic" w:eastAsia="Malgun Gothic" w:cs="Malgun Gothic"/>
        </w:rPr>
        <w:t>표상하였다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역사</w:t>
      </w:r>
      <w:r>
        <w:rPr>
          <w:rFonts w:ascii="Times New Roman" w:hAnsi="Times New Roman" w:eastAsia="Times New Roman" w:cs="Times New Roman"/>
        </w:rPr>
        <w:t xml:space="preserve"> </w:t>
      </w:r>
      <w:r>
        <w:rPr>
          <w:rFonts w:ascii="Malgun Gothic" w:hAnsi="Malgun Gothic" w:eastAsia="Malgun Gothic" w:cs="Malgun Gothic"/>
        </w:rPr>
        <w:t>가운데에도</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여덟</w:t>
      </w:r>
      <w:r>
        <w:rPr>
          <w:rFonts w:ascii="Times New Roman" w:hAnsi="Times New Roman" w:eastAsia="Times New Roman" w:cs="Times New Roman"/>
        </w:rPr>
        <w:t xml:space="preserve"> </w:t>
      </w:r>
      <w:r>
        <w:rPr>
          <w:rFonts w:ascii="Malgun Gothic" w:hAnsi="Malgun Gothic" w:eastAsia="Malgun Gothic" w:cs="Malgun Gothic"/>
        </w:rPr>
        <w:t>명의</w:t>
      </w:r>
      <w:r>
        <w:rPr>
          <w:rFonts w:ascii="Times New Roman" w:hAnsi="Times New Roman" w:eastAsia="Times New Roman" w:cs="Times New Roman"/>
        </w:rPr>
        <w:t xml:space="preserve"> </w:t>
      </w:r>
      <w:r>
        <w:rPr>
          <w:rFonts w:ascii="Malgun Gothic" w:hAnsi="Malgun Gothic" w:eastAsia="Malgun Gothic" w:cs="Malgun Gothic"/>
        </w:rPr>
        <w:t>대통령이</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1781</w:t>
      </w:r>
      <w:r>
        <w:rPr>
          <w:rFonts w:ascii="Malgun Gothic" w:hAnsi="Malgun Gothic" w:eastAsia="Malgun Gothic" w:cs="Malgun Gothic"/>
        </w:rPr>
        <w:t>년부터</w:t>
      </w:r>
      <w:r>
        <w:rPr>
          <w:rFonts w:ascii="Times New Roman" w:hAnsi="Times New Roman" w:eastAsia="Times New Roman" w:cs="Times New Roman"/>
        </w:rPr>
        <w:t xml:space="preserve"> 1789</w:t>
      </w:r>
      <w:r>
        <w:rPr>
          <w:rFonts w:ascii="Malgun Gothic" w:hAnsi="Malgun Gothic" w:eastAsia="Malgun Gothic" w:cs="Malgun Gothic"/>
        </w:rPr>
        <w:t>년까지의</w:t>
      </w:r>
      <w:r>
        <w:rPr>
          <w:rFonts w:ascii="Times New Roman" w:hAnsi="Times New Roman" w:eastAsia="Times New Roman" w:cs="Times New Roman"/>
        </w:rPr>
        <w:t xml:space="preserve"> </w:t>
      </w:r>
      <w:r>
        <w:rPr>
          <w:rFonts w:ascii="Malgun Gothic" w:hAnsi="Malgun Gothic" w:eastAsia="Malgun Gothic" w:cs="Malgun Gothic"/>
        </w:rPr>
        <w:t>역사는</w:t>
      </w:r>
      <w:r>
        <w:rPr>
          <w:rFonts w:ascii="Times New Roman" w:hAnsi="Times New Roman" w:eastAsia="Times New Roman" w:cs="Times New Roman"/>
        </w:rPr>
        <w:t xml:space="preserve"> </w:t>
      </w:r>
      <w:r>
        <w:rPr>
          <w:rFonts w:ascii="Malgun Gothic" w:hAnsi="Malgun Gothic" w:eastAsia="Malgun Gothic" w:cs="Malgun Gothic"/>
        </w:rPr>
        <w:t>연합규약의</w:t>
      </w:r>
      <w:r>
        <w:rPr>
          <w:rFonts w:ascii="Times New Roman" w:hAnsi="Times New Roman" w:eastAsia="Times New Roman" w:cs="Times New Roman"/>
        </w:rPr>
        <w:t xml:space="preserve"> </w:t>
      </w:r>
      <w:r>
        <w:rPr>
          <w:rFonts w:ascii="Malgun Gothic" w:hAnsi="Malgun Gothic" w:eastAsia="Malgun Gothic" w:cs="Malgun Gothic"/>
        </w:rPr>
        <w:t>역사이다</w:t>
      </w:r>
      <w:r>
        <w:rPr>
          <w:rFonts w:ascii="Times New Roman" w:hAnsi="Times New Roman" w:eastAsia="Times New Roman" w:cs="Times New Roman"/>
        </w:rPr>
        <w:t xml:space="preserve">. </w:t>
      </w:r>
      <w:r>
        <w:rPr>
          <w:rFonts w:ascii="Malgun Gothic" w:hAnsi="Malgun Gothic" w:eastAsia="Malgun Gothic" w:cs="Malgun Gothic"/>
        </w:rPr>
        <w:t>연합규약은</w:t>
      </w:r>
      <w:r>
        <w:rPr>
          <w:rFonts w:ascii="Times New Roman" w:hAnsi="Times New Roman" w:eastAsia="Times New Roman" w:cs="Times New Roman"/>
        </w:rPr>
        <w:t xml:space="preserve"> </w:t>
      </w:r>
      <w:r>
        <w:rPr>
          <w:rFonts w:ascii="Malgun Gothic" w:hAnsi="Malgun Gothic" w:eastAsia="Malgun Gothic" w:cs="Malgun Gothic"/>
        </w:rPr>
        <w:t>최초의</w:t>
      </w:r>
      <w:r>
        <w:rPr>
          <w:rFonts w:ascii="Times New Roman" w:hAnsi="Times New Roman" w:eastAsia="Times New Roman" w:cs="Times New Roman"/>
        </w:rPr>
        <w:t xml:space="preserve"> </w:t>
      </w:r>
      <w:r>
        <w:rPr>
          <w:rFonts w:ascii="Malgun Gothic" w:hAnsi="Malgun Gothic" w:eastAsia="Malgun Gothic" w:cs="Malgun Gothic"/>
        </w:rPr>
        <w:t>헌법을</w:t>
      </w:r>
      <w:r>
        <w:rPr>
          <w:rFonts w:ascii="Times New Roman" w:hAnsi="Times New Roman" w:eastAsia="Times New Roman" w:cs="Times New Roman"/>
        </w:rPr>
        <w:t xml:space="preserve"> </w:t>
      </w:r>
      <w:r>
        <w:rPr>
          <w:rFonts w:ascii="Malgun Gothic" w:hAnsi="Malgun Gothic" w:eastAsia="Malgun Gothic" w:cs="Malgun Gothic"/>
        </w:rPr>
        <w:t>표상하였으나</w:t>
      </w:r>
      <w:r>
        <w:rPr>
          <w:rFonts w:ascii="Times New Roman" w:hAnsi="Times New Roman" w:eastAsia="Times New Roman" w:cs="Times New Roman"/>
        </w:rPr>
        <w:t xml:space="preserve">, </w:t>
      </w:r>
      <w:r>
        <w:rPr>
          <w:rFonts w:ascii="Malgun Gothic" w:hAnsi="Malgun Gothic" w:eastAsia="Malgun Gothic" w:cs="Malgun Gothic"/>
        </w:rPr>
        <w:t>연합규약의</w:t>
      </w:r>
      <w:r>
        <w:rPr>
          <w:rFonts w:ascii="Times New Roman" w:hAnsi="Times New Roman" w:eastAsia="Times New Roman" w:cs="Times New Roman"/>
        </w:rPr>
        <w:t xml:space="preserve"> </w:t>
      </w:r>
      <w:r>
        <w:rPr>
          <w:rFonts w:ascii="Malgun Gothic" w:hAnsi="Malgun Gothic" w:eastAsia="Malgun Gothic" w:cs="Malgun Gothic"/>
        </w:rPr>
        <w:t>취약성은</w:t>
      </w:r>
      <w:r>
        <w:rPr>
          <w:rFonts w:ascii="Times New Roman" w:hAnsi="Times New Roman" w:eastAsia="Times New Roman" w:cs="Times New Roman"/>
        </w:rPr>
        <w:t xml:space="preserve"> </w:t>
      </w:r>
      <w:r>
        <w:rPr>
          <w:rFonts w:ascii="Malgun Gothic" w:hAnsi="Malgun Gothic" w:eastAsia="Malgun Gothic" w:cs="Malgun Gothic"/>
        </w:rPr>
        <w:t>그것의</w:t>
      </w:r>
      <w:r>
        <w:rPr>
          <w:rFonts w:ascii="Times New Roman" w:hAnsi="Times New Roman" w:eastAsia="Times New Roman" w:cs="Times New Roman"/>
        </w:rPr>
        <w:t xml:space="preserve"> </w:t>
      </w:r>
      <w:r>
        <w:rPr>
          <w:rFonts w:ascii="Malgun Gothic" w:hAnsi="Malgun Gothic" w:eastAsia="Malgun Gothic" w:cs="Malgun Gothic"/>
        </w:rPr>
        <w:t>대체를</w:t>
      </w:r>
      <w:r>
        <w:rPr>
          <w:rFonts w:ascii="Times New Roman" w:hAnsi="Times New Roman" w:eastAsia="Times New Roman" w:cs="Times New Roman"/>
        </w:rPr>
        <w:t xml:space="preserve"> </w:t>
      </w:r>
      <w:r>
        <w:rPr>
          <w:rFonts w:ascii="Malgun Gothic" w:hAnsi="Malgun Gothic" w:eastAsia="Malgun Gothic" w:cs="Malgun Gothic"/>
        </w:rPr>
        <w:t>초래하였고</w:t>
      </w:r>
      <w:r>
        <w:rPr>
          <w:rFonts w:ascii="Times New Roman" w:hAnsi="Times New Roman" w:eastAsia="Times New Roman" w:cs="Times New Roman"/>
        </w:rPr>
        <w:t>, 1789</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헌법의</w:t>
      </w:r>
      <w:r>
        <w:rPr>
          <w:rFonts w:ascii="Times New Roman" w:hAnsi="Times New Roman" w:eastAsia="Times New Roman" w:cs="Times New Roman"/>
        </w:rPr>
        <w:t xml:space="preserve"> </w:t>
      </w:r>
      <w:r>
        <w:rPr>
          <w:rFonts w:ascii="Malgun Gothic" w:hAnsi="Malgun Gothic" w:eastAsia="Malgun Gothic" w:cs="Malgun Gothic"/>
        </w:rPr>
        <w:t>비준으로</w:t>
      </w:r>
      <w:r>
        <w:rPr>
          <w:rFonts w:ascii="Times New Roman" w:hAnsi="Times New Roman" w:eastAsia="Times New Roman" w:cs="Times New Roman"/>
        </w:rPr>
        <w:t xml:space="preserve"> </w:t>
      </w:r>
      <w:r>
        <w:rPr>
          <w:rFonts w:ascii="Malgun Gothic" w:hAnsi="Malgun Gothic" w:eastAsia="Malgun Gothic" w:cs="Malgun Gothic"/>
        </w:rPr>
        <w:t>이어졌다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בעת ההיא שמונת הנשיאים כללו שבעה נשיאים שלא היו נשיאים בתולדות שני הקונגרסים הקונטיננטליים, ואחד שהיה גם נשיא באותה תקופה נבואית ראשונה. ג'ון הנקוק כיהן הן בקונגרס הקונטיננטלי השני, והן גם בתקופה המיוצגת על־ידי תקנון הקונפדרציה. ברמה הנבואית היו רק שבעה אנשים שהיו נשיאים במהלך שני הקונגרסים הקונטיננטליים; לפיכך, מבחינה נבואית היה ג'ון הנקוק אחד מן השמונה בתקופת תקנון הקונפדרציה, אך הוא היה גם אחד משבעת האנשים מן התקופה הקודמת. על כן הוא היה השמיני, אשר היה מן השבעה.</w:t>
      </w:r>
    </w:p>
    <w:p>
      <w:pPr>
        <w:pStyle w:val="ArticleBody"/>
        <w:jc w:val="left"/>
      </w:pPr>
      <w:r>
        <w:rPr>
          <w:rFonts w:ascii="Times New Roman" w:hAnsi="Times New Roman" w:eastAsia="Times New Roman" w:cs="Times New Roman"/>
        </w:rPr>
        <w:t>To l' tweede profetische periode, vertegenwoordigd deur 1789, had oak en president (Hancock) wat de achtste was, mar van de zeven, net zoo's Payton Randolph in de eerste profetische periode, vertegenwoordigd deur 1776. 1789 stemt overeen met en vertegenwoordigt de Pelosi-processen van 6 januari 2021.</w:t>
      </w:r>
    </w:p>
    <w:p>
      <w:pPr>
        <w:pStyle w:val="ArticleScripture"/>
        <w:jc w:val="left"/>
      </w:pPr>
      <w:r>
        <w:rPr>
          <w:rFonts w:ascii="Times New Roman" w:hAnsi="Times New Roman" w:eastAsia="Times New Roman" w:cs="Times New Roman"/>
        </w:rPr>
        <w:t>« Le Seigneur a sur les murailles de Sion de fidèles sentinelles pour crier à pleine voix et ne point épargner, pour élever leur voix comme une trompette, et faire connaître à Son peuple sa transgression, et à la maison de Jacob ses péchés. Le Seigneur a permis à l’ennemi de la vérité de déployer un effort résolu contre le sabbat du quatrième commandement. Par ce moyen, il se propose d’éveiller un vif intérêt pour cette question qui constitue une épreuve pour les derniers jours. Cela ouvrira la voie à la proclamation avec puissance du message du troisième ange. »</w:t>
      </w:r>
    </w:p>
    <w:p>
      <w:pPr>
        <w:pStyle w:val="ArticleScripture"/>
        <w:jc w:val="left"/>
      </w:pPr>
      <w:r>
        <w:rPr>
          <w:rFonts w:ascii="Times New Roman" w:hAnsi="Times New Roman" w:eastAsia="Times New Roman" w:cs="Times New Roman"/>
        </w:rPr>
        <w:t>« Celui qui croit à la vérité ne doit pas garder le silence maintenant. Nul ne devrait être négligent maintenant; que tous présentent instamment leurs supplications au trône de la grâce, en invoquant la promesse: “Tout ce que vous demanderez en mon nom, je le ferai” (Jean 14:13). C’est maintenant un temps périlleux. Si ce pays, qui se vante de sa liberté, se prépare à sacrifier tous les principes qui entrent dans sa Constitution, en promulguant des décrets pour supprimer la liberté religieuse et pour imposer les faussetés et les séductions papales, alors le peuple de Dieu doit présenter avec foi ses requêtes au Très-Haut. Les promesses de Dieu offrent tous les encouragements à ceux qui mettent en Lui leur confiance. La perspective d’être exposés personnellement au danger et à la détresse ne doit pas engendrer le découragement, mais devrait plutôt ranimer la vigueur et l’espérance du peuple de Dieu; car le temps de leur péril est le moment où Dieu leur accorde des manifestations plus évidentes de sa puissance. »</w:t>
      </w:r>
    </w:p>
    <w:p>
      <w:pPr>
        <w:pStyle w:val="ArticleScripture"/>
        <w:jc w:val="left"/>
      </w:pPr>
      <w:r>
        <w:rPr>
          <w:rFonts w:ascii="Times New Roman" w:hAnsi="Times New Roman" w:eastAsia="Times New Roman" w:cs="Times New Roman"/>
        </w:rPr>
        <w:t>« Nous ne devons pas demeurer assis dans l’attente tranquille de l’oppression et de la tribulation, et croiser les mains sans rien faire pour détourner le mal. Que nos cris unanimes montent vers le ciel. Priez et travaillez, et travaillez et priez. Mais que nul n’agisse avec précipitation. Apprenez, comme jamais auparavant, que vous devez être doux et humbles de cœur. Vous ne devez porter contre personne une accusation injurieuse, qu’il s’agisse d’individus ou d’Églises. Apprenez à traiter les esprits comme Christ le faisait. Des paroles tranchantes doivent parfois être prononcées ; mais assurez-vous que le Saint-Esprit de Dieu demeure dans votre cœur avant de dire la vérité nette et incisive ; ensuite, qu’elle se fraye son chemin. Ce n’est pas à vous de couper. » Selected Messages, book 2, 370.</w:t>
      </w:r>
    </w:p>
    <w:p>
      <w:pPr>
        <w:pStyle w:val="ArticleBody"/>
        <w:jc w:val="left"/>
      </w:pPr>
      <w:r>
        <w:rPr>
          <w:rFonts w:ascii="Times New Roman" w:hAnsi="Times New Roman" w:eastAsia="Times New Roman" w:cs="Times New Roman"/>
        </w:rPr>
        <w:t>Nnɛmahyɛnsode a ɛto so abien wɔ nkɔmhyɛ bere a wɔde Mmara Titen no gyina hɔ ma no mu no kyerɛ sɛ ɛsɛ sɛ wɔdan Mmara Titen no butuw wɔ waymark a edi hɔ no so. Saa waymark a ɛto so abien no anya mfonini wɔ Yohane Osubɔni no mu, ne Justinian ahyɛde no mu nso, na eyinom baanu nyinaa kyerɛɛ na wɔde kɔkɔbɔ too hɔ wɔ asɛm a ɛfa adeyɛ a etwa to a ɛwɔ bere no mu no ho. Wɔ Yohane fam no, na ɛyɛ Kristo tumi a wonyaa bere a Ɔde Ne mogya a ɛsom bo no sii N’apam a ɛyɛ nkwa no so dua; na wɔ Justinian fam no, na ɛyɛ antikristo no tumi a wonyaa, nea na ɔrebɛma n’apam a ɛyɛ owu no agyina pintinn denam awufoɔ no mogya so.</w:t>
      </w:r>
    </w:p>
    <w:p>
      <w:pPr>
        <w:pStyle w:val="ArticleBody"/>
        <w:jc w:val="left"/>
      </w:pPr>
      <w:r>
        <w:rPr>
          <w:rFonts w:ascii="Times New Roman" w:hAnsi="Times New Roman" w:eastAsia="Times New Roman" w:cs="Times New Roman"/>
        </w:rPr>
        <w:t>Katiba ya mwaka 1789 ilitambua kutiwa nguvu kwa pembe mbili za mnyama wa nchi, na kwa kufanya hivyo, mwaka 1789 ulitambua uharibifu wa karibu wa pembe mbili za nguvu za mnyama wa nchi, kama unavyowakilishwa na Sheria za Wageni na Uchochezi za mwaka 1798. Mashahidi wawili walipouawa katika njia za mji katika mwaka 2020, walitambua na kuonya juu ya shambulio endelevu dhidi ya Katiba, linaloashiriwa na kesi za Pelosi za tarehe 6 Januari 2021.</w:t>
      </w:r>
    </w:p>
    <w:p>
      <w:pPr>
        <w:pStyle w:val="ArticleBody"/>
        <w:jc w:val="left"/>
      </w:pPr>
      <w:r>
        <w:rPr>
          <w:rFonts w:ascii="Times New Roman" w:hAnsi="Times New Roman" w:eastAsia="Times New Roman" w:cs="Times New Roman"/>
        </w:rPr>
        <w:t>6 januari 2021 är varningen om påvedömets bemyndigande vid den snart kommande söndagslagen, såsom förebildad genom Justinians dekret år 533. Den 6 januari 2021 och året 533 ger båda en varning om den snart kommande söndagslagen, såsom förebildad genom söndagslagen år 538 vid kyrkomötet i Orléans och genom Alien and Sedition Acts år 1798, vilka förebildade jordens vilddjur som talar såsom en drake vid den snart kommande söndagslagen.</w:t>
      </w:r>
    </w:p>
    <w:p>
      <w:pPr>
        <w:pStyle w:val="ArticleBody"/>
        <w:jc w:val="left"/>
      </w:pPr>
      <w:r>
        <w:rPr>
          <w:rFonts w:ascii="Times New Roman" w:hAnsi="Times New Roman" w:eastAsia="Times New Roman" w:cs="Times New Roman"/>
        </w:rPr>
        <w:t>Na lao ya Siku ya Jumapili, jeraha la mauti la upapa litaponywa, na kichwa cha nane cha Ufunuo sura ya kumi na saba, kilicho cha vile vichwa saba, kitafufuliwa. Sheria za Wageni na Uasi za 1798 zinawakilisha mnyama wa nchi akinena kama joka, wakati ambapo si tu analazimisha ibada ya jua, bali baadaye analazimisha ulimwengu wote kuukubali mamlaka ya mnyama wa baharini wa Ufunuo sura ya kumi na tatu, kama kichwa cha nane kilicho cha vile vichwa saba. Kwa hiyo, katika kila moja ya vipindi vitatu vinavyowakilishwa ndani ya kipindi cha maandalizi kwa 1776, 1789, na 1798, fumbo la kinabii la huyo wa nane, akiwa wa hao saba, linawakilishwa kinabii.</w:t>
      </w:r>
    </w:p>
    <w:p>
      <w:pPr>
        <w:pStyle w:val="ArticleBody"/>
        <w:jc w:val="left"/>
      </w:pPr>
      <w:r>
        <w:rPr>
          <w:rFonts w:ascii="Times New Roman" w:hAnsi="Times New Roman" w:eastAsia="Times New Roman" w:cs="Times New Roman"/>
        </w:rPr>
        <w:t>Les deux premiers points de repère (1776 et 1789), qui identifient l’énigme, concernent l’énigme qui s’accomplit dans l’histoire prophétique de la bête de la terre, et le troisième point de repère identifie l’énigme qui s’accomplit pour la puissance papale.</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“‘Disant à ceux qui habitent sur la terre qu’ils fassent une image à la bête.’ Il est ici clairement présenté une forme de gouvernement dans laquelle le pouvoir législatif repose entre les mains du peuple, preuve des plus frappantes que les États-Unis sont la nation désignée dans la prophétie.</w:t>
      </w:r>
    </w:p>
    <w:p>
      <w:pPr>
        <w:pStyle w:val="ArticleScripture"/>
        <w:jc w:val="left"/>
      </w:pPr>
      <w:r>
        <w:rPr>
          <w:rFonts w:ascii="Times New Roman" w:hAnsi="Times New Roman" w:eastAsia="Times New Roman" w:cs="Times New Roman"/>
        </w:rPr>
        <w:t>«А "образ зверя" — что это такое? и как он должен быть создан? Образ создаётся зверем с двумя рогами и является образом зверя. Он также называется образом зверя. Итак, чтобы понять, каков этот образ и как он должен быть создан, нам необходимо исследовать особенности самого зверя — папства.</w:t>
      </w:r>
    </w:p>
    <w:p>
      <w:pPr>
        <w:pStyle w:val="ArticleScripture"/>
        <w:jc w:val="left"/>
      </w:pPr>
      <w:r>
        <w:rPr>
          <w:rFonts w:ascii="Times New Roman" w:hAnsi="Times New Roman" w:eastAsia="Times New Roman" w:cs="Times New Roman"/>
        </w:rPr>
        <w:t>«چون کلیسای نخستین با دور شدن از سادگیِ انجیل و پذیرفتن آیین‌ها و رسومِ بت‌پرستانه فاسد شد، روح و قدرتِ خدا را از دست داد؛ و برای آنکه بر وجدان‌های مردم تسلط یابد، در پیِ پشتیبانیِ قدرتِ سکولار برآمد. حاصلِ آن، پاپیّت بود: کلیسایی که قدرتِ دولت را در اختیار گرفت و آن را برای پیشبردِ مقاصدِ خویش به کار برد، به‌ویژه برای مجازاتِ «بدعت». برای آنکه ایالات متحده صورتی از وحش بسازد، قدرتِ دینی باید چنان بر حکومتِ مدنی مسلط گردد که اقتدارِ دولت نیز به‌وسیلهٔ کلیسا برای تحققِ مقاصدِ خود به کار گرفته شود.»</w:t>
      </w:r>
    </w:p>
    <w:p>
      <w:pPr>
        <w:pStyle w:val="ArticleScripture"/>
        <w:jc w:val="left"/>
      </w:pPr>
      <w:r>
        <w:rPr>
          <w:rFonts w:ascii="Times New Roman" w:hAnsi="Times New Roman" w:eastAsia="Times New Roman" w:cs="Times New Roman"/>
        </w:rPr>
        <w:t>«هرگاه کلیسا قدرت دنیوی را به دست آورده است، آن را برای مجازاتِ مخالفت با آموزه‌های خود به کار برده است. کلیساهای پروتستانی که با برقراری اتحاد با قدرت‌های این‌جهانی در گام‌های روم قدم نهاده‌اند، میل مشابهی برای محدود ساختن آزادی وجدان از خود آشکار کرده‌اند. نمونه‌ای از این امر را می‌توان در آزار و اذیتِ طولانی‌مدتِ دگراندیشان به‌وسیلهٔ کلیسای انگلستان دید. در طی سده‌های شانزدهم و هفدهم، هزاران خادمِ غیرهمسو ناگزیر شدند از کلیساهای خود بگریزند، و بسیاری، چه از شبانان و چه از مردم، در معرض جریمه، زندان، شکنجه و شهادت قرار گرفتند.»</w:t>
      </w:r>
    </w:p>
    <w:p>
      <w:pPr>
        <w:pStyle w:val="ArticleScripture"/>
        <w:jc w:val="left"/>
      </w:pPr>
      <w:r>
        <w:rPr>
          <w:rFonts w:ascii="Times New Roman" w:hAnsi="Times New Roman" w:eastAsia="Times New Roman" w:cs="Times New Roman"/>
        </w:rPr>
        <w:t>“De afval was het die de vroege kerk ertoe bracht de hulp van de burgerlijke overheid te zoeken, en dit effende de weg voor de ontwikkeling van het pausdom—het beest. Paulus zei: ‘Eerst moet de afval komen, … en de mens der zonde geopenbaard worden.’ 2 Thessalonicenzen 2:3. Zo zal afval in de kerk de weg bereiden voor het beeld van het beest.”</w:t>
      </w:r>
    </w:p>
    <w:p>
      <w:pPr>
        <w:pStyle w:val="ArticleScripture"/>
        <w:jc w:val="left"/>
      </w:pPr>
      <w:r>
        <w:rPr>
          <w:rFonts w:ascii="Times New Roman" w:hAnsi="Times New Roman" w:eastAsia="Times New Roman" w:cs="Times New Roman"/>
        </w:rPr>
        <w:t>La Bible déclare qu’avant la venue du Seigneur il existera un état de déclin religieux semblable à celui des premiers siècles. « Dans les derniers jours, il y aura des temps difficiles. Car les hommes seront épris d’eux-mêmes, cupides, fanfarons, orgueilleux, blasphémateurs, rebelles à leurs parents, ingrats, irréligieux, insensibles, implacables, calomniateurs, intempérants, cruels, ennemis des gens de bien, traîtres, emportés, enflés d’orgueil, aimant le plaisir plus que Dieu, ayant l’apparence de la piété, mais reniant ce qui en fait la force. » 2 Timothée 3:1–5. « Or, l’Esprit dit expressément que, dans les derniers temps, quelques-uns abandonneront la foi, s’attachant à des esprits séducteurs et à des doctrines de démons. » 1 Timothée 4:1. Satan agira « avec toute puissance, avec des signes et des prodiges mensongers, et avec toutes les séductions de l’iniquité ». Et tous ceux qui « n’ont pas reçu l’amour de la vérité pour être sauvés » seront laissés à accepter « une puissance d’égarement, pour qu’ils croient au mensonge ». 2 Thessaloniciens 2:9–11. Quand cet état d’impiété sera atteint, les mêmes résultats suivront que dans les premiers siècles. » The Great Controversy, 443, 444.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Bilangan Seratus Tiga Puluh Enam</dc:title>
  <dc:subject>Le Passage prophétique du républicanisme et du protestantisme : de la mort à la résurrection</dc:subject>
  <dc:creator>Jeff Pippenger</dc:creator>
  <cp:keywords/>
  <dc:description>Generated by ArticleDigger from daniel\136_daniel.json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