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Kumi na Tatu</w:t>
      </w:r>
    </w:p>
    <w:p>
      <w:pPr>
        <w:pStyle w:val="ArticleSubtitle"/>
        <w:jc w:val="left"/>
      </w:pPr>
      <w:r>
        <w:rPr>
          <w:rFonts w:ascii="Arial" w:hAnsi="Arial" w:eastAsia="Arial" w:cs="Arial"/>
        </w:rPr>
        <w:t>Jisicha Mysteriyo Nga Aldaw ti Kamaudianan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Chapitre deux de Daniel représente le deuxième ange d’Apocalypse quatorze. À ce titre, il représente la deuxième de trois épreuves, figurées comme une épreuve alimentaire, suivie d’une épreuve visuelle, et qui s’achève par une épreuve décisive. Ces trois épreuves, qui sont aussi des balises prophétiques, se trouvent dans le message du premier ange d’Apocalypse quatorze. De même que pour le premier ange d’Apocalypse quatorze, le chapitre un de Daniel comporte lui aussi chacune de ces trois épreuves.</w:t>
      </w:r>
    </w:p>
    <w:p>
      <w:pPr>
        <w:pStyle w:val="ArticleBody"/>
        <w:jc w:val="left"/>
      </w:pPr>
      <w:r>
        <w:rPr>
          <w:rFonts w:ascii="Times New Roman" w:hAnsi="Times New Roman" w:eastAsia="Times New Roman" w:cs="Times New Roman"/>
        </w:rPr>
        <w:t>Jamii lammaffaan inni lammataa, yookaan ergaa ergamaa lammaffaa, xumura qormaata jalqabaatti jalqaba. Boqonnaan lammaffaan boqonnaa jalqabaa duuka bu’a. Xumurri qormaata lammaffaa immoo qormaata sadaffaa walitti aansuun jalqaba. Yeroon qormaata lammaffaatiin bakka buufame, booji’amuu Daani’eel waggoota torbaatamaa sanaan mallatteeffamee ture; kunis yeroo Yehoyaaqiim mo’atame irraa eegalee hamma labsii Qiiroositti xumurame. Akkuma dhumni waggoota torbaatamaa sanaa dhihaachaa adeemeen, Daani’eel Dubbii Waaqayyoo raajii ta’e keessaa hubatee dhumni isaa ga’uuf akka jedhu beeke.</w:t>
      </w:r>
    </w:p>
    <w:p>
      <w:pPr>
        <w:pStyle w:val="ArticleScripture"/>
        <w:jc w:val="left"/>
      </w:pPr>
      <w:r>
        <w:rPr>
          <w:rFonts w:ascii="Microsoft YaHei" w:hAnsi="Microsoft YaHei" w:eastAsia="Microsoft YaHei" w:cs="Microsoft YaHei"/>
        </w:rPr>
        <w:t>他</w:t>
      </w:r>
      <w:r>
        <w:rPr>
          <w:rFonts w:ascii="MS Gothic" w:hAnsi="MS Gothic" w:eastAsia="MS Gothic" w:cs="MS Gothic"/>
        </w:rPr>
        <w:t>の</w:t>
      </w:r>
      <w:r>
        <w:rPr>
          <w:rFonts w:ascii="Microsoft YaHei" w:hAnsi="Microsoft YaHei" w:eastAsia="Microsoft YaHei" w:cs="Microsoft YaHei"/>
        </w:rPr>
        <w:t>如</w:t>
      </w:r>
      <w:r>
        <w:rPr>
          <w:rFonts w:ascii="Times New Roman" w:hAnsi="Times New Roman" w:eastAsia="Times New Roman" w:cs="Times New Roman"/>
        </w:rPr>
        <w:t>‧</w:t>
      </w:r>
      <w:r>
        <w:rPr>
          <w:rFonts w:ascii="Microsoft YaHei" w:hAnsi="Microsoft YaHei" w:eastAsia="Microsoft YaHei" w:cs="Microsoft YaHei"/>
        </w:rPr>
        <w:t>撒督</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아들</w:t>
      </w:r>
      <w:r>
        <w:rPr>
          <w:rFonts w:ascii="Times New Roman" w:hAnsi="Times New Roman" w:eastAsia="Times New Roman" w:cs="Times New Roman"/>
        </w:rPr>
        <w:t xml:space="preserve"> </w:t>
      </w:r>
      <w:r>
        <w:rPr>
          <w:rFonts w:ascii="Malgun Gothic" w:hAnsi="Malgun Gothic" w:eastAsia="Malgun Gothic" w:cs="Malgun Gothic"/>
        </w:rPr>
        <w:t>다리오가</w:t>
      </w:r>
      <w:r>
        <w:rPr>
          <w:rFonts w:ascii="Times New Roman" w:hAnsi="Times New Roman" w:eastAsia="Times New Roman" w:cs="Times New Roman"/>
        </w:rPr>
        <w:t xml:space="preserve"> </w:t>
      </w:r>
      <w:r>
        <w:rPr>
          <w:rFonts w:ascii="Malgun Gothic" w:hAnsi="Malgun Gothic" w:eastAsia="Malgun Gothic" w:cs="Malgun Gothic"/>
        </w:rPr>
        <w:t>갈대아</w:t>
      </w:r>
      <w:r>
        <w:rPr>
          <w:rFonts w:ascii="Times New Roman" w:hAnsi="Times New Roman" w:eastAsia="Times New Roman" w:cs="Times New Roman"/>
        </w:rPr>
        <w:t xml:space="preserve"> </w:t>
      </w:r>
      <w:r>
        <w:rPr>
          <w:rFonts w:ascii="Malgun Gothic" w:hAnsi="Malgun Gothic" w:eastAsia="Malgun Gothic" w:cs="Malgun Gothic"/>
        </w:rPr>
        <w:t>나라</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세움을</w:t>
      </w:r>
      <w:r>
        <w:rPr>
          <w:rFonts w:ascii="Times New Roman" w:hAnsi="Times New Roman" w:eastAsia="Times New Roman" w:cs="Times New Roman"/>
        </w:rPr>
        <w:t xml:space="preserve"> </w:t>
      </w:r>
      <w:r>
        <w:rPr>
          <w:rFonts w:ascii="Malgun Gothic" w:hAnsi="Malgun Gothic" w:eastAsia="Malgun Gothic" w:cs="Malgun Gothic"/>
        </w:rPr>
        <w:t>받아</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첫해에</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통치</w:t>
      </w:r>
      <w:r>
        <w:rPr>
          <w:rFonts w:ascii="Times New Roman" w:hAnsi="Times New Roman" w:eastAsia="Times New Roman" w:cs="Times New Roman"/>
        </w:rPr>
        <w:t xml:space="preserve"> </w:t>
      </w:r>
      <w:r>
        <w:rPr>
          <w:rFonts w:ascii="Malgun Gothic" w:hAnsi="Malgun Gothic" w:eastAsia="Malgun Gothic" w:cs="Malgun Gothic"/>
        </w:rPr>
        <w:t>원년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w:t>
      </w:r>
      <w:r>
        <w:rPr>
          <w:rFonts w:ascii="Malgun Gothic" w:hAnsi="Malgun Gothic" w:eastAsia="Malgun Gothic" w:cs="Malgun Gothic"/>
        </w:rPr>
        <w:t>책들을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말씀이</w:t>
      </w:r>
      <w:r>
        <w:rPr>
          <w:rFonts w:ascii="Times New Roman" w:hAnsi="Times New Roman" w:eastAsia="Times New Roman" w:cs="Times New Roman"/>
        </w:rPr>
        <w:t xml:space="preserve"> </w:t>
      </w:r>
      <w:r>
        <w:rPr>
          <w:rFonts w:ascii="Malgun Gothic" w:hAnsi="Malgun Gothic" w:eastAsia="Malgun Gothic" w:cs="Malgun Gothic"/>
        </w:rPr>
        <w:t>선지자</w:t>
      </w:r>
      <w:r>
        <w:rPr>
          <w:rFonts w:ascii="Times New Roman" w:hAnsi="Times New Roman" w:eastAsia="Times New Roman" w:cs="Times New Roman"/>
        </w:rPr>
        <w:t xml:space="preserve"> </w:t>
      </w:r>
      <w:r>
        <w:rPr>
          <w:rFonts w:ascii="Malgun Gothic" w:hAnsi="Malgun Gothic" w:eastAsia="Malgun Gothic" w:cs="Malgun Gothic"/>
        </w:rPr>
        <w:t>예레미야에게</w:t>
      </w:r>
      <w:r>
        <w:rPr>
          <w:rFonts w:ascii="Times New Roman" w:hAnsi="Times New Roman" w:eastAsia="Times New Roman" w:cs="Times New Roman"/>
        </w:rPr>
        <w:t xml:space="preserve"> </w:t>
      </w:r>
      <w:r>
        <w:rPr>
          <w:rFonts w:ascii="Malgun Gothic" w:hAnsi="Malgun Gothic" w:eastAsia="Malgun Gothic" w:cs="Malgun Gothic"/>
        </w:rPr>
        <w:t>임한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햇수를</w:t>
      </w:r>
      <w:r>
        <w:rPr>
          <w:rFonts w:ascii="Times New Roman" w:hAnsi="Times New Roman" w:eastAsia="Times New Roman" w:cs="Times New Roman"/>
        </w:rPr>
        <w:t xml:space="preserve"> </w:t>
      </w:r>
      <w:r>
        <w:rPr>
          <w:rFonts w:ascii="Malgun Gothic" w:hAnsi="Malgun Gothic" w:eastAsia="Malgun Gothic" w:cs="Malgun Gothic"/>
        </w:rPr>
        <w:t>깨달았으니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예루살렘의</w:t>
      </w:r>
      <w:r>
        <w:rPr>
          <w:rFonts w:ascii="Times New Roman" w:hAnsi="Times New Roman" w:eastAsia="Times New Roman" w:cs="Times New Roman"/>
        </w:rPr>
        <w:t xml:space="preserve"> </w:t>
      </w:r>
      <w:r>
        <w:rPr>
          <w:rFonts w:ascii="Malgun Gothic" w:hAnsi="Malgun Gothic" w:eastAsia="Malgun Gothic" w:cs="Malgun Gothic"/>
        </w:rPr>
        <w:t>황폐함이</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만에</w:t>
      </w:r>
      <w:r>
        <w:rPr>
          <w:rFonts w:ascii="Times New Roman" w:hAnsi="Times New Roman" w:eastAsia="Times New Roman" w:cs="Times New Roman"/>
        </w:rPr>
        <w:t xml:space="preserve"> </w:t>
      </w:r>
      <w:r>
        <w:rPr>
          <w:rFonts w:ascii="Malgun Gothic" w:hAnsi="Malgun Gothic" w:eastAsia="Malgun Gothic" w:cs="Malgun Gothic"/>
        </w:rPr>
        <w:t>마치리라</w:t>
      </w:r>
      <w:r>
        <w:rPr>
          <w:rFonts w:ascii="Times New Roman" w:hAnsi="Times New Roman" w:eastAsia="Times New Roman" w:cs="Times New Roman"/>
        </w:rPr>
        <w:t xml:space="preserve"> </w:t>
      </w:r>
      <w:r>
        <w:rPr>
          <w:rFonts w:ascii="Malgun Gothic" w:hAnsi="Malgun Gothic" w:eastAsia="Malgun Gothic" w:cs="Malgun Gothic"/>
        </w:rPr>
        <w:t>하신</w:t>
      </w:r>
      <w:r>
        <w:rPr>
          <w:rFonts w:ascii="Times New Roman" w:hAnsi="Times New Roman" w:eastAsia="Times New Roman" w:cs="Times New Roman"/>
        </w:rPr>
        <w:t xml:space="preserve"> </w:t>
      </w:r>
      <w:r>
        <w:rPr>
          <w:rFonts w:ascii="Malgun Gothic" w:hAnsi="Malgun Gothic" w:eastAsia="Malgun Gothic" w:cs="Malgun Gothic"/>
        </w:rPr>
        <w:t>것이더라</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9:1, 2.</w:t>
      </w:r>
    </w:p>
    <w:p>
      <w:pPr>
        <w:pStyle w:val="ArticleBody"/>
        <w:jc w:val="left"/>
      </w:pPr>
      <w:r>
        <w:rPr>
          <w:rFonts w:ascii="Times New Roman" w:hAnsi="Times New Roman" w:eastAsia="Times New Roman" w:cs="Times New Roman"/>
        </w:rPr>
        <w:t>Daniël vertegenwoordigt Gods volk in de laatste dagen, dat de symbolische betekenis van de zeventig jaren van gevangenschap onderkent; en die onderkenning vindt plaats kort voordat de zeventig symbolische jaren ten einde lopen. Gods volk heeft de zeventigjarige gevangenschap juist begrepen, maar hetgeen Daniël voorstelt, is het inzicht dat die zeventig jaren de profetische periode voorstellen vanaf 11 september 2001 tot aan de zondagswet. Voor Daniël eindigden die jaren bij het decreet van Kores, hetgeen in de laatste dagen de zondagswet in de Verenigde Staten voorstelt.</w:t>
      </w:r>
    </w:p>
    <w:p>
      <w:pPr>
        <w:pStyle w:val="ArticleBody"/>
        <w:jc w:val="left"/>
      </w:pPr>
      <w:r>
        <w:rPr>
          <w:rFonts w:ascii="Leelawadee UI" w:hAnsi="Leelawadee UI" w:eastAsia="Leelawadee UI" w:cs="Leelawadee UI"/>
        </w:rPr>
        <w:t>ពេលខ្លីមុនច្បាប់ថ្ងៃអាទិត្យ</w:t>
      </w:r>
      <w:r>
        <w:rPr>
          <w:rFonts w:ascii="Times New Roman" w:hAnsi="Times New Roman" w:eastAsia="Times New Roman" w:cs="Times New Roman"/>
        </w:rPr>
        <w:t xml:space="preserve"> </w:t>
      </w:r>
      <w:r>
        <w:rPr>
          <w:rFonts w:ascii="Leelawadee UI" w:hAnsi="Leelawadee UI" w:eastAsia="Leelawadee UI" w:cs="Leelawadee UI"/>
        </w:rPr>
        <w:t>ប្រជាជនរបស់ព្រះត្រូវបានដាស់ឲ្យយល់ដឹងអំពីការយល់ឃើញខាងទំនាយដែលតំណាងដោយចិតសិបឆ្នាំជានិមិត្តរូប។</w:t>
      </w:r>
      <w:r>
        <w:rPr>
          <w:rFonts w:ascii="Times New Roman" w:hAnsi="Times New Roman" w:eastAsia="Times New Roman" w:cs="Times New Roman"/>
        </w:rPr>
        <w:t xml:space="preserve"> </w:t>
      </w:r>
      <w:r>
        <w:rPr>
          <w:rFonts w:ascii="Leelawadee UI" w:hAnsi="Leelawadee UI" w:eastAsia="Leelawadee UI" w:cs="Leelawadee UI"/>
        </w:rPr>
        <w:t>ឆ្នាំជានិមិត្តរូបទាំងនោះបានចាប់ផ្ដើមជាមួយយេហូយ៉ាគីម</w:t>
      </w:r>
      <w:r>
        <w:rPr>
          <w:rFonts w:ascii="Times New Roman" w:hAnsi="Times New Roman" w:eastAsia="Times New Roman" w:cs="Times New Roman"/>
        </w:rPr>
        <w:t xml:space="preserve"> </w:t>
      </w:r>
      <w:r>
        <w:rPr>
          <w:rFonts w:ascii="Leelawadee UI" w:hAnsi="Leelawadee UI" w:eastAsia="Leelawadee UI" w:cs="Leelawadee UI"/>
        </w:rPr>
        <w:t>ដែលតំណាងឲ្យថ្ងៃទី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នៅពេលដែល</w:t>
      </w:r>
      <w:r>
        <w:rPr>
          <w:rFonts w:ascii="Times New Roman" w:hAnsi="Times New Roman" w:eastAsia="Times New Roman" w:cs="Times New Roman"/>
        </w:rPr>
        <w:t xml:space="preserve"> </w:t>
      </w:r>
      <w:r>
        <w:rPr>
          <w:rFonts w:ascii="Leelawadee UI" w:hAnsi="Leelawadee UI" w:eastAsia="Leelawadee UI" w:cs="Leelawadee UI"/>
        </w:rPr>
        <w:t>ដោយការមកដល់របស់សាសនាអ៊ីស្លាមនៃវេទនាទីបី</w:t>
      </w:r>
      <w:r>
        <w:rPr>
          <w:rFonts w:ascii="Times New Roman" w:hAnsi="Times New Roman" w:eastAsia="Times New Roman" w:cs="Times New Roman"/>
        </w:rPr>
        <w:t xml:space="preserve"> </w:t>
      </w:r>
      <w:r>
        <w:rPr>
          <w:rFonts w:ascii="Leelawadee UI" w:hAnsi="Leelawadee UI" w:eastAsia="Leelawadee UI" w:cs="Leelawadee UI"/>
        </w:rPr>
        <w:t>ទេវទូតដ៏មានឫទ្ធានុភាពនៃវិវរណៈ</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បានចុះមក</w:t>
      </w:r>
      <w:r>
        <w:rPr>
          <w:rFonts w:ascii="Times New Roman" w:hAnsi="Times New Roman" w:eastAsia="Times New Roman" w:cs="Times New Roman"/>
        </w:rPr>
        <w:t xml:space="preserve"> </w:t>
      </w:r>
      <w:r>
        <w:rPr>
          <w:rFonts w:ascii="Leelawadee UI" w:hAnsi="Leelawadee UI" w:eastAsia="Leelawadee UI" w:cs="Leelawadee UI"/>
        </w:rPr>
        <w:t>ហើយប្រកាសអំពីការដួលរលំរបស់បាប៊ីឡូន។</w:t>
      </w:r>
      <w:r>
        <w:rPr>
          <w:rFonts w:ascii="Times New Roman" w:hAnsi="Times New Roman" w:eastAsia="Times New Roman" w:cs="Times New Roman"/>
        </w:rPr>
        <w:t xml:space="preserve"> </w:t>
      </w:r>
      <w:r>
        <w:rPr>
          <w:rFonts w:ascii="Leelawadee UI" w:hAnsi="Leelawadee UI" w:eastAsia="Leelawadee UI" w:cs="Leelawadee UI"/>
        </w:rPr>
        <w:t>ការដួលរលំរបស់បាប៊ីឡូនតំណាងឲ្យសាររបស់ទេវទូតទីពីរ</w:t>
      </w:r>
      <w:r>
        <w:rPr>
          <w:rFonts w:ascii="Times New Roman" w:hAnsi="Times New Roman" w:eastAsia="Times New Roman" w:cs="Times New Roman"/>
        </w:rPr>
        <w:t xml:space="preserve"> </w:t>
      </w:r>
      <w:r>
        <w:rPr>
          <w:rFonts w:ascii="Leelawadee UI" w:hAnsi="Leelawadee UI" w:eastAsia="Leelawadee UI" w:cs="Leelawadee UI"/>
        </w:rPr>
        <w:t>ហើយនៅថ្ងៃទី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រយៈពេលសាកល្បងទីពីរបានចាប់ផ្ដើមសម្រាប់អស់អ្នកដែលបានបរិភោគសៀវភៅលាក់កំបាំងដែលស្ថិតនៅក្នុងដៃរបស់ទេវទូតនោះ។</w:t>
      </w:r>
      <w:r>
        <w:rPr>
          <w:rFonts w:ascii="Times New Roman" w:hAnsi="Times New Roman" w:eastAsia="Times New Roman" w:cs="Times New Roman"/>
        </w:rPr>
        <w:t xml:space="preserve"> </w:t>
      </w:r>
      <w:r>
        <w:rPr>
          <w:rFonts w:ascii="Leelawadee UI" w:hAnsi="Leelawadee UI" w:eastAsia="Leelawadee UI" w:cs="Leelawadee UI"/>
        </w:rPr>
        <w:t>រយៈពេលនោះ</w:t>
      </w:r>
      <w:r>
        <w:rPr>
          <w:rFonts w:ascii="Times New Roman" w:hAnsi="Times New Roman" w:eastAsia="Times New Roman" w:cs="Times New Roman"/>
        </w:rPr>
        <w:t xml:space="preserve"> </w:t>
      </w:r>
      <w:r>
        <w:rPr>
          <w:rFonts w:ascii="Leelawadee UI" w:hAnsi="Leelawadee UI" w:eastAsia="Leelawadee UI" w:cs="Leelawadee UI"/>
        </w:rPr>
        <w:t>ដែលតំណាងដោយចិតសិបឆ្នាំជានិមិត្តរូប</w:t>
      </w:r>
      <w:r>
        <w:rPr>
          <w:rFonts w:ascii="Times New Roman" w:hAnsi="Times New Roman" w:eastAsia="Times New Roman" w:cs="Times New Roman"/>
        </w:rPr>
        <w:t xml:space="preserve"> </w:t>
      </w:r>
      <w:r>
        <w:rPr>
          <w:rFonts w:ascii="Leelawadee UI" w:hAnsi="Leelawadee UI" w:eastAsia="Leelawadee UI" w:cs="Leelawadee UI"/>
        </w:rPr>
        <w:t>បន្តរហូតដល់ច្បាប់ថ្ងៃអាទិត្យ។</w:t>
      </w:r>
    </w:p>
    <w:p>
      <w:pPr>
        <w:pStyle w:val="ArticleBody"/>
        <w:jc w:val="left"/>
      </w:pPr>
      <w:r>
        <w:rPr>
          <w:rFonts w:ascii="Times New Roman" w:hAnsi="Times New Roman" w:eastAsia="Times New Roman" w:cs="Times New Roman"/>
        </w:rPr>
        <w:t>Hanta nukap kaar nyong, ni Daniel mu mel dollyi Darius yiɔk ciɛl kɛ, kuŋ kɛ Jwɔk gin guɔpne kuc la cɔl piny pieth ka nywalne me wɛl me rɛc. Kuc tye gin guɔk ma gubedo ka nyut ki meco me peko me wɛl me rɛc, ento bute ma gubino niang kare manok me anyim ka nyong me kare me lok me lanero me aryo pud otye ka kukwong i cɔk macol. Calo Daniel onongo ka kwano Lok me Jwɔk me ajwaka, dok ci onongo ongɛyo tiŋe me mwaka abiro ki apar, en otero i lego, calo dong en gucako tero i lego ka en ongɛyo peko me kwo onyo to ma Nebukadnejar omiyo i kom wɛl-kakanyne. I Daniel bute me abiro ki acel, calo i Daniel bute me aryo, ka Daniel olego, en ogamo gɛny me ajwaka.</w:t>
      </w:r>
    </w:p>
    <w:p>
      <w:pPr>
        <w:pStyle w:val="ArticleScripture"/>
        <w:jc w:val="left"/>
      </w:pPr>
      <w:r>
        <w:rPr>
          <w:rFonts w:ascii="Times New Roman" w:hAnsi="Times New Roman" w:eastAsia="Times New Roman" w:cs="Times New Roman"/>
        </w:rPr>
        <w:t>Oui, pendant que je parlais encore en prière, l’homme Gabriel, que j’avais vu précédemment dans la vision, s’approcha de moi d’un vol rapide, vers le temps de l’oblation du soir. Il m’instruisit, s’entretint avec moi, et dit : Ô Daniel, je suis maintenant sorti pour te donner l’intelligence et la compréhension. Daniel 9:21, 22.</w:t>
      </w:r>
    </w:p>
    <w:p>
      <w:pPr>
        <w:pStyle w:val="ArticleBody"/>
        <w:jc w:val="left"/>
      </w:pPr>
      <w:r>
        <w:rPr>
          <w:rFonts w:ascii="Times New Roman" w:hAnsi="Times New Roman" w:eastAsia="Times New Roman" w:cs="Times New Roman"/>
        </w:rPr>
        <w:t>«Қobiliyat va fahm»ning Doniyorга u ibodat qilayotgan paytda berilgani, ikkinchi bobdagi uning ibodati bilan мувофиқ келади.</w:t>
      </w:r>
    </w:p>
    <w:p>
      <w:pPr>
        <w:pStyle w:val="ArticleScripture"/>
        <w:jc w:val="left"/>
      </w:pPr>
      <w:r>
        <w:rPr>
          <w:rFonts w:ascii="Times New Roman" w:hAnsi="Times New Roman" w:eastAsia="Times New Roman" w:cs="Times New Roman"/>
        </w:rPr>
        <w:t>Taha holongon ni Daniel ti balayna, ket impakaammona dayta banag ken Hananiah, Mishael, ken Azariah, dagiti kakaduana: Tapno da dawaten dagiti asi iti Dios ti langit maipapan iti daytoy a palimed; tapno saan a mapukaw ni Daniel ken dagiti kakaduana a kaduada dagiti dadduma a masirib a lallaki ti Babilonia. Kalpasanna, naiparangarang ken Daniel dayta palimed iti maysa a sirmata iti rabii. Iti kasta, bendisionan ni Daniel ti Dios ti langit. Daniel 2:17–19.</w:t>
      </w:r>
    </w:p>
    <w:p>
      <w:pPr>
        <w:pStyle w:val="ArticleBody"/>
        <w:jc w:val="left"/>
      </w:pPr>
      <w:r>
        <w:rPr>
          <w:rFonts w:ascii="Times New Roman" w:hAnsi="Times New Roman" w:eastAsia="Times New Roman" w:cs="Times New Roman"/>
        </w:rPr>
        <w:t>Pamusoro pemutsara, minyengetero miviri yaDhanieri munyengetero mumwe chete. Yose iri miviri inopiwa mukati menhoroondo inomiririra nenzira yokufananidzira muedzo unoonekwa wengirozi yechipiri, unoitika pakati paGunyana 11, 2001, nomutemo weSvondo uri kuuya nokukurumidza. Ari pasi pekutyisidzirwa norufu kunosvika kwaNebhukadhinezari, uye aine ruzivo rwechiporofita rwemakore makumi manomwe aJeremia pamwe chete nemhiko yenguva nomwe yaMozisi, Dhanieri anonamata munyengetero waRevhitiko makumi maviri nenhanhatu, achikumbira panguva imwe chete kuti Mwari amuzarurire chakavanzika chokupedzisira chechiporofita cheBhaibheri. Chakavanzika icho Johane anotsanangura seZvakazarurwa zvaJesu Kristu.</w:t>
      </w:r>
    </w:p>
    <w:p>
      <w:pPr>
        <w:pStyle w:val="ArticleBody"/>
        <w:jc w:val="left"/>
      </w:pPr>
      <w:r>
        <w:rPr>
          <w:rFonts w:ascii="Times New Roman" w:hAnsi="Times New Roman" w:eastAsia="Times New Roman" w:cs="Times New Roman"/>
        </w:rPr>
        <w:t>در فصل نهم، دانیال در گذار میان دو پادشاهی قرار دارد. بابل به‌تازگی به دست مادها و پارسیان سقوط کرده است، زیرا این سال نخست داریوش است؛ ازاین‌رو قوم خدا را در ایام آخر در نقطهٔ انتقالی قرار می‌دهد که در حرکت فرشتهٔ اول و نیز در حرکت فرشتهٔ سوم مشخص شده بود.</w:t>
      </w:r>
    </w:p>
    <w:p>
      <w:pPr>
        <w:pStyle w:val="ArticleBody"/>
        <w:jc w:val="left"/>
      </w:pPr>
      <w:r>
        <w:rPr>
          <w:rFonts w:ascii="Times New Roman" w:hAnsi="Times New Roman" w:eastAsia="Times New Roman" w:cs="Times New Roman"/>
        </w:rPr>
        <w:t>Harakati ya Wamillerite wa Filadelfia ilihamia katika Laodikia mwaka 1856, na harakati ya Laodikia ya Future for America inahamia katika harakati ya Filadelfia mwishoni mwa zile siku tatu na nusu za kuwa mfuani barabarani katika Ufunuo sura ya kumi na moja. Jaribio lililoshindwa kuhusiana na harakati ya Wamillerite wa Filadelfia tangu mwaka 1856 hadi 1863, lilikuwa kuhusu fundisho la “nyakati saba.”</w:t>
      </w:r>
    </w:p>
    <w:p>
      <w:pPr>
        <w:pStyle w:val="ArticleBody"/>
        <w:jc w:val="left"/>
      </w:pPr>
      <w:r>
        <w:rPr>
          <w:rFonts w:ascii="Times New Roman" w:hAnsi="Times New Roman" w:eastAsia="Times New Roman" w:cs="Times New Roman"/>
        </w:rPr>
        <w:t>L’épreuve du mouvement laodicéen de Future for America concerne la nécessité de reconnaître sa condition dispersée, puis d’entrer dans la prière et l’expérience de Lévitique vingt-six. Daniel se trouvait au temps de transition entre les empires babylonien et médo-perse, et juste avant la fin de la période de soixante-dix ans marquée par le décret de Cyrus. Les soixante-dix ans constituent le contexte de la prière de Daniel, et les soixante-dix ans représentent les « sept temps » de Moïse. Les deux prières de Daniel s’alignent sur le temps de transition marqué par les « sept temps » dans le mouvement du premier ange, ainsi que dans le mouvement du troisième ange.</w:t>
      </w:r>
    </w:p>
    <w:p>
      <w:pPr>
        <w:pStyle w:val="ArticleBody"/>
        <w:jc w:val="left"/>
      </w:pPr>
      <w:r>
        <w:rPr>
          <w:rFonts w:ascii="Times New Roman" w:hAnsi="Times New Roman" w:eastAsia="Times New Roman" w:cs="Times New Roman"/>
        </w:rPr>
        <w:t>Le « secret » révélé à Daniel est la révélation de la statue de Nebucadnetsar. Le « secret » de la statue de Nebucadnetsar dans les derniers jours est qu’elle représente huit royaumes, et non quatre. Dans les articles précédents de la catégorie « Le huitième est issu des sept », cette vérité a déjà été présentée. Au sein de ce secret se trouve la révélation du point de transition où survient le huitième, qui est issu des sept. Le « secret » de la statue de Nebucadnetsar est la confirmation de la résurrection de la corne du véritable protestantisme et de la corne du républicanisme. Ces deux résurrections identifient que chaque corne est le huitième, tout en étant issue des sept ; et la transition du sixième au huitième des deux cornes se produit dans le contexte prophétique d’une épreuve associée aux « sept temps » de Moïse. La transition a lieu, comme le représente Daniel, juste avant le décret de Cyrus, lequel représente le décret de la loi du dimanche aux États-Unis. Puis, lors de la loi du dimanche, par des mouvements rapides, la blessure mortelle de la papauté est guérie, tandis que la papauté devient la huitième tête issue des sept, elle aussi passant par une transition prophétique, comme le représente la statue de Nebucadnetsar dans Daniel chapitre deux.</w:t>
      </w:r>
    </w:p>
    <w:p>
      <w:pPr>
        <w:pStyle w:val="ArticleScripture"/>
        <w:jc w:val="left"/>
      </w:pPr>
      <w:r>
        <w:rPr>
          <w:rFonts w:ascii="Times New Roman" w:hAnsi="Times New Roman" w:eastAsia="Times New Roman" w:cs="Times New Roman"/>
        </w:rPr>
        <w:t>C’est pourquoi Daniel se rendit auprès d’Arjoc, que le roi avait établi pour faire périr les sages de Babylone; il alla et lui parla ainsi: Ne fais pas périr les sages de Babylone; introduis-moi devant le roi, et je ferai connaître au roi l’interprétation. Alors Arjoc introduisit en hâte Daniel devant le roi, et lui parla ainsi: J’ai trouvé parmi les captifs de Juda un homme qui fera connaître au roi l’interprétation. Le roi prit la parole et dit à Daniel, dont le nom était Beltschatsar: Es-tu capable de me faire connaître le songe que j’ai vu, et son interprétation? Daniel 2:24–26.</w:t>
      </w:r>
    </w:p>
    <w:p>
      <w:pPr>
        <w:pStyle w:val="ArticleBody"/>
        <w:jc w:val="left"/>
      </w:pPr>
      <w:r>
        <w:rPr>
          <w:rFonts w:ascii="Times New Roman" w:hAnsi="Times New Roman" w:eastAsia="Times New Roman" w:cs="Times New Roman"/>
        </w:rPr>
        <w:t>Nakon što je Danielu otkrivena tajna, spominju se oba njegova imena, čime se pokazuje da on predstavlja saveznički narod koji je u posljednjim danima upravo prešao u filadelfijski pokret sto četrdeset i četiri tisuće. On očituje karakter Božjega sluge tražeći da nitko ne bude pogubljen zbog svoje nesposobnosti da razumije „tajnu“. Njegov je karakter stavljen u suprotnost s Ariokom, slugom Nabukodonozorovim, koji pred kraljem traži zaslugu za to što je pronašao Daniela. Daniel zatim prepoznaje razliku između istinske proročke objave i objave babilonskih mudraca, kada na Nabukodonozorovo pitanje odgovara pitanjem te, za razliku od Arioka, ne koristi svoje razumijevanje „tajne“ da bi uzvisio samoga sebe, nego umjesto toga uzvisuje Boga nebeskoga.</w:t>
      </w:r>
    </w:p>
    <w:p>
      <w:pPr>
        <w:pStyle w:val="ArticleScripture"/>
        <w:jc w:val="left"/>
      </w:pPr>
      <w:r>
        <w:rPr>
          <w:rFonts w:ascii="Times New Roman" w:hAnsi="Times New Roman" w:eastAsia="Times New Roman" w:cs="Times New Roman"/>
        </w:rPr>
        <w:t>Daniel, in tegenwoordigheid van die koning, het geantwoord en gesê: Die verborgenheid waarna die koning vra, kan die wyse manne, die sterrekykers, die towenaars, die besweerders, nie aan die koning bekend maak nie; maar daar is ’n God in die hemel wat verborgenhede openbaar, en Hy het aan koning Nebukadnésar bekend gemaak wat in die laaste dae sal gebeur. U droom en die gesigte van u hoof op u bed is dan dit. Daniël 2:27, 28.</w:t>
      </w:r>
    </w:p>
    <w:p>
      <w:pPr>
        <w:pStyle w:val="ArticleBody"/>
        <w:jc w:val="left"/>
      </w:pPr>
      <w:r>
        <w:rPr>
          <w:rFonts w:ascii="Times New Roman" w:hAnsi="Times New Roman" w:eastAsia="Times New Roman" w:cs="Times New Roman"/>
        </w:rPr>
        <w:t>دانیال سخن خود را دربارهٔ «سرّ» با معرّفی آن به‌عنوان «سرّی» آغاز می‌کند که آنچه را در ایّام آخر واقع خواهد شد، تبیین می‌نماید. سرّ تاریخِ پنهانِ هفت رعد، آنچه را در ایّام آخر خواهد بود، معیّن می‌سازد. تمثال نبوکدنصر عنصری از سرّ ایّام آخر است که اندکی پیش از بسته‌شدنِ زمانِ آزمایش مُهرگشایی می‌شود. این امر درست پیش از بسته‌شدنِ زمانِ آزمایش، در دورانِ انتقالی آشکار می‌گردد؛ زمانی که هر دو شاخِ وحشِ زمین، همان هشتمینی می‌شوند که از آن هفت است، چنان‌که دانیال در سالِ اوّلِ داریوش به تصویر کشیده است.</w:t>
      </w:r>
    </w:p>
    <w:p>
      <w:pPr>
        <w:pStyle w:val="ArticleScripture"/>
        <w:jc w:val="left"/>
      </w:pPr>
      <w:r>
        <w:rPr>
          <w:rFonts w:ascii="Times New Roman" w:hAnsi="Times New Roman" w:eastAsia="Times New Roman" w:cs="Times New Roman"/>
        </w:rPr>
        <w:t>Pour ce qui te concerne, ô roi, des pensées te sont venues à l’esprit sur ta couche touchant ce qui doit arriver dans la suite des temps; et celui qui révèle les secrets t’a fait connaître ce qui doit arriver. Quant à moi, ce n’est point par une sagesse que je posséderais plus qu’aucun des vivants que ce secret m’a été révélé, mais afin que l’interprétation soit portée à la connaissance du roi, et que tu connaisses les pensées de ton cœur. Daniel 2:29, 30.</w:t>
      </w:r>
    </w:p>
    <w:p>
      <w:pPr>
        <w:pStyle w:val="ArticleBody"/>
        <w:jc w:val="left"/>
      </w:pPr>
      <w:r>
        <w:rPr>
          <w:rFonts w:ascii="Times New Roman" w:hAnsi="Times New Roman" w:eastAsia="Times New Roman" w:cs="Times New Roman"/>
        </w:rPr>
        <w:t>Danyèl etabli laverite a avèk yon dezyèm temwen konsènan lefèt ke rèv Nebikadneza a pale de dènye jou yo, lè li di: “moun ki revele sekrè yo fè ou konnen sa ki pral rive,” “apre sa.” Apre sa, Danyèl fè konnen sekrè a pa t bay pou li, ni paske li te gen yon sajès ki depase sa nenpòt lòt moun te genyen, men ke “sekrè” a te bay Nebikadneza “pou moun sa yo ki va fè konnen entèpretasyon an.” “Sekrè” a te bay pou moun ki t ap prezante “entèpretasyon” rèv la bay wa espirityèl Babilòn nan nan dènye jou yo. Sekrè a te bay an patikilye pou san karannkat mil yo, paske “sekrè” a se pou moun sa yo nan dènye jou yo ki pwoklame tonbe final Babilòn nan. Lè sa a, Danyèl revele rèv-imaj la ki te kache nan fènwa, e ki te pwodui eprèv lavi-oswa-lanmò a.</w:t>
      </w:r>
    </w:p>
    <w:p>
      <w:pPr>
        <w:pStyle w:val="ArticleScripture"/>
        <w:jc w:val="left"/>
      </w:pPr>
      <w:r>
        <w:rPr>
          <w:rFonts w:ascii="Times New Roman" w:hAnsi="Times New Roman" w:eastAsia="Times New Roman" w:cs="Times New Roman"/>
        </w:rPr>
        <w:t>Tu, ô roi, tu regardais, et voici une grande statue. Cette statue était immense, et d’un éclat extraordinaire; elle se dressait devant toi, et son aspect était terrible. La tête de cette statue était d’or fin; sa poitrine et ses bras étaient d’argent; son ventre et ses cuisses étaient d’airain; ses jambes, de fer; ses pieds, en partie de fer et en partie d’argile. Tu regardais, lorsqu’une pierre se détacha sans le secours d’aucune main, frappa les pieds de fer et d’argile de la statue, et les mit en pièces. Alors le fer, l’argile, l’airain, l’argent et l’or furent brisés ensemble, et devinrent comme la balle qui s’échappe des aires en été; le vent les emporta, et nulle trace n’en fut retrouvée. Mais la pierre qui avait frappé la statue devint une grande montagne, et remplit toute la terre. Voilà le songe; nous en donnerons l’interprétation devant le roi. Daniel 2:31–36.</w:t>
      </w:r>
    </w:p>
    <w:p>
      <w:pPr>
        <w:pStyle w:val="ArticleBody"/>
        <w:jc w:val="left"/>
      </w:pPr>
      <w:r>
        <w:rPr>
          <w:rFonts w:ascii="Times New Roman" w:hAnsi="Times New Roman" w:eastAsia="Times New Roman" w:cs="Times New Roman"/>
        </w:rPr>
        <w:t>Le rêve de Nebucadnetsar a identifié les royaumes de la prophétie biblique depuis son temps jusqu’aux derniers jours, lorsque les cent quarante-quatre mille, représentés par Daniel dans sa présentation à Nebucadnetsar, et par la pierre détachée sans le secours d’aucune main, détruisent les royaumes terrestres représentés dans la statue, laquelle devient alors une montagne qui remplit toute la terre. Le rêve portait sur les derniers jours, au point de transition prophétique où le dernier secret prophétique est révélé aux cent quarante-quatre mille.</w:t>
      </w:r>
    </w:p>
    <w:p>
      <w:pPr>
        <w:pStyle w:val="ArticleBody"/>
        <w:jc w:val="left"/>
      </w:pP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સાચા</w:t>
      </w:r>
      <w:r>
        <w:rPr>
          <w:rFonts w:ascii="Times New Roman" w:hAnsi="Times New Roman" w:eastAsia="Times New Roman" w:cs="Times New Roman"/>
        </w:rPr>
        <w:t xml:space="preserve"> </w:t>
      </w:r>
      <w:r>
        <w:rPr>
          <w:rFonts w:ascii="Nirmala UI" w:hAnsi="Nirmala UI" w:eastAsia="Nirmala UI" w:cs="Nirmala UI"/>
        </w:rPr>
        <w:t>પ્રોટેસ્ટન્ટ</w:t>
      </w:r>
      <w:r>
        <w:rPr>
          <w:rFonts w:ascii="Times New Roman" w:hAnsi="Times New Roman" w:eastAsia="Times New Roman" w:cs="Times New Roman"/>
        </w:rPr>
        <w:t xml:space="preserve"> </w:t>
      </w:r>
      <w:r>
        <w:rPr>
          <w:rFonts w:ascii="Nirmala UI" w:hAnsi="Nirmala UI" w:eastAsia="Nirmala UI" w:cs="Nirmala UI"/>
        </w:rPr>
        <w:t>શિંગડાના</w:t>
      </w:r>
      <w:r>
        <w:rPr>
          <w:rFonts w:ascii="Times New Roman" w:hAnsi="Times New Roman" w:eastAsia="Times New Roman" w:cs="Times New Roman"/>
        </w:rPr>
        <w:t xml:space="preserve"> </w:t>
      </w:r>
      <w:r>
        <w:rPr>
          <w:rFonts w:ascii="Nirmala UI" w:hAnsi="Nirmala UI" w:eastAsia="Nirmala UI" w:cs="Nirmala UI"/>
        </w:rPr>
        <w:t>ધ્વજચિહ્ન</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મરતી</w:t>
      </w:r>
      <w:r>
        <w:rPr>
          <w:rFonts w:ascii="Times New Roman" w:hAnsi="Times New Roman" w:eastAsia="Times New Roman" w:cs="Times New Roman"/>
        </w:rPr>
        <w:t xml:space="preserve"> </w:t>
      </w:r>
      <w:r>
        <w:rPr>
          <w:rFonts w:ascii="Nirmala UI" w:hAnsi="Nirmala UI" w:eastAsia="Nirmala UI" w:cs="Nirmala UI"/>
        </w:rPr>
        <w:t>દુનિયા</w:t>
      </w:r>
      <w:r>
        <w:rPr>
          <w:rFonts w:ascii="Times New Roman" w:hAnsi="Times New Roman" w:eastAsia="Times New Roman" w:cs="Times New Roman"/>
        </w:rPr>
        <w:t xml:space="preserve"> </w:t>
      </w:r>
      <w:r>
        <w:rPr>
          <w:rFonts w:ascii="Nirmala UI" w:hAnsi="Nirmala UI" w:eastAsia="Nirmala UI" w:cs="Nirmala UI"/>
        </w:rPr>
        <w:t>સમક્ષ</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લઈને</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યુનાઇટેડ</w:t>
      </w:r>
      <w:r>
        <w:rPr>
          <w:rFonts w:ascii="Times New Roman" w:hAnsi="Times New Roman" w:eastAsia="Times New Roman" w:cs="Times New Roman"/>
        </w:rPr>
        <w:t xml:space="preserve"> </w:t>
      </w:r>
      <w:r>
        <w:rPr>
          <w:rFonts w:ascii="Nirmala UI" w:hAnsi="Nirmala UI" w:eastAsia="Nirmala UI" w:cs="Nirmala UI"/>
        </w:rPr>
        <w:t>સ્ટેટ્સમાં</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પશુનું</w:t>
      </w:r>
      <w:r>
        <w:rPr>
          <w:rFonts w:ascii="Times New Roman" w:hAnsi="Times New Roman" w:eastAsia="Times New Roman" w:cs="Times New Roman"/>
        </w:rPr>
        <w:t xml:space="preserve"> </w:t>
      </w:r>
      <w:r>
        <w:rPr>
          <w:rFonts w:ascii="Nirmala UI" w:hAnsi="Nirmala UI" w:eastAsia="Nirmala UI" w:cs="Nirmala UI"/>
        </w:rPr>
        <w:t>ચિહ્ન</w:t>
      </w:r>
      <w:r>
        <w:rPr>
          <w:rFonts w:ascii="Times New Roman" w:hAnsi="Times New Roman" w:eastAsia="Times New Roman" w:cs="Times New Roman"/>
        </w:rPr>
        <w:t xml:space="preserve"> </w:t>
      </w:r>
      <w:r>
        <w:rPr>
          <w:rFonts w:ascii="Nirmala UI" w:hAnsi="Nirmala UI" w:eastAsia="Nirmala UI" w:cs="Nirmala UI"/>
        </w:rPr>
        <w:t>અમલમાં</w:t>
      </w:r>
      <w:r>
        <w:rPr>
          <w:rFonts w:ascii="Times New Roman" w:hAnsi="Times New Roman" w:eastAsia="Times New Roman" w:cs="Times New Roman"/>
        </w:rPr>
        <w:t xml:space="preserve"> </w:t>
      </w:r>
      <w:r>
        <w:rPr>
          <w:rFonts w:ascii="Nirmala UI" w:hAnsi="Nirmala UI" w:eastAsia="Nirmala UI" w:cs="Nirmala UI"/>
        </w:rPr>
        <w:t>મૂકવામાં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ઊંચા</w:t>
      </w:r>
      <w:r>
        <w:rPr>
          <w:rFonts w:ascii="Times New Roman" w:hAnsi="Times New Roman" w:eastAsia="Times New Roman" w:cs="Times New Roman"/>
        </w:rPr>
        <w:t xml:space="preserve"> </w:t>
      </w:r>
      <w:r>
        <w:rPr>
          <w:rFonts w:ascii="Nirmala UI" w:hAnsi="Nirmala UI" w:eastAsia="Nirmala UI" w:cs="Nirmala UI"/>
        </w:rPr>
        <w:t>ઘોષરૂપે</w:t>
      </w:r>
      <w:r>
        <w:rPr>
          <w:rFonts w:ascii="Times New Roman" w:hAnsi="Times New Roman" w:eastAsia="Times New Roman" w:cs="Times New Roman"/>
        </w:rPr>
        <w:t xml:space="preserve"> </w:t>
      </w:r>
      <w:r>
        <w:rPr>
          <w:rFonts w:ascii="Nirmala UI" w:hAnsi="Nirmala UI" w:eastAsia="Nirmala UI" w:cs="Nirmala UI"/>
        </w:rPr>
        <w:t>ફૂલ્યો</w:t>
      </w:r>
      <w:r>
        <w:rPr>
          <w:rFonts w:ascii="Times New Roman" w:hAnsi="Times New Roman" w:eastAsia="Times New Roman" w:cs="Times New Roman"/>
        </w:rPr>
        <w:t>-</w:t>
      </w:r>
      <w:r>
        <w:rPr>
          <w:rFonts w:ascii="Nirmala UI" w:hAnsi="Nirmala UI" w:eastAsia="Nirmala UI" w:cs="Nirmala UI"/>
        </w:rPr>
        <w:t>ફાલ્યો</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હુકમ</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દિવસોમાં</w:t>
      </w:r>
      <w:r>
        <w:rPr>
          <w:rFonts w:ascii="Times New Roman" w:hAnsi="Times New Roman" w:eastAsia="Times New Roman" w:cs="Times New Roman"/>
        </w:rPr>
        <w:t xml:space="preserve"> </w:t>
      </w:r>
      <w:r>
        <w:rPr>
          <w:rFonts w:ascii="Nirmala UI" w:hAnsi="Nirmala UI" w:eastAsia="Nirmala UI" w:cs="Nirmala UI"/>
        </w:rPr>
        <w:t>દાનિયેલ</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પામનારાઓને</w:t>
      </w:r>
      <w:r>
        <w:rPr>
          <w:rFonts w:ascii="Times New Roman" w:hAnsi="Times New Roman" w:eastAsia="Times New Roman" w:cs="Times New Roman"/>
        </w:rPr>
        <w:t xml:space="preserve"> </w:t>
      </w:r>
      <w:r>
        <w:rPr>
          <w:rFonts w:ascii="Nirmala UI" w:hAnsi="Nirmala UI" w:eastAsia="Nirmala UI" w:cs="Nirmala UI"/>
        </w:rPr>
        <w:t>પશુની</w:t>
      </w:r>
      <w:r>
        <w:rPr>
          <w:rFonts w:ascii="Times New Roman" w:hAnsi="Times New Roman" w:eastAsia="Times New Roman" w:cs="Times New Roman"/>
        </w:rPr>
        <w:t xml:space="preserve"> </w:t>
      </w:r>
      <w:r>
        <w:rPr>
          <w:rFonts w:ascii="Nirmala UI" w:hAnsi="Nirmala UI" w:eastAsia="Nirmala UI" w:cs="Nirmala UI"/>
        </w:rPr>
        <w:t>પ્રતિમાની</w:t>
      </w:r>
      <w:r>
        <w:rPr>
          <w:rFonts w:ascii="Times New Roman" w:hAnsi="Times New Roman" w:eastAsia="Times New Roman" w:cs="Times New Roman"/>
        </w:rPr>
        <w:t xml:space="preserve"> </w:t>
      </w:r>
      <w:r>
        <w:rPr>
          <w:rFonts w:ascii="Nirmala UI" w:hAnsi="Nirmala UI" w:eastAsia="Nirmala UI" w:cs="Nirmala UI"/>
        </w:rPr>
        <w:t>કસોટીનો</w:t>
      </w:r>
      <w:r>
        <w:rPr>
          <w:rFonts w:ascii="Times New Roman" w:hAnsi="Times New Roman" w:eastAsia="Times New Roman" w:cs="Times New Roman"/>
        </w:rPr>
        <w:t xml:space="preserve"> </w:t>
      </w:r>
      <w:r>
        <w:rPr>
          <w:rFonts w:ascii="Nirmala UI" w:hAnsi="Nirmala UI" w:eastAsia="Nirmala UI" w:cs="Nirmala UI"/>
        </w:rPr>
        <w:t>સામનો</w:t>
      </w:r>
      <w:r>
        <w:rPr>
          <w:rFonts w:ascii="Times New Roman" w:hAnsi="Times New Roman" w:eastAsia="Times New Roman" w:cs="Times New Roman"/>
        </w:rPr>
        <w:t xml:space="preserve"> </w:t>
      </w:r>
      <w:r>
        <w:rPr>
          <w:rFonts w:ascii="Nirmala UI" w:hAnsi="Nirmala UI" w:eastAsia="Nirmala UI" w:cs="Nirmala UI"/>
        </w:rPr>
        <w:t>કરાવવાનો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કસોટી</w:t>
      </w:r>
      <w:r>
        <w:rPr>
          <w:rFonts w:ascii="Times New Roman" w:hAnsi="Times New Roman" w:eastAsia="Times New Roman" w:cs="Times New Roman"/>
        </w:rPr>
        <w:t xml:space="preserve"> </w:t>
      </w:r>
      <w:r>
        <w:rPr>
          <w:rFonts w:ascii="Nirmala UI" w:hAnsi="Nirmala UI" w:eastAsia="Nirmala UI" w:cs="Nirmala UI"/>
        </w:rPr>
        <w:t>દૃશ્યમાન</w:t>
      </w:r>
      <w:r>
        <w:rPr>
          <w:rFonts w:ascii="Times New Roman" w:hAnsi="Times New Roman" w:eastAsia="Times New Roman" w:cs="Times New Roman"/>
        </w:rPr>
        <w:t xml:space="preserve"> </w:t>
      </w:r>
      <w:r>
        <w:rPr>
          <w:rFonts w:ascii="Nirmala UI" w:hAnsi="Nirmala UI" w:eastAsia="Nirmala UI" w:cs="Nirmala UI"/>
        </w:rPr>
        <w:t>કસોટી</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હુકમને</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ગતિવિધિઓ</w:t>
      </w:r>
      <w:r>
        <w:rPr>
          <w:rFonts w:ascii="Times New Roman" w:hAnsi="Times New Roman" w:eastAsia="Times New Roman" w:cs="Times New Roman"/>
        </w:rPr>
        <w:t xml:space="preserve"> </w:t>
      </w:r>
      <w:r>
        <w:rPr>
          <w:rFonts w:ascii="Nirmala UI" w:hAnsi="Nirmala UI" w:eastAsia="Nirmala UI" w:cs="Nirmala UI"/>
        </w:rPr>
        <w:t>દાનિયેલ</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પામનારાઓએ</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તેઓની</w:t>
      </w:r>
      <w:r>
        <w:rPr>
          <w:rFonts w:ascii="Times New Roman" w:hAnsi="Times New Roman" w:eastAsia="Times New Roman" w:cs="Times New Roman"/>
        </w:rPr>
        <w:t xml:space="preserve"> </w:t>
      </w:r>
      <w:r>
        <w:rPr>
          <w:rFonts w:ascii="Nirmala UI" w:hAnsi="Nirmala UI" w:eastAsia="Nirmala UI" w:cs="Nirmala UI"/>
        </w:rPr>
        <w:t>પરીક્ષા</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જાણવા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પદ્ધતિ</w:t>
      </w:r>
      <w:r>
        <w:rPr>
          <w:rFonts w:ascii="Times New Roman" w:hAnsi="Times New Roman" w:eastAsia="Times New Roman" w:cs="Times New Roman"/>
        </w:rPr>
        <w:t xml:space="preserve"> </w:t>
      </w:r>
      <w:r>
        <w:rPr>
          <w:rFonts w:ascii="Nirmala UI" w:hAnsi="Nirmala UI" w:eastAsia="Nirmala UI" w:cs="Nirmala UI"/>
        </w:rPr>
        <w:t>પસંદ</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અંધકારમાં</w:t>
      </w:r>
      <w:r>
        <w:rPr>
          <w:rFonts w:ascii="Times New Roman" w:hAnsi="Times New Roman" w:eastAsia="Times New Roman" w:cs="Times New Roman"/>
        </w:rPr>
        <w:t xml:space="preserve"> </w:t>
      </w:r>
      <w:r>
        <w:rPr>
          <w:rFonts w:ascii="Nirmala UI" w:hAnsi="Nirmala UI" w:eastAsia="Nirmala UI" w:cs="Nirmala UI"/>
        </w:rPr>
        <w:t>છુપાયેલી</w:t>
      </w:r>
      <w:r>
        <w:rPr>
          <w:rFonts w:ascii="Times New Roman" w:hAnsi="Times New Roman" w:eastAsia="Times New Roman" w:cs="Times New Roman"/>
        </w:rPr>
        <w:t xml:space="preserve"> </w:t>
      </w:r>
      <w:r>
        <w:rPr>
          <w:rFonts w:ascii="Nirmala UI" w:hAnsi="Nirmala UI" w:eastAsia="Nirmala UI" w:cs="Nirmala UI"/>
        </w:rPr>
        <w:t>પ્રતિમા</w:t>
      </w:r>
      <w:r>
        <w:rPr>
          <w:rFonts w:ascii="Times New Roman" w:hAnsi="Times New Roman" w:eastAsia="Times New Roman" w:cs="Times New Roman"/>
        </w:rPr>
        <w:t>-</w:t>
      </w:r>
      <w:r>
        <w:rPr>
          <w:rFonts w:ascii="Nirmala UI" w:hAnsi="Nirmala UI" w:eastAsia="Nirmala UI" w:cs="Nirmala UI"/>
        </w:rPr>
        <w:t>કસોટી</w:t>
      </w:r>
      <w:r>
        <w:rPr>
          <w:rFonts w:ascii="Times New Roman" w:hAnsi="Times New Roman" w:eastAsia="Times New Roman" w:cs="Times New Roman"/>
        </w:rPr>
        <w:t xml:space="preserve"> </w:t>
      </w:r>
      <w:r>
        <w:rPr>
          <w:rFonts w:ascii="Nirmala UI" w:hAnsi="Nirmala UI" w:eastAsia="Nirmala UI" w:cs="Nirmala UI"/>
        </w:rPr>
        <w:t>જોવાની</w:t>
      </w:r>
      <w:r>
        <w:rPr>
          <w:rFonts w:ascii="Times New Roman" w:hAnsi="Times New Roman" w:eastAsia="Times New Roman" w:cs="Times New Roman"/>
        </w:rPr>
        <w:t xml:space="preserve"> </w:t>
      </w:r>
      <w:r>
        <w:rPr>
          <w:rFonts w:ascii="Nirmala UI" w:hAnsi="Nirmala UI" w:eastAsia="Nirmala UI" w:cs="Nirmala UI"/>
        </w:rPr>
        <w:t>ક્ષમતા</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કસોટીમાં</w:t>
      </w:r>
      <w:r>
        <w:rPr>
          <w:rFonts w:ascii="Times New Roman" w:hAnsi="Times New Roman" w:eastAsia="Times New Roman" w:cs="Times New Roman"/>
        </w:rPr>
        <w:t xml:space="preserve"> </w:t>
      </w:r>
      <w:r>
        <w:rPr>
          <w:rFonts w:ascii="Nirmala UI" w:hAnsi="Nirmala UI" w:eastAsia="Nirmala UI" w:cs="Nirmala UI"/>
        </w:rPr>
        <w:t>વ્યક્તિગત</w:t>
      </w:r>
      <w:r>
        <w:rPr>
          <w:rFonts w:ascii="Times New Roman" w:hAnsi="Times New Roman" w:eastAsia="Times New Roman" w:cs="Times New Roman"/>
        </w:rPr>
        <w:t xml:space="preserve"> </w:t>
      </w:r>
      <w:r>
        <w:rPr>
          <w:rFonts w:ascii="Nirmala UI" w:hAnsi="Nirmala UI" w:eastAsia="Nirmala UI" w:cs="Nirmala UI"/>
        </w:rPr>
        <w:t>નમ્રતા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પાપસ્વીકારનો</w:t>
      </w:r>
      <w:r>
        <w:rPr>
          <w:rFonts w:ascii="Times New Roman" w:hAnsi="Times New Roman" w:eastAsia="Times New Roman" w:cs="Times New Roman"/>
        </w:rPr>
        <w:t xml:space="preserve"> </w:t>
      </w:r>
      <w:r>
        <w:rPr>
          <w:rFonts w:ascii="Nirmala UI" w:hAnsi="Nirmala UI" w:eastAsia="Nirmala UI" w:cs="Nirmala UI"/>
        </w:rPr>
        <w:t>સમાવેશ</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સ્વીકાર</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સમાયેલો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સ્વપ્નો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દર્શનોમાં</w:t>
      </w:r>
      <w:r>
        <w:rPr>
          <w:rFonts w:ascii="Times New Roman" w:hAnsi="Times New Roman" w:eastAsia="Times New Roman" w:cs="Times New Roman"/>
        </w:rPr>
        <w:t xml:space="preserve"> </w:t>
      </w:r>
      <w:r>
        <w:rPr>
          <w:rFonts w:ascii="Nirmala UI" w:hAnsi="Nirmala UI" w:eastAsia="Nirmala UI" w:cs="Nirmala UI"/>
        </w:rPr>
        <w:t>સમજ</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જંગલમાં</w:t>
      </w:r>
      <w:r>
        <w:rPr>
          <w:rFonts w:ascii="Times New Roman" w:hAnsi="Times New Roman" w:eastAsia="Times New Roman" w:cs="Times New Roman"/>
        </w:rPr>
        <w:t xml:space="preserve"> </w:t>
      </w:r>
      <w:r>
        <w:rPr>
          <w:rFonts w:ascii="Nirmala UI" w:hAnsi="Nirmala UI" w:eastAsia="Nirmala UI" w:cs="Nirmala UI"/>
        </w:rPr>
        <w:t>પોકારતા</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સ્વરને</w:t>
      </w:r>
      <w:r>
        <w:rPr>
          <w:rFonts w:ascii="Times New Roman" w:hAnsi="Times New Roman" w:eastAsia="Times New Roman" w:cs="Times New Roman"/>
        </w:rPr>
        <w:t xml:space="preserve"> </w:t>
      </w:r>
      <w:r>
        <w:rPr>
          <w:rFonts w:ascii="Nirmala UI" w:hAnsi="Nirmala UI" w:eastAsia="Nirmala UI" w:cs="Nirmala UI"/>
        </w:rPr>
        <w:t>સાંભળવા</w:t>
      </w:r>
      <w:r>
        <w:rPr>
          <w:rFonts w:ascii="Times New Roman" w:hAnsi="Times New Roman" w:eastAsia="Times New Roman" w:cs="Times New Roman"/>
        </w:rPr>
        <w:t xml:space="preserve"> </w:t>
      </w:r>
      <w:r>
        <w:rPr>
          <w:rFonts w:ascii="Nirmala UI" w:hAnsi="Nirmala UI" w:eastAsia="Nirmala UI" w:cs="Nirmala UI"/>
        </w:rPr>
        <w:t>ઇનકાર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એમ</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દિવસોમાં</w:t>
      </w:r>
      <w:r>
        <w:rPr>
          <w:rFonts w:ascii="Times New Roman" w:hAnsi="Times New Roman" w:eastAsia="Times New Roman" w:cs="Times New Roman"/>
        </w:rPr>
        <w:t xml:space="preserve"> </w:t>
      </w:r>
      <w:r>
        <w:rPr>
          <w:rFonts w:ascii="Nirmala UI" w:hAnsi="Nirmala UI" w:eastAsia="Nirmala UI" w:cs="Nirmala UI"/>
        </w:rPr>
        <w:t>યોહાન</w:t>
      </w:r>
      <w:r>
        <w:rPr>
          <w:rFonts w:ascii="Times New Roman" w:hAnsi="Times New Roman" w:eastAsia="Times New Roman" w:cs="Times New Roman"/>
        </w:rPr>
        <w:t xml:space="preserve"> </w:t>
      </w:r>
      <w:r>
        <w:rPr>
          <w:rFonts w:ascii="Nirmala UI" w:hAnsi="Nirmala UI" w:eastAsia="Nirmala UI" w:cs="Nirmala UI"/>
        </w:rPr>
        <w:t>બાપ્તિસ્તના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નકારી</w:t>
      </w:r>
      <w:r>
        <w:rPr>
          <w:rFonts w:ascii="Times New Roman" w:hAnsi="Times New Roman" w:eastAsia="Times New Roman" w:cs="Times New Roman"/>
        </w:rPr>
        <w:t xml:space="preserve"> </w:t>
      </w:r>
      <w:r>
        <w:rPr>
          <w:rFonts w:ascii="Nirmala UI" w:hAnsi="Nirmala UI" w:eastAsia="Nirmala UI" w:cs="Nirmala UI"/>
        </w:rPr>
        <w:t>કાઢનારા</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Body"/>
        <w:jc w:val="left"/>
      </w:pPr>
      <w:r>
        <w:rPr>
          <w:rFonts w:ascii="Nirmala UI" w:hAnsi="Nirmala UI" w:eastAsia="Nirmala UI" w:cs="Nirmala UI"/>
        </w:rPr>
        <w:t>மிஸ்ஸ்</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வெளிப்படுத்தல்</w:t>
      </w:r>
      <w:r>
        <w:rPr>
          <w:rFonts w:ascii="Times New Roman" w:hAnsi="Times New Roman" w:eastAsia="Times New Roman" w:cs="Times New Roman"/>
        </w:rPr>
        <w:t xml:space="preserve"> </w:t>
      </w:r>
      <w:r>
        <w:rPr>
          <w:rFonts w:ascii="Nirmala UI" w:hAnsi="Nirmala UI" w:eastAsia="Nirmala UI" w:cs="Nirmala UI"/>
        </w:rPr>
        <w:t>என்னும்</w:t>
      </w:r>
      <w:r>
        <w:rPr>
          <w:rFonts w:ascii="Times New Roman" w:hAnsi="Times New Roman" w:eastAsia="Times New Roman" w:cs="Times New Roman"/>
        </w:rPr>
        <w:t xml:space="preserve"> </w:t>
      </w:r>
      <w:r>
        <w:rPr>
          <w:rFonts w:ascii="Nirmala UI" w:hAnsi="Nirmala UI" w:eastAsia="Nirmala UI" w:cs="Nirmala UI"/>
        </w:rPr>
        <w:t>புத்தகங்கள்</w:t>
      </w:r>
      <w:r>
        <w:rPr>
          <w:rFonts w:ascii="Times New Roman" w:hAnsi="Times New Roman" w:eastAsia="Times New Roman" w:cs="Times New Roman"/>
        </w:rPr>
        <w:t xml:space="preserve"> </w:t>
      </w:r>
      <w:r>
        <w:rPr>
          <w:rFonts w:ascii="Nirmala UI" w:hAnsi="Nirmala UI" w:eastAsia="Nirmala UI" w:cs="Nirmala UI"/>
        </w:rPr>
        <w:t>ஒன்றுக்கொன்று</w:t>
      </w:r>
      <w:r>
        <w:rPr>
          <w:rFonts w:ascii="Times New Roman" w:hAnsi="Times New Roman" w:eastAsia="Times New Roman" w:cs="Times New Roman"/>
        </w:rPr>
        <w:t xml:space="preserve"> </w:t>
      </w:r>
      <w:r>
        <w:rPr>
          <w:rFonts w:ascii="Nirmala UI" w:hAnsi="Nirmala UI" w:eastAsia="Nirmala UI" w:cs="Nirmala UI"/>
        </w:rPr>
        <w:t>பூர்த்தியாக</w:t>
      </w:r>
      <w:r>
        <w:rPr>
          <w:rFonts w:ascii="Times New Roman" w:hAnsi="Times New Roman" w:eastAsia="Times New Roman" w:cs="Times New Roman"/>
        </w:rPr>
        <w:t xml:space="preserve"> </w:t>
      </w:r>
      <w:r>
        <w:rPr>
          <w:rFonts w:ascii="Nirmala UI" w:hAnsi="Nirmala UI" w:eastAsia="Nirmala UI" w:cs="Nirmala UI"/>
        </w:rPr>
        <w:t>நிற்கின்றன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நமக்குத்</w:t>
      </w:r>
      <w:r>
        <w:rPr>
          <w:rFonts w:ascii="Times New Roman" w:hAnsi="Times New Roman" w:eastAsia="Times New Roman" w:cs="Times New Roman"/>
        </w:rPr>
        <w:t xml:space="preserve"> </w:t>
      </w:r>
      <w:r>
        <w:rPr>
          <w:rFonts w:ascii="Nirmala UI" w:hAnsi="Nirmala UI" w:eastAsia="Nirmala UI" w:cs="Nirmala UI"/>
        </w:rPr>
        <w:t>தெரிவிக்கிறார்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பயன்படுத்தும்</w:t>
      </w:r>
      <w:r>
        <w:rPr>
          <w:rFonts w:ascii="Times New Roman" w:hAnsi="Times New Roman" w:eastAsia="Times New Roman" w:cs="Times New Roman"/>
        </w:rPr>
        <w:t xml:space="preserve"> “</w:t>
      </w:r>
      <w:r>
        <w:rPr>
          <w:rFonts w:ascii="Nirmala UI" w:hAnsi="Nirmala UI" w:eastAsia="Nirmala UI" w:cs="Nirmala UI"/>
        </w:rPr>
        <w:t>பூர்த்தி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பரிபூரணத்திற்குக்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வருதல்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அர்த்தத்தைக்</w:t>
      </w:r>
      <w:r>
        <w:rPr>
          <w:rFonts w:ascii="Times New Roman" w:hAnsi="Times New Roman" w:eastAsia="Times New Roman" w:cs="Times New Roman"/>
        </w:rPr>
        <w:t xml:space="preserve"> </w:t>
      </w:r>
      <w:r>
        <w:rPr>
          <w:rFonts w:ascii="Nirmala UI" w:hAnsi="Nirmala UI" w:eastAsia="Nirmala UI" w:cs="Nirmala UI"/>
        </w:rPr>
        <w:t>கொண்டது</w:t>
      </w:r>
      <w:r>
        <w:rPr>
          <w:rFonts w:ascii="Times New Roman" w:hAnsi="Times New Roman" w:eastAsia="Times New Roman" w:cs="Times New Roman"/>
        </w:rPr>
        <w:t xml:space="preserve">. 2023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ஜூலை</w:t>
      </w:r>
      <w:r>
        <w:rPr>
          <w:rFonts w:ascii="Times New Roman" w:hAnsi="Times New Roman" w:eastAsia="Times New Roman" w:cs="Times New Roman"/>
        </w:rPr>
        <w:t xml:space="preserve"> </w:t>
      </w:r>
      <w:r>
        <w:rPr>
          <w:rFonts w:ascii="Nirmala UI" w:hAnsi="Nirmala UI" w:eastAsia="Nirmala UI" w:cs="Nirmala UI"/>
        </w:rPr>
        <w:t>மாத</w:t>
      </w:r>
      <w:r>
        <w:rPr>
          <w:rFonts w:ascii="Times New Roman" w:hAnsi="Times New Roman" w:eastAsia="Times New Roman" w:cs="Times New Roman"/>
        </w:rPr>
        <w:t xml:space="preserve"> </w:t>
      </w:r>
      <w:r>
        <w:rPr>
          <w:rFonts w:ascii="Nirmala UI" w:hAnsi="Nirmala UI" w:eastAsia="Nirmala UI" w:cs="Nirmala UI"/>
        </w:rPr>
        <w:t>இறுதியில்</w:t>
      </w:r>
      <w:r>
        <w:rPr>
          <w:rFonts w:ascii="Times New Roman" w:hAnsi="Times New Roman" w:eastAsia="Times New Roman" w:cs="Times New Roman"/>
        </w:rPr>
        <w:t xml:space="preserve">, </w:t>
      </w:r>
      <w:r>
        <w:rPr>
          <w:rFonts w:ascii="Nirmala UI" w:hAnsi="Nirmala UI" w:eastAsia="Nirmala UI" w:cs="Nirmala UI"/>
        </w:rPr>
        <w:t>யூதா</w:t>
      </w:r>
      <w:r>
        <w:rPr>
          <w:rFonts w:ascii="Times New Roman" w:hAnsi="Times New Roman" w:eastAsia="Times New Roman" w:cs="Times New Roman"/>
        </w:rPr>
        <w:t xml:space="preserve"> </w:t>
      </w:r>
      <w:r>
        <w:rPr>
          <w:rFonts w:ascii="Nirmala UI" w:hAnsi="Nirmala UI" w:eastAsia="Nirmala UI" w:cs="Nirmala UI"/>
        </w:rPr>
        <w:t>கோத்திரத்தின்</w:t>
      </w:r>
      <w:r>
        <w:rPr>
          <w:rFonts w:ascii="Times New Roman" w:hAnsi="Times New Roman" w:eastAsia="Times New Roman" w:cs="Times New Roman"/>
        </w:rPr>
        <w:t xml:space="preserve"> </w:t>
      </w:r>
      <w:r>
        <w:rPr>
          <w:rFonts w:ascii="Nirmala UI" w:hAnsi="Nirmala UI" w:eastAsia="Nirmala UI" w:cs="Nirmala UI"/>
        </w:rPr>
        <w:t>சிங்கம்</w:t>
      </w:r>
      <w:r>
        <w:rPr>
          <w:rFonts w:ascii="Times New Roman" w:hAnsi="Times New Roman" w:eastAsia="Times New Roman" w:cs="Times New Roman"/>
        </w:rPr>
        <w:t xml:space="preserve">, </w:t>
      </w:r>
      <w:r>
        <w:rPr>
          <w:rFonts w:ascii="Nirmala UI" w:hAnsi="Nirmala UI" w:eastAsia="Nirmala UI" w:cs="Nirmala UI"/>
        </w:rPr>
        <w:t>கிருபைக்காலம்</w:t>
      </w:r>
      <w:r>
        <w:rPr>
          <w:rFonts w:ascii="Times New Roman" w:hAnsi="Times New Roman" w:eastAsia="Times New Roman" w:cs="Times New Roman"/>
        </w:rPr>
        <w:t xml:space="preserve"> </w:t>
      </w:r>
      <w:r>
        <w:rPr>
          <w:rFonts w:ascii="Nirmala UI" w:hAnsi="Nirmala UI" w:eastAsia="Nirmala UI" w:cs="Nirmala UI"/>
        </w:rPr>
        <w:t>முடிவடைவதற்கு</w:t>
      </w:r>
      <w:r>
        <w:rPr>
          <w:rFonts w:ascii="Times New Roman" w:hAnsi="Times New Roman" w:eastAsia="Times New Roman" w:cs="Times New Roman"/>
        </w:rPr>
        <w:t xml:space="preserve"> </w:t>
      </w:r>
      <w:r>
        <w:rPr>
          <w:rFonts w:ascii="Nirmala UI" w:hAnsi="Nirmala UI" w:eastAsia="Nirmala UI" w:cs="Nirmala UI"/>
        </w:rPr>
        <w:t>முன்பாகத்</w:t>
      </w:r>
      <w:r>
        <w:rPr>
          <w:rFonts w:ascii="Times New Roman" w:hAnsi="Times New Roman" w:eastAsia="Times New Roman" w:cs="Times New Roman"/>
        </w:rPr>
        <w:t xml:space="preserve"> </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செய்வேன்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வாக்குறுதி</w:t>
      </w:r>
      <w:r>
        <w:rPr>
          <w:rFonts w:ascii="Times New Roman" w:hAnsi="Times New Roman" w:eastAsia="Times New Roman" w:cs="Times New Roman"/>
        </w:rPr>
        <w:t xml:space="preserve"> </w:t>
      </w:r>
      <w:r>
        <w:rPr>
          <w:rFonts w:ascii="Nirmala UI" w:hAnsi="Nirmala UI" w:eastAsia="Nirmala UI" w:cs="Nirmala UI"/>
        </w:rPr>
        <w:t>அளித்தபடியே</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வெளிப்படுத்தலை</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நீக்கத்</w:t>
      </w:r>
      <w:r>
        <w:rPr>
          <w:rFonts w:ascii="Times New Roman" w:hAnsi="Times New Roman" w:eastAsia="Times New Roman" w:cs="Times New Roman"/>
        </w:rPr>
        <w:t xml:space="preserve"> </w:t>
      </w:r>
      <w:r>
        <w:rPr>
          <w:rFonts w:ascii="Nirmala UI" w:hAnsi="Nirmala UI" w:eastAsia="Nirmala UI" w:cs="Nirmala UI"/>
        </w:rPr>
        <w:t>தொடங்கினார்</w:t>
      </w:r>
      <w:r>
        <w:rPr>
          <w:rFonts w:ascii="Times New Roman" w:hAnsi="Times New Roman" w:eastAsia="Times New Roman" w:cs="Times New Roman"/>
        </w:rPr>
        <w:t xml:space="preserve">. </w:t>
      </w:r>
      <w:r>
        <w:rPr>
          <w:rFonts w:ascii="Nirmala UI" w:hAnsi="Nirmala UI" w:eastAsia="Nirmala UI" w:cs="Nirmala UI"/>
        </w:rPr>
        <w:t>அப்படிச்</w:t>
      </w:r>
      <w:r>
        <w:rPr>
          <w:rFonts w:ascii="Times New Roman" w:hAnsi="Times New Roman" w:eastAsia="Times New Roman" w:cs="Times New Roman"/>
        </w:rPr>
        <w:t xml:space="preserve"> </w:t>
      </w:r>
      <w:r>
        <w:rPr>
          <w:rFonts w:ascii="Nirmala UI" w:hAnsi="Nirmala UI" w:eastAsia="Nirmala UI" w:cs="Nirmala UI"/>
        </w:rPr>
        <w:t>செய்வதன்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முன்பு</w:t>
      </w:r>
      <w:r>
        <w:rPr>
          <w:rFonts w:ascii="Times New Roman" w:hAnsi="Times New Roman" w:eastAsia="Times New Roman" w:cs="Times New Roman"/>
        </w:rPr>
        <w:t xml:space="preserve"> </w:t>
      </w:r>
      <w:r>
        <w:rPr>
          <w:rFonts w:ascii="Nirmala UI" w:hAnsi="Nirmala UI" w:eastAsia="Nirmala UI" w:cs="Nirmala UI"/>
        </w:rPr>
        <w:t>சரியாகவே</w:t>
      </w:r>
      <w:r>
        <w:rPr>
          <w:rFonts w:ascii="Times New Roman" w:hAnsi="Times New Roman" w:eastAsia="Times New Roman" w:cs="Times New Roman"/>
        </w:rPr>
        <w:t xml:space="preserve"> </w:t>
      </w:r>
      <w:r>
        <w:rPr>
          <w:rFonts w:ascii="Nirmala UI" w:hAnsi="Nirmala UI" w:eastAsia="Nirmala UI" w:cs="Nirmala UI"/>
        </w:rPr>
        <w:t>புரிந்துகொள்ளப்பட்டிருந்த</w:t>
      </w:r>
      <w:r>
        <w:rPr>
          <w:rFonts w:ascii="Times New Roman" w:hAnsi="Times New Roman" w:eastAsia="Times New Roman" w:cs="Times New Roman"/>
        </w:rPr>
        <w:t xml:space="preserve"> </w:t>
      </w:r>
      <w:r>
        <w:rPr>
          <w:rFonts w:ascii="Nirmala UI" w:hAnsi="Nirmala UI" w:eastAsia="Nirmala UI" w:cs="Nirmala UI"/>
        </w:rPr>
        <w:t>வேதாகமச்</w:t>
      </w:r>
      <w:r>
        <w:rPr>
          <w:rFonts w:ascii="Times New Roman" w:hAnsi="Times New Roman" w:eastAsia="Times New Roman" w:cs="Times New Roman"/>
        </w:rPr>
        <w:t xml:space="preserve"> </w:t>
      </w:r>
      <w:r>
        <w:rPr>
          <w:rFonts w:ascii="Nirmala UI" w:hAnsi="Nirmala UI" w:eastAsia="Nirmala UI" w:cs="Nirmala UI"/>
        </w:rPr>
        <w:t>சத்தியங்களை</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அடையாளம்</w:t>
      </w:r>
      <w:r>
        <w:rPr>
          <w:rFonts w:ascii="Times New Roman" w:hAnsi="Times New Roman" w:eastAsia="Times New Roman" w:cs="Times New Roman"/>
        </w:rPr>
        <w:t xml:space="preserve"> </w:t>
      </w:r>
      <w:r>
        <w:rPr>
          <w:rFonts w:ascii="Nirmala UI" w:hAnsi="Nirmala UI" w:eastAsia="Nirmala UI" w:cs="Nirmala UI"/>
        </w:rPr>
        <w:t>காட்டினார்</w:t>
      </w:r>
      <w:r>
        <w:rPr>
          <w:rFonts w:ascii="Times New Roman" w:hAnsi="Times New Roman" w:eastAsia="Times New Roman" w:cs="Times New Roman"/>
        </w:rPr>
        <w:t xml:space="preserve">; </w:t>
      </w:r>
      <w:r>
        <w:rPr>
          <w:rFonts w:ascii="Nirmala UI" w:hAnsi="Nirmala UI" w:eastAsia="Nirmala UI" w:cs="Nirmala UI"/>
        </w:rPr>
        <w:t>ஆனாலும்</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நாட்களின்</w:t>
      </w:r>
      <w:r>
        <w:rPr>
          <w:rFonts w:ascii="Times New Roman" w:hAnsi="Times New Roman" w:eastAsia="Times New Roman" w:cs="Times New Roman"/>
        </w:rPr>
        <w:t xml:space="preserve"> </w:t>
      </w:r>
      <w:r>
        <w:rPr>
          <w:rFonts w:ascii="Nirmala UI" w:hAnsi="Nirmala UI" w:eastAsia="Nirmala UI" w:cs="Nirmala UI"/>
        </w:rPr>
        <w:t>அமைவிடத்தில்</w:t>
      </w:r>
      <w:r>
        <w:rPr>
          <w:rFonts w:ascii="Times New Roman" w:hAnsi="Times New Roman" w:eastAsia="Times New Roman" w:cs="Times New Roman"/>
        </w:rPr>
        <w:t xml:space="preserve"> </w:t>
      </w:r>
      <w:r>
        <w:rPr>
          <w:rFonts w:ascii="Nirmala UI" w:hAnsi="Nirmala UI" w:eastAsia="Nirmala UI" w:cs="Nirmala UI"/>
        </w:rPr>
        <w:t>புரிந்துகொள்ளப்பட</w:t>
      </w:r>
      <w:r>
        <w:rPr>
          <w:rFonts w:ascii="Times New Roman" w:hAnsi="Times New Roman" w:eastAsia="Times New Roman" w:cs="Times New Roman"/>
        </w:rPr>
        <w:t xml:space="preserve"> </w:t>
      </w:r>
      <w:r>
        <w:rPr>
          <w:rFonts w:ascii="Nirmala UI" w:hAnsi="Nirmala UI" w:eastAsia="Nirmala UI" w:cs="Nirmala UI"/>
        </w:rPr>
        <w:t>வேண்டியவையாக</w:t>
      </w:r>
      <w:r>
        <w:rPr>
          <w:rFonts w:ascii="Times New Roman" w:hAnsi="Times New Roman" w:eastAsia="Times New Roman" w:cs="Times New Roman"/>
        </w:rPr>
        <w:t xml:space="preserve"> </w:t>
      </w:r>
      <w:r>
        <w:rPr>
          <w:rFonts w:ascii="Nirmala UI" w:hAnsi="Nirmala UI" w:eastAsia="Nirmala UI" w:cs="Nirmala UI"/>
        </w:rPr>
        <w:t>இருந்தன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Unu el tiuj veroj estas la du atestantoj de Apokalipso dek unu. Alia estas la historio, kiu estas la perfekta plenumo de la “sep tondroj” de Apokalipso dek. Li elportis verojn el la sanktaj reformlinioj, kiuj parolas pri la seniluziiĝo de la 18-a de julio 2020. Li uzis la kvar vojmarkojn, kiuj troviĝas en ĉiu el la sanktaj reformlinioj, kiuj ilustras la historion de la povigado de la unua mesaĝo ĝis la juĝo, laŭ maniero ĝis nun neniam rekonita. Daniel, ĉapitro du, kondukas multajn el ĉi tiuj konceptoj al perfekteco, kvankam ĉi tiuj profundaj veroj estas kaŝitaj en mallumo por tiuj, kiuj rifuzas manĝi la metodologion identigitan kiel Alfa kaj Omega.</w:t>
      </w:r>
    </w:p>
    <w:p>
      <w:pPr>
        <w:pStyle w:val="ArticleBody"/>
        <w:jc w:val="left"/>
      </w:pPr>
      <w:r>
        <w:rPr>
          <w:rFonts w:ascii="Times New Roman" w:hAnsi="Times New Roman" w:eastAsia="Times New Roman" w:cs="Times New Roman"/>
        </w:rPr>
        <w:t>En conclusion de cette étude du chapitre deux de Daniel, nous résumerons et relierons certaines des vérités et des balises qui sont amenées à la perfection par le chapitre deux de Daniel. Ce faisant, nous établissons que le secret révélé à Daniel dans la vision nocturne représente précisément ces vérités mêmes.</w:t>
      </w:r>
    </w:p>
    <w:p>
      <w:pPr>
        <w:pStyle w:val="ArticleBody"/>
        <w:jc w:val="left"/>
      </w:pPr>
      <w:r>
        <w:rPr>
          <w:rFonts w:ascii="Times New Roman" w:hAnsi="Times New Roman" w:eastAsia="Times New Roman" w:cs="Times New Roman"/>
        </w:rPr>
        <w:t>Nous présenterons le résumé et la conclusion dans le prochain article.</w:t>
      </w:r>
    </w:p>
    <w:p>
      <w:pPr>
        <w:pStyle w:val="ArticleScripture"/>
        <w:jc w:val="left"/>
      </w:pPr>
      <w:r>
        <w:rPr>
          <w:rFonts w:ascii="Times New Roman" w:hAnsi="Times New Roman" w:eastAsia="Times New Roman" w:cs="Times New Roman"/>
        </w:rPr>
        <w:t>“Le Seigneur a ses moyens désignés pour rencontrer les hommes dans leurs erreurs et leurs rechutes. Ses messagers sont envoyés pour rendre un témoignage clair, afin de les réveiller de leur état d’assoupissement et d’ouvrir à leur intelligence les précieuses paroles de vie, les Saintes Écritures. Ces hommes ne doivent pas être simplement des prédicateurs, mais des ministres, des porteurs de lumière, des sentinelles fidèles, qui discerneront le danger menaçant et avertiront le peuple. Ils doivent ressembler au Christ par leur zèle ardent, par leur tact réfléchi, par leurs efforts personnels—bref, dans tout leur ministère. Ils doivent avoir un lien vivant avec Dieu et devenir tellement familiers avec les prophéties et les leçons pratiques de l’Ancien et du Nouveau Testament qu’ils puissent tirer du trésor de la parole de Dieu des choses nouvelles et anciennes.” Testimonies, volume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Kumi na Tatu</dc:title>
  <dc:subject>Jisicha Mysteriyo Nga Aldaw ti Kamaudianan</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