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quarante</w:t>
      </w:r>
    </w:p>
    <w:p>
      <w:pPr>
        <w:pStyle w:val="ArticleSubtitle"/>
        <w:jc w:val="left"/>
      </w:pPr>
      <w:r>
        <w:rPr>
          <w:rFonts w:ascii="Arial" w:hAnsi="Arial" w:eastAsia="Arial" w:cs="Arial"/>
        </w:rPr>
        <w:t>Løftet på endens tid: Åpenbaringen av Elias’ rolle før Herrens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Ahyɛde a etwa to wɔ Apam Dedaw no mu ne sɛ, ansa na Awurade da kɛse ne hu no aba no, Elia bɛba.</w:t>
      </w:r>
    </w:p>
    <w:p>
      <w:pPr>
        <w:pStyle w:val="ArticleScripture"/>
        <w:jc w:val="left"/>
      </w:pPr>
      <w:r>
        <w:rPr>
          <w:rFonts w:ascii="Times New Roman" w:hAnsi="Times New Roman" w:eastAsia="Times New Roman" w:cs="Times New Roman"/>
        </w:rPr>
        <w:t>Souvenez-vous de la loi de Moïse, mon serviteur, à qui j’ai prescrit en Horeb, pour tout Israël, des statuts et des ordonnances. Voici, je vous enverrai Élie, le prophète, avant que vienne le jour de l’Éternel, ce jour grand et redoutable. Il ramènera le cœur des pères à leurs enfants, et le cœur des enfants à leurs pères, de peur que je ne vienne frapper le pays d’interdit. Malachie 4:4–5.</w:t>
      </w:r>
    </w:p>
    <w:p>
      <w:pPr>
        <w:pStyle w:val="ArticleBody"/>
        <w:jc w:val="left"/>
      </w:pPr>
      <w:r>
        <w:rPr>
          <w:rFonts w:ascii="Times New Roman" w:hAnsi="Times New Roman" w:eastAsia="Times New Roman" w:cs="Times New Roman"/>
        </w:rPr>
        <w:t>Elie wui bae kam bifo “bigfala mo fraet dei blong Hae God,” hem i wan wanfala mesenja, mo tu hem i muvmen we i joen wetem mesis we mesenja ia i talemaot. From hemia, Elie we oli sanem hem, hemia olketa handred foeti-fo taosen we oli no save tesem ded, stret olsem Enok mo Elie tufala i representem. Oli ia nao olketa we bae oli leftemap olketa olsem wan ensain long Sande loa we klosap nao i kam.</w:t>
      </w:r>
    </w:p>
    <w:p>
      <w:pPr>
        <w:pStyle w:val="ArticleBody"/>
        <w:jc w:val="left"/>
      </w:pPr>
      <w:r>
        <w:rPr>
          <w:rFonts w:ascii="Times New Roman" w:hAnsi="Times New Roman" w:eastAsia="Times New Roman" w:cs="Times New Roman"/>
        </w:rPr>
        <w:t>Elie en los postreros días fue también representado por Juan el Bautista; pero Juan no representó a los ciento cuarenta y cuatro mil. Él representó a aquellos que se unen al movimiento y aceptan el mensaje del mensajero del último día, quienes luego son asesinados por el papado en la hora de la crisis de la ley dominical que comienza con la inminente ley dominical y termina cuando Miguel se levanta y el papado llega a su fin sin que haya quien le ayude.</w:t>
      </w:r>
    </w:p>
    <w:p>
      <w:pPr>
        <w:pStyle w:val="ArticleBody"/>
        <w:jc w:val="left"/>
      </w:pPr>
      <w:r>
        <w:rPr>
          <w:rFonts w:ascii="Times New Roman" w:hAnsi="Times New Roman" w:eastAsia="Times New Roman" w:cs="Times New Roman"/>
        </w:rPr>
        <w:t>Élie est représenté sur le mont Carmel, et Jean est représenté dans la salle de banquet d’Hérode. Ces deux témoins historiques identifient les deux groupes du peuple de Dieu des derniers jours, représentés au chapitre sept de l’Apocalypse. Les cent quarante-quatre mille et la grande foule correspondent au mont Carmel et au festin de l’anniversaire d’Hérode. Ces deux lignes prophétiques fournissent un point de référence solide pour identifier avec soin les éléments de la huitième tête, laquelle est issue des sept têtes d’Apocalypse dix-sept, avec suffisamment de détails prophétiques pour préciser comment et pourquoi le dernier président, qui est le huitième président issu des sept, devient le grand dictateur des États-Unis dans les derniers mouvements du sixième royaume de la prophétie biblique.</w:t>
      </w:r>
    </w:p>
    <w:p>
      <w:pPr>
        <w:pStyle w:val="ArticleBody"/>
        <w:jc w:val="left"/>
      </w:pPr>
      <w:r>
        <w:rPr>
          <w:rFonts w:ascii="Times New Roman" w:hAnsi="Times New Roman" w:eastAsia="Times New Roman" w:cs="Times New Roman"/>
        </w:rPr>
        <w:t>В воскресном законе осуществляется тройственный союз.</w:t>
      </w:r>
    </w:p>
    <w:p>
      <w:pPr>
        <w:pStyle w:val="ArticleScripture"/>
        <w:jc w:val="left"/>
      </w:pPr>
      <w:r>
        <w:rPr>
          <w:rFonts w:ascii="Times New Roman" w:hAnsi="Times New Roman" w:eastAsia="Times New Roman" w:cs="Times New Roman"/>
        </w:rPr>
        <w:t>«Fa a ɛde ahyɛdeɛ bɛhyɛ Papacy no ase sɛdeɛ ɛtia Onyankopɔn mmara no, yɛn man no bɛtwa ne ho afiri tenenee ho koraa. Sɛ Protestantism bɛtrɛw ne nsa atwa bun no so akɔsɔ Roman tumi no nsa mu, sɛ ɔbɛtrɛw akɔtra amoa no so akyekyere ne nsa ne Spiritualism deɛ, sɛ saa nkabom mmiɛnsa yi nkɛntɛnsoɔ ase no, yɛn man no bɛpo ne Mmara Titen no nnyinasosɛm biara a ɛma no yɛ Protestant ne amansin-manmu nnisoɔ, na ɔbɛyɛ nhyehyɛeɛ ama papal atoro ne nnaadaa atrɛw no, ɛno na yɛbɛhunu sɛ bere no adu ama Satan nneyɛeɛ nwanwasoɔ no, na awieeɛ no abɛn.» Testimonies, volume 5, 451.</w:t>
      </w:r>
    </w:p>
    <w:p>
      <w:pPr>
        <w:pStyle w:val="ArticleBody"/>
        <w:jc w:val="left"/>
      </w:pP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ꯆꯪꯂꯤ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ꯄꯨꯌꯥ</w:t>
      </w:r>
      <w:r>
        <w:rPr>
          <w:rFonts w:ascii="Times New Roman" w:hAnsi="Times New Roman" w:eastAsia="Times New Roman" w:cs="Times New Roman"/>
        </w:rPr>
        <w:t xml:space="preserve"> </w:t>
      </w:r>
      <w:r>
        <w:rPr>
          <w:rFonts w:ascii="Nirmala UI" w:hAnsi="Nirmala UI" w:eastAsia="Nirmala UI" w:cs="Nirmala UI"/>
        </w:rPr>
        <w:t>ꯋꯥꯍꯩꯒꯤ</w:t>
      </w:r>
      <w:r>
        <w:rPr>
          <w:rFonts w:ascii="Times New Roman" w:hAnsi="Times New Roman" w:eastAsia="Times New Roman" w:cs="Times New Roman"/>
        </w:rPr>
        <w:t xml:space="preserve"> </w:t>
      </w:r>
      <w:r>
        <w:rPr>
          <w:rFonts w:ascii="Nirmala UI" w:hAnsi="Nirmala UI" w:eastAsia="Nirmala UI" w:cs="Nirmala UI"/>
        </w:rPr>
        <w:t>ꯍꯤꯔꯝ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ꯗꯤꯀ꯭ꯔꯤ</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ꯃꯑꯣꯡꯑꯗꯨꯗ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ꯁꯥꯗꯥꯔ</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ꯗꯤꯀ꯭ꯔꯤ</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ꯏꯁ꯭ꯇꯦꯠꯁꯅ</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ꯃꯍꯥꯏ</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ꯂꯩꯃꯥꯏ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ꯑꯣꯏꯇꯅ</w:t>
      </w:r>
      <w:r>
        <w:rPr>
          <w:rFonts w:ascii="Times New Roman" w:hAnsi="Times New Roman" w:eastAsia="Times New Roman" w:cs="Times New Roman"/>
        </w:rPr>
        <w:t xml:space="preserve"> </w:t>
      </w:r>
      <w:r>
        <w:rPr>
          <w:rFonts w:ascii="Nirmala UI" w:hAnsi="Nirmala UI" w:eastAsia="Nirmala UI" w:cs="Nirmala UI"/>
        </w:rPr>
        <w:t>ꯂꯣꯏꯔꯛꯄꯅꯤ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ꯃꯍꯥꯏ</w:t>
      </w:r>
      <w:r>
        <w:rPr>
          <w:rFonts w:ascii="Times New Roman" w:hAnsi="Times New Roman" w:eastAsia="Times New Roman" w:cs="Times New Roman"/>
        </w:rPr>
        <w:t xml:space="preserve"> </w:t>
      </w:r>
      <w:r>
        <w:rPr>
          <w:rFonts w:ascii="Nirmala UI" w:hAnsi="Nirmala UI" w:eastAsia="Nirmala UI" w:cs="Nirmala UI"/>
        </w:rPr>
        <w:t>ꯇꯔꯦꯠꯇ</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ꯍꯧꯗꯣꯛꯄꯅꯤ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ꯃꯍꯥꯏ</w:t>
      </w:r>
      <w:r>
        <w:rPr>
          <w:rFonts w:ascii="Times New Roman" w:hAnsi="Times New Roman" w:eastAsia="Times New Roman" w:cs="Times New Roman"/>
        </w:rPr>
        <w:t xml:space="preserve"> </w:t>
      </w:r>
      <w:r>
        <w:rPr>
          <w:rFonts w:ascii="Nirmala UI" w:hAnsi="Nirmala UI" w:eastAsia="Nirmala UI" w:cs="Nirmala UI"/>
        </w:rPr>
        <w:t>ꯇꯔꯦꯠꯇ</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ꯂꯩꯃꯥꯏ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ꯁꯥꯅꯥꯎꯕꯥ</w:t>
      </w:r>
      <w:r>
        <w:rPr>
          <w:rFonts w:ascii="Times New Roman" w:hAnsi="Times New Roman" w:eastAsia="Times New Roman" w:cs="Times New Roman"/>
        </w:rPr>
        <w:t xml:space="preserve"> </w:t>
      </w:r>
      <w:r>
        <w:rPr>
          <w:rFonts w:ascii="Nirmala UI" w:hAnsi="Nirmala UI" w:eastAsia="Nirmala UI" w:cs="Nirmala UI"/>
        </w:rPr>
        <w:t>ꯃꯔꯨꯞ</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ꯄꯤꯕꯥꯒꯤ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ꯏꯖꯥꯖꯠ</w:t>
      </w:r>
      <w:r>
        <w:rPr>
          <w:rFonts w:ascii="Times New Roman" w:hAnsi="Times New Roman" w:eastAsia="Times New Roman" w:cs="Times New Roman"/>
        </w:rPr>
        <w:t xml:space="preserve"> </w:t>
      </w:r>
      <w:r>
        <w:rPr>
          <w:rFonts w:ascii="Nirmala UI" w:hAnsi="Nirmala UI" w:eastAsia="Nirmala UI" w:cs="Nirmala UI"/>
        </w:rPr>
        <w:t>ꯄꯤ꯫</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ꯃꯥꯏꯊꯥ</w:t>
      </w:r>
      <w:r>
        <w:rPr>
          <w:rFonts w:ascii="Times New Roman" w:hAnsi="Times New Roman" w:eastAsia="Times New Roman" w:cs="Times New Roman"/>
        </w:rPr>
        <w:t xml:space="preserve"> </w:t>
      </w:r>
      <w:r>
        <w:rPr>
          <w:rFonts w:ascii="Nirmala UI" w:hAnsi="Nirmala UI" w:eastAsia="Nirmala UI" w:cs="Nirmala UI"/>
        </w:rPr>
        <w:t>ꯄꯨꯖꯔꯛꯄ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ꯗ꯭ꯔꯦꯒꯟꯅ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ꯐꯤꯕꯝ</w:t>
      </w:r>
      <w:r>
        <w:rPr>
          <w:rFonts w:ascii="Times New Roman" w:hAnsi="Times New Roman" w:eastAsia="Times New Roman" w:cs="Times New Roman"/>
        </w:rPr>
        <w:t xml:space="preserve"> </w:t>
      </w:r>
      <w:r>
        <w:rPr>
          <w:rFonts w:ascii="Nirmala UI" w:hAnsi="Nirmala UI" w:eastAsia="Nirmala UI" w:cs="Nirmala UI"/>
        </w:rPr>
        <w:t>ꯂꯧꯊꯣꯛꯏ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ꯆꯥꯅ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ꯂꯩꯃꯥꯏ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ꯊꯥꯏꯕ</w:t>
      </w:r>
      <w:r>
        <w:rPr>
          <w:rFonts w:ascii="Times New Roman" w:hAnsi="Times New Roman" w:eastAsia="Times New Roman" w:cs="Times New Roman"/>
        </w:rPr>
        <w:t xml:space="preserve"> </w:t>
      </w:r>
      <w:r>
        <w:rPr>
          <w:rFonts w:ascii="Nirmala UI" w:hAnsi="Nirmala UI" w:eastAsia="Nirmala UI" w:cs="Nirmala UI"/>
        </w:rPr>
        <w:t>ꯃꯔꯨꯞ</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w:t>
      </w:r>
    </w:p>
    <w:p>
      <w:pPr>
        <w:pStyle w:val="ArticleBody"/>
        <w:jc w:val="left"/>
      </w:pPr>
      <w:r>
        <w:rPr>
          <w:rFonts w:ascii="Times New Roman" w:hAnsi="Times New Roman" w:eastAsia="Times New Roman" w:cs="Times New Roman"/>
        </w:rPr>
        <w:t>Ku Musozi Karumeli hari abahanuzi ba Baali magana ane na mirongo etaano, kandi hari n’abahanuzi magana ane b’igiti cyera bari i Samariya barira ku meza ya Yezeberi.</w:t>
      </w:r>
    </w:p>
    <w:p>
      <w:pPr>
        <w:pStyle w:val="ArticleScripture"/>
        <w:jc w:val="left"/>
      </w:pPr>
      <w:r>
        <w:rPr>
          <w:rFonts w:ascii="Times New Roman" w:hAnsi="Times New Roman" w:eastAsia="Times New Roman" w:cs="Times New Roman"/>
        </w:rPr>
        <w:t>إذًا الآن أرسل واجمع إليَّ كل إسرائيل إلى جبل الكرمل، وأنبياء البعل أربع مئة وخمسين، وأنبياء السواري أربع مئة، الذين يأكلون على مائدة إيزابل. ١ ملوك 18:19.</w:t>
      </w:r>
    </w:p>
    <w:p>
      <w:pPr>
        <w:pStyle w:val="ArticleBody"/>
        <w:jc w:val="left"/>
      </w:pPr>
      <w:r>
        <w:rPr>
          <w:rFonts w:ascii="Times New Roman" w:hAnsi="Times New Roman" w:eastAsia="Times New Roman" w:cs="Times New Roman"/>
        </w:rPr>
        <w:t>Élie désigne l’affrontement du mont Carmel comme une controverse, non seulement quant à savoir qui était le vrai Dieu, mais aussi en ce qu’il s’agissait d’une controverse sur l’identité du véritable prophète.</w:t>
      </w:r>
    </w:p>
    <w:p>
      <w:pPr>
        <w:pStyle w:val="ArticleScripture"/>
        <w:jc w:val="left"/>
      </w:pPr>
      <w:r>
        <w:rPr>
          <w:rFonts w:ascii="Times New Roman" w:hAnsi="Times New Roman" w:eastAsia="Times New Roman" w:cs="Times New Roman"/>
        </w:rPr>
        <w:t>Ngakho u-Eliya wathi kubantu, Mina, yimi ngedwa osele ngingumprofethi kaJehova; kepha abaprofethi bakaBali bangamadoda angamakhulu amane namashumi ayisihlanu. 1 AmaKhosi 18:22.</w:t>
      </w:r>
    </w:p>
    <w:p>
      <w:pPr>
        <w:pStyle w:val="ArticleBody"/>
        <w:jc w:val="left"/>
      </w:pPr>
      <w:r>
        <w:rPr>
          <w:rFonts w:ascii="Times New Roman" w:hAnsi="Times New Roman" w:eastAsia="Times New Roman" w:cs="Times New Roman"/>
        </w:rPr>
        <w:t>Lorsque l’offrande d’Élie fut consumée par le feu qui descendit du ciel, il égorgea ensuite de ses propres mains les quatre cent cinquante prophètes de Baal.</w:t>
      </w:r>
    </w:p>
    <w:p>
      <w:pPr>
        <w:pStyle w:val="ArticleScripture"/>
        <w:jc w:val="left"/>
      </w:pPr>
      <w:r>
        <w:rPr>
          <w:rFonts w:ascii="Times New Roman" w:hAnsi="Times New Roman" w:eastAsia="Times New Roman" w:cs="Times New Roman"/>
        </w:rPr>
        <w:t>Na Elia alobaki na bango: Bokanga baprofeta ya Baala; tika te ata moko na bango akima. Bongo bakangaki bango; mpe Elia akitisaki bango na ebale Kishoni, mpe abomaki bango kuna. 1 Bakonzi 18:40.</w:t>
      </w:r>
    </w:p>
    <w:p>
      <w:pPr>
        <w:pStyle w:val="ArticleBody"/>
        <w:jc w:val="left"/>
      </w:pPr>
      <w:r>
        <w:rPr>
          <w:rFonts w:ascii="Times New Roman" w:hAnsi="Times New Roman" w:eastAsia="Times New Roman" w:cs="Times New Roman"/>
        </w:rPr>
        <w:t>Baal était une fausse divinité masculine, et les quatre cents prophètes du bosquet, qui étaient encore avec Jézabel, mangeant à sa table dans la ville de Samarie, étaient les prophètes de la divinité féminine, Astarté. La divinité féminine survécut au massacre des prophètes du mont Carmel par Élie.</w:t>
      </w:r>
    </w:p>
    <w:p>
      <w:pPr>
        <w:pStyle w:val="ArticleScripture"/>
        <w:jc w:val="left"/>
      </w:pPr>
      <w:r>
        <w:rPr>
          <w:rFonts w:ascii="Times New Roman" w:hAnsi="Times New Roman" w:eastAsia="Times New Roman" w:cs="Times New Roman"/>
        </w:rPr>
        <w:t>“دا هغه خلک چې پر غره دي، د نالیدلي خدای په وړاندې په وېره او هیبت کې پر مخ پرېوځي. هغوی نه شي کولای هغه روښانه، سوځوونکی اور ته وګوري چې له آسمانه رالېږل شوی دی. هغوی وېریږي چې د خپلې ارتداد او ګناهونو له امله به له منځه یووړل شي. هغوی په یوه غږ فریاد کوي، داسې غږ چې پر غره خپرېږي او لاندې دښتو ته په وېروونکې څرګندتیا سره انګازې کوي: ‘رب، هماغه خدای دی؛ رب، هماغه خدای دی.’ اسرائیل په پای کې راویښ شوی او له فریب څخه خلاص شوی دی. هغوی خپله ګناه ویني او دا چې خدای ته یې څومره سپکاوی کړی دی. د بعل د پیغمبرانو پر ضد د هغوی قهر راپارېږي. احاب او د بعل کاهنانو په سختې وېرې سره د یهوه د قدرت دا عجیبه څرګندونه ولیده. یو ځل بیا، د حکم په حیرانوونکو الفاظو کې، د ایلیا غږ خلکو ته اورېدل کېږي: ‘د بعل پیغمبران ونیسئ؛ مه پرېږدئ چې یو هم ترې وتښتي.’ او خلک د ایلیا د وینا د منلو لپاره چمتو وو. هغوی هغه درواغجن پیغمبران ونیول چې دوکه یې ورکړې وه، او د قیشون ویالې ته یې راوستل، او هلته ایلیا په خپله لاس دغه بت‌پرست کاهنان ووژل.” Review and Herald, October 7, 1873.</w:t>
      </w:r>
    </w:p>
    <w:p>
      <w:pPr>
        <w:pStyle w:val="ArticleBody"/>
        <w:jc w:val="left"/>
      </w:pPr>
      <w:r>
        <w:rPr>
          <w:rFonts w:ascii="Myanmar Text" w:hAnsi="Myanmar Text" w:eastAsia="Myanmar Text" w:cs="Myanmar Text"/>
        </w:rPr>
        <w:t>ငါးတောင်</w:t>
      </w:r>
      <w:r>
        <w:rPr>
          <w:rFonts w:ascii="Times New Roman" w:hAnsi="Times New Roman" w:eastAsia="Times New Roman" w:cs="Times New Roman"/>
        </w:rPr>
        <w:t xml:space="preserve"> </w:t>
      </w:r>
      <w:r>
        <w:rPr>
          <w:rFonts w:ascii="Myanmar Text" w:hAnsi="Myanmar Text" w:eastAsia="Myanmar Text" w:cs="Myanmar Text"/>
        </w:rPr>
        <w:t>ကာမေလသည်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လာမည့်</w:t>
      </w:r>
      <w:r>
        <w:rPr>
          <w:rFonts w:ascii="Times New Roman" w:hAnsi="Times New Roman" w:eastAsia="Times New Roman" w:cs="Times New Roman"/>
        </w:rPr>
        <w:t xml:space="preserve"> </w:t>
      </w:r>
      <w:r>
        <w:rPr>
          <w:rFonts w:ascii="Myanmar Text" w:hAnsi="Myanmar Text" w:eastAsia="Myanmar Text" w:cs="Myanmar Text"/>
        </w:rPr>
        <w:t>တနင်္ဂနွေဥပဒေကို</w:t>
      </w:r>
      <w:r>
        <w:rPr>
          <w:rFonts w:ascii="Times New Roman" w:hAnsi="Times New Roman" w:eastAsia="Times New Roman" w:cs="Times New Roman"/>
        </w:rPr>
        <w:t xml:space="preserve"> </w:t>
      </w:r>
      <w:r>
        <w:rPr>
          <w:rFonts w:ascii="Myanmar Text" w:hAnsi="Myanmar Text" w:eastAsia="Myanmar Text" w:cs="Myanmar Text"/>
        </w:rPr>
        <w:t>ပုံဆောင်ပြသသည်။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တစ်ရာလေးဆယ့်လေးထောင်၏</w:t>
      </w:r>
      <w:r>
        <w:rPr>
          <w:rFonts w:ascii="Times New Roman" w:hAnsi="Times New Roman" w:eastAsia="Times New Roman" w:cs="Times New Roman"/>
        </w:rPr>
        <w:t xml:space="preserve"> </w:t>
      </w:r>
      <w:r>
        <w:rPr>
          <w:rFonts w:ascii="Myanmar Text" w:hAnsi="Myanmar Text" w:eastAsia="Myanmar Text" w:cs="Myanmar Text"/>
        </w:rPr>
        <w:t>အလံတော်</w:t>
      </w:r>
      <w:r>
        <w:rPr>
          <w:rFonts w:ascii="Times New Roman" w:hAnsi="Times New Roman" w:eastAsia="Times New Roman" w:cs="Times New Roman"/>
        </w:rPr>
        <w:t xml:space="preserve"> (</w:t>
      </w:r>
      <w:r>
        <w:rPr>
          <w:rFonts w:ascii="Myanmar Text" w:hAnsi="Myanmar Text" w:eastAsia="Myanmar Text" w:cs="Myanmar Text"/>
        </w:rPr>
        <w:t>ဧလိယာအားဖြင့်</w:t>
      </w:r>
      <w:r>
        <w:rPr>
          <w:rFonts w:ascii="Times New Roman" w:hAnsi="Times New Roman" w:eastAsia="Times New Roman" w:cs="Times New Roman"/>
        </w:rPr>
        <w:t xml:space="preserve"> </w:t>
      </w:r>
      <w:r>
        <w:rPr>
          <w:rFonts w:ascii="Myanmar Text" w:hAnsi="Myanmar Text" w:eastAsia="Myanmar Text" w:cs="Myanmar Text"/>
        </w:rPr>
        <w:t>ပုံဆောင်ထားသော</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မြှင့်တင်တော်မူလိမ့်မည်။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ဦးချိုသည်</w:t>
      </w:r>
      <w:r>
        <w:rPr>
          <w:rFonts w:ascii="Times New Roman" w:hAnsi="Times New Roman" w:eastAsia="Times New Roman" w:cs="Times New Roman"/>
        </w:rPr>
        <w:t xml:space="preserve"> </w:t>
      </w:r>
      <w:r>
        <w:rPr>
          <w:rFonts w:ascii="Myanmar Text" w:hAnsi="Myanmar Text" w:eastAsia="Myanmar Text" w:cs="Myanmar Text"/>
        </w:rPr>
        <w:t>ယေဇဗေလ၏</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စားသောက်လျက်</w:t>
      </w:r>
      <w:r>
        <w:rPr>
          <w:rFonts w:ascii="Times New Roman" w:hAnsi="Times New Roman" w:eastAsia="Times New Roman" w:cs="Times New Roman"/>
        </w:rPr>
        <w:t xml:space="preserve"> </w:t>
      </w:r>
      <w:r>
        <w:rPr>
          <w:rFonts w:ascii="Myanmar Text" w:hAnsi="Myanmar Text" w:eastAsia="Myanmar Text" w:cs="Myanmar Text"/>
        </w:rPr>
        <w:t>ရှမာရိ၌</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ဦးချိုနှင့်</w:t>
      </w:r>
      <w:r>
        <w:rPr>
          <w:rFonts w:ascii="Times New Roman" w:hAnsi="Times New Roman" w:eastAsia="Times New Roman" w:cs="Times New Roman"/>
        </w:rPr>
        <w:t xml:space="preserve"> </w:t>
      </w:r>
      <w:r>
        <w:rPr>
          <w:rFonts w:ascii="Myanmar Text" w:hAnsi="Myanmar Text" w:eastAsia="Myanmar Text" w:cs="Myanmar Text"/>
        </w:rPr>
        <w:t>ဆန့်ကျင်ဘက်အဖြစ်</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ဖော်ပြခံရသည်။</w:t>
      </w:r>
      <w:r>
        <w:rPr>
          <w:rFonts w:ascii="Times New Roman" w:hAnsi="Times New Roman" w:eastAsia="Times New Roman" w:cs="Times New Roman"/>
        </w:rPr>
        <w:t xml:space="preserve"> </w:t>
      </w:r>
      <w:r>
        <w:rPr>
          <w:rFonts w:ascii="Myanmar Text" w:hAnsi="Myanmar Text" w:eastAsia="Myanmar Text" w:cs="Myanmar Text"/>
        </w:rPr>
        <w:t>ထိုနေရာ၌ပင်</w:t>
      </w:r>
      <w:r>
        <w:rPr>
          <w:rFonts w:ascii="Times New Roman" w:hAnsi="Times New Roman" w:eastAsia="Times New Roman" w:cs="Times New Roman"/>
        </w:rPr>
        <w:t xml:space="preserve"> </w:t>
      </w:r>
      <w:r>
        <w:rPr>
          <w:rFonts w:ascii="Myanmar Text" w:hAnsi="Myanmar Text" w:eastAsia="Myanmar Text" w:cs="Myanmar Text"/>
        </w:rPr>
        <w:t>ကာမေလတောင်သို့</w:t>
      </w:r>
      <w:r>
        <w:rPr>
          <w:rFonts w:ascii="Times New Roman" w:hAnsi="Times New Roman" w:eastAsia="Times New Roman" w:cs="Times New Roman"/>
        </w:rPr>
        <w:t xml:space="preserve"> </w:t>
      </w:r>
      <w:r>
        <w:rPr>
          <w:rFonts w:ascii="Myanmar Text" w:hAnsi="Myanmar Text" w:eastAsia="Myanmar Text" w:cs="Myanmar Text"/>
        </w:rPr>
        <w:t>ဦးတည်လာသည့်</w:t>
      </w:r>
      <w:r>
        <w:rPr>
          <w:rFonts w:ascii="Times New Roman" w:hAnsi="Times New Roman" w:eastAsia="Times New Roman" w:cs="Times New Roman"/>
        </w:rPr>
        <w:t xml:space="preserve"> </w:t>
      </w:r>
      <w:r>
        <w:rPr>
          <w:rFonts w:ascii="Myanmar Text" w:hAnsi="Myanmar Text" w:eastAsia="Myanmar Text" w:cs="Myanmar Text"/>
        </w:rPr>
        <w:t>ကာလတစ်လျှောက်</w:t>
      </w:r>
      <w:r>
        <w:rPr>
          <w:rFonts w:ascii="Times New Roman" w:hAnsi="Times New Roman" w:eastAsia="Times New Roman" w:cs="Times New Roman"/>
        </w:rPr>
        <w:t xml:space="preserve"> </w:t>
      </w:r>
      <w:r>
        <w:rPr>
          <w:rFonts w:ascii="Myanmar Text" w:hAnsi="Myanmar Text" w:eastAsia="Myanmar Text" w:cs="Myanmar Text"/>
        </w:rPr>
        <w:t>အသင်းတော်နှင့်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နှစ်ရပ်လုံး၏</w:t>
      </w:r>
      <w:r>
        <w:rPr>
          <w:rFonts w:ascii="Times New Roman" w:hAnsi="Times New Roman" w:eastAsia="Times New Roman" w:cs="Times New Roman"/>
        </w:rPr>
        <w:t xml:space="preserve"> </w:t>
      </w:r>
      <w:r>
        <w:rPr>
          <w:rFonts w:ascii="Myanmar Text" w:hAnsi="Myanmar Text" w:eastAsia="Myanmar Text" w:cs="Myanmar Text"/>
        </w:rPr>
        <w:t>ဦးချို</w:t>
      </w:r>
      <w:r>
        <w:rPr>
          <w:rFonts w:ascii="Times New Roman" w:hAnsi="Times New Roman" w:eastAsia="Times New Roman" w:cs="Times New Roman"/>
        </w:rPr>
        <w:t xml:space="preserve"> </w:t>
      </w:r>
      <w:r>
        <w:rPr>
          <w:rFonts w:ascii="Myanmar Text" w:hAnsi="Myanmar Text" w:eastAsia="Myanmar Text" w:cs="Myanmar Text"/>
        </w:rPr>
        <w:t>ဖြစ်လာခဲ့သော</w:t>
      </w:r>
      <w:r>
        <w:rPr>
          <w:rFonts w:ascii="Times New Roman" w:hAnsi="Times New Roman" w:eastAsia="Times New Roman" w:cs="Times New Roman"/>
        </w:rPr>
        <w:t xml:space="preserve"> </w:t>
      </w:r>
      <w:r>
        <w:rPr>
          <w:rFonts w:ascii="Myanmar Text" w:hAnsi="Myanmar Text" w:eastAsia="Myanmar Text" w:cs="Myanmar Text"/>
        </w:rPr>
        <w:t>ရီပတ်ဘလီကန်</w:t>
      </w:r>
      <w:r>
        <w:rPr>
          <w:rFonts w:ascii="Times New Roman" w:hAnsi="Times New Roman" w:eastAsia="Times New Roman" w:cs="Times New Roman"/>
        </w:rPr>
        <w:t xml:space="preserve"> </w:t>
      </w:r>
      <w:r>
        <w:rPr>
          <w:rFonts w:ascii="Myanmar Text" w:hAnsi="Myanmar Text" w:eastAsia="Myanmar Text" w:cs="Myanmar Text"/>
        </w:rPr>
        <w:t>ဦးချိုသည်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ဆဋ္ဌမနိုင်ငံတော်အဖြစ်</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အဆုံးသို့</w:t>
      </w:r>
      <w:r>
        <w:rPr>
          <w:rFonts w:ascii="Times New Roman" w:hAnsi="Times New Roman" w:eastAsia="Times New Roman" w:cs="Times New Roman"/>
        </w:rPr>
        <w:t xml:space="preserve"> </w:t>
      </w:r>
      <w:r>
        <w:rPr>
          <w:rFonts w:ascii="Myanmar Text" w:hAnsi="Myanmar Text" w:eastAsia="Myanmar Text" w:cs="Myanmar Text"/>
        </w:rPr>
        <w:t>ရောက်လာသည်။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ကျန်ရှိနေသည်မှာ</w:t>
      </w:r>
      <w:r>
        <w:rPr>
          <w:rFonts w:ascii="Times New Roman" w:hAnsi="Times New Roman" w:eastAsia="Times New Roman" w:cs="Times New Roman"/>
        </w:rPr>
        <w:t xml:space="preserve"> </w:t>
      </w:r>
      <w:r>
        <w:rPr>
          <w:rFonts w:ascii="Myanmar Text" w:hAnsi="Myanmar Text" w:eastAsia="Myanmar Text" w:cs="Myanmar Text"/>
        </w:rPr>
        <w:t>အာဟပ်နှင့်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ဆယ်ဆ</w:t>
      </w:r>
      <w:r>
        <w:rPr>
          <w:rFonts w:ascii="Times New Roman" w:hAnsi="Times New Roman" w:eastAsia="Times New Roman" w:cs="Times New Roman"/>
        </w:rPr>
        <w:t xml:space="preserve"> </w:t>
      </w:r>
      <w:r>
        <w:rPr>
          <w:rFonts w:ascii="Myanmar Text" w:hAnsi="Myanmar Text" w:eastAsia="Myanmar Text" w:cs="Myanmar Text"/>
        </w:rPr>
        <w:t>အမျိုးသားနိုင်ငံ၊</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လွဲချော်သွားသော</w:t>
      </w:r>
      <w:r>
        <w:rPr>
          <w:rFonts w:ascii="Times New Roman" w:hAnsi="Times New Roman" w:eastAsia="Times New Roman" w:cs="Times New Roman"/>
        </w:rPr>
        <w:t xml:space="preserve"> </w:t>
      </w:r>
      <w:r>
        <w:rPr>
          <w:rFonts w:ascii="Myanmar Text" w:hAnsi="Myanmar Text" w:eastAsia="Myanmar Text" w:cs="Myanmar Text"/>
        </w:rPr>
        <w:t>ပရိုတက်စတင့်များနှင့်အတူ</w:t>
      </w:r>
      <w:r>
        <w:rPr>
          <w:rFonts w:ascii="Times New Roman" w:hAnsi="Times New Roman" w:eastAsia="Times New Roman" w:cs="Times New Roman"/>
        </w:rPr>
        <w:t xml:space="preserve"> </w:t>
      </w:r>
      <w:r>
        <w:rPr>
          <w:rFonts w:ascii="Myanmar Text" w:hAnsi="Myanmar Text" w:eastAsia="Myanmar Text" w:cs="Myanmar Text"/>
        </w:rPr>
        <w:t>စားသောက်ပွဲဝင်လျက်</w:t>
      </w:r>
      <w:r>
        <w:rPr>
          <w:rFonts w:ascii="Times New Roman" w:hAnsi="Times New Roman" w:eastAsia="Times New Roman" w:cs="Times New Roman"/>
        </w:rPr>
        <w:t xml:space="preserve"> </w:t>
      </w:r>
      <w:r>
        <w:rPr>
          <w:rFonts w:ascii="Myanmar Text" w:hAnsi="Myanmar Text" w:eastAsia="Myanmar Text" w:cs="Myanmar Text"/>
        </w:rPr>
        <w:t>ရှမာရိ၌</w:t>
      </w:r>
      <w:r>
        <w:rPr>
          <w:rFonts w:ascii="Times New Roman" w:hAnsi="Times New Roman" w:eastAsia="Times New Roman" w:cs="Times New Roman"/>
        </w:rPr>
        <w:t xml:space="preserve"> </w:t>
      </w:r>
      <w:r>
        <w:rPr>
          <w:rFonts w:ascii="Myanmar Text" w:hAnsi="Myanmar Text" w:eastAsia="Myanmar Text" w:cs="Myanmar Text"/>
        </w:rPr>
        <w:t>ပုန်းကွယ်နေခဲ့သော</w:t>
      </w:r>
      <w:r>
        <w:rPr>
          <w:rFonts w:ascii="Times New Roman" w:hAnsi="Times New Roman" w:eastAsia="Times New Roman" w:cs="Times New Roman"/>
        </w:rPr>
        <w:t xml:space="preserve"> </w:t>
      </w:r>
      <w:r>
        <w:rPr>
          <w:rFonts w:ascii="Myanmar Text" w:hAnsi="Myanmar Text" w:eastAsia="Myanmar Text" w:cs="Myanmar Text"/>
        </w:rPr>
        <w:t>ယေဇဗေလပင်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ဆဋ္ဌမနိုင်ငံတော်သည်</w:t>
      </w:r>
      <w:r>
        <w:rPr>
          <w:rFonts w:ascii="Times New Roman" w:hAnsi="Times New Roman" w:eastAsia="Times New Roman" w:cs="Times New Roman"/>
        </w:rPr>
        <w:t xml:space="preserve"> </w:t>
      </w:r>
      <w:r>
        <w:rPr>
          <w:rFonts w:ascii="Myanmar Text" w:hAnsi="Myanmar Text" w:eastAsia="Myanmar Text" w:cs="Myanmar Text"/>
        </w:rPr>
        <w:t>အဆုံးသတ်သွားပြီဖြစ်၍၊</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အကန့်အသတ်မရှိ</w:t>
      </w:r>
      <w:r>
        <w:rPr>
          <w:rFonts w:ascii="Times New Roman" w:hAnsi="Times New Roman" w:eastAsia="Times New Roman" w:cs="Times New Roman"/>
        </w:rPr>
        <w:t xml:space="preserve"> </w:t>
      </w:r>
      <w:r>
        <w:rPr>
          <w:rFonts w:ascii="Myanmar Text" w:hAnsi="Myanmar Text" w:eastAsia="Myanmar Text" w:cs="Myanmar Text"/>
        </w:rPr>
        <w:t>သွန်ချလာသည်။</w:t>
      </w:r>
    </w:p>
    <w:p>
      <w:pPr>
        <w:pStyle w:val="ArticleBody"/>
        <w:jc w:val="left"/>
      </w:pPr>
      <w:r>
        <w:rPr>
          <w:rFonts w:ascii="Times New Roman" w:hAnsi="Times New Roman" w:eastAsia="Times New Roman" w:cs="Times New Roman"/>
        </w:rPr>
        <w:t>À la fête d’anniversaire d’Hérode, Élie, représenté par Jean-Baptiste, se trouve dans la prison romaine, dans l’attente de la délivrance ou de la mort. Il n’y a pas de prophètes de Baal pour exécuter la danse de la séduction, mais seulement Salomé, la fille de Jézabel. Hérode et ses amis royaux sont ivres du vin de Babylone, car son anniversaire représente aussi la loi du dimanche, et toutes les nations commencèrent à boire le vin de Babylone le 11 septembre 2001, bien avant la loi du dimanche qui doit bientôt venir.</w:t>
      </w:r>
    </w:p>
    <w:p>
      <w:pPr>
        <w:pStyle w:val="ArticleScripture"/>
        <w:jc w:val="left"/>
      </w:pPr>
      <w:r>
        <w:rPr>
          <w:rFonts w:ascii="Times New Roman" w:hAnsi="Times New Roman" w:eastAsia="Times New Roman" w:cs="Times New Roman"/>
        </w:rPr>
        <w:t>Et après cela, je vis un autre ange descendre du ciel, ayant une grande puissance; et la terre fut illuminée de sa gloire. Et il cria avec force d’une voix puissante, disant: Babylone la grande est tombée, est tombée, et elle est devenue la demeure des démons, le repaire de tout esprit impur, et la cage de tout oiseau impur et odieux. Car toutes les nations ont bu du vin de la colère de sa fornication, et les rois de la terre se sont livrés à la fornication avec elle, et les marchands de la terre se sont enrichis par l’abondance de ses délices. Apocalypse 18:1–3.</w:t>
      </w:r>
    </w:p>
    <w:p>
      <w:pPr>
        <w:pStyle w:val="ArticleBody"/>
        <w:jc w:val="left"/>
      </w:pPr>
      <w:r>
        <w:rPr>
          <w:rFonts w:ascii="Times New Roman" w:hAnsi="Times New Roman" w:eastAsia="Times New Roman" w:cs="Times New Roman"/>
        </w:rPr>
        <w:t>یہ تینوں آیات اُس وقت پوری ہوئیں جب نیو یارک کی عظیم عمارتیں، یعنی جڑواں مینار، خدا کے ایک لمس سے گرا دیے گئے۔</w:t>
      </w:r>
    </w:p>
    <w:p>
      <w:pPr>
        <w:pStyle w:val="ArticleScripture"/>
        <w:jc w:val="left"/>
      </w:pPr>
      <w:r>
        <w:rPr>
          <w:rFonts w:ascii="Times New Roman" w:hAnsi="Times New Roman" w:eastAsia="Times New Roman" w:cs="Times New Roman"/>
        </w:rPr>
        <w:t>“Teraz přichází zpráva, že jsem prohlásila, že New York má být smeten přílivovou vlnou? To jsem nikdy neřekla. Řekla jsem, když jsem se dívala na tam vyrůstající veliké budovy, patro za patrem: ‘Jak strašné výjevy nastanou, až Pán povstane, aby hrozně otřásl zemí! Tehdy se naplní slova Zjevení 18,1–3.’ Celá osmnáctá kapitola Zjevení je varováním před tím, co přichází na zemi. Nemám však žádné zvláštní světlo ohledně toho, co přijde na New York, pouze vím, že jednoho dne budou tamní veliké budovy svrženy působením obracející a převracející Boží moci. Ze světla, které mi bylo dáno, vím, že ve světě je zkáza. Jedno slovo od Pána, jediný dotek jeho mocné síly, a tyto mohutné stavby padnou. Nastanou výjevy, jejichž děsivost si nedovedeme představit.” Review and Herald, 5. července 1906.</w:t>
      </w:r>
    </w:p>
    <w:p>
      <w:pPr>
        <w:pStyle w:val="ArticleBody"/>
        <w:jc w:val="left"/>
      </w:pPr>
      <w:r>
        <w:rPr>
          <w:rFonts w:ascii="Times New Roman" w:hAnsi="Times New Roman" w:eastAsia="Times New Roman" w:cs="Times New Roman"/>
        </w:rPr>
        <w:t>La loi dominicale imminente est représentée par la seconde voix d’Apocalypse, chapitre dix-huit, et elle représente le mont Carmel d’Achab ainsi que le banquet d’anniversaire d’Hérode. Hérodiade, qui est aussi Jézabel, n’est pas présente au festin d’ivresse d’Hérode, tout comme Jézabel était absente du mont Carmel. Jusqu’à la loi dominicale, elle a été oubliée durant les soixante-dix années symboliques du règne de la bête de la terre, le sixième royaume de la prophétie biblique. Lorsque Jézabel reçut sa blessure mortelle en 1798 et 1799, le sixième royaume (les États-Unis) commença son mandat en tant que sixième royaume de la prophétie biblique. Lorsque le sixième royaume prend fin, elle revient alors, se met à chanter ses chants et commet la fornication avec toutes les nations de la terre.</w:t>
      </w:r>
    </w:p>
    <w:p>
      <w:pPr>
        <w:pStyle w:val="ArticleBody"/>
        <w:jc w:val="left"/>
      </w:pPr>
      <w:r>
        <w:rPr>
          <w:rFonts w:ascii="Times New Roman" w:hAnsi="Times New Roman" w:eastAsia="Times New Roman" w:cs="Times New Roman"/>
        </w:rPr>
        <w:t>Na nyimbo zake za uasherati na divai zilianshwa kinabii tarehe 11 Septemba, 2001, lakini huo ulikuwa tu wakati wa maandalizi, kama ilivyowakilishwa na miaka thelathini tangu 508 hadi 538, mara ya kwanza alipochukua kiti cha enzi. Hata kufikia sheria ya Jumapili, wakati ufalme wa sita unapoangamizwa kwa mikono ya Eliya, amekuwa amefichwa katika Samaria. Wakati huo Yohana Mbatizaji anashikiliwa katika gereza lake, akingoja ama ukombozi au kifo.</w:t>
      </w:r>
    </w:p>
    <w:p>
      <w:pPr>
        <w:pStyle w:val="ArticleBody"/>
        <w:jc w:val="left"/>
      </w:pPr>
      <w:r>
        <w:rPr>
          <w:rFonts w:ascii="Times New Roman" w:hAnsi="Times New Roman" w:eastAsia="Times New Roman" w:cs="Times New Roman"/>
        </w:rPr>
        <w:t>هيرودس وأشرافُه من أصدقائه كانوا سكارى بخمرِ بابل، حين أدّت سالومة، ابنة هيروديا (إيزابل)، رقصتَها البالغةَ الإغواء، فأظهر هيرودس شهواته الشهوانيةَ وسفاحَ القربى الكامنَ فيه. وقد استولى عليه افتتانٌ كاملٌ بإغراءاتِ ربيبته الجنسية، فعرض لها ما يصل إلى نصف مملكته.</w:t>
      </w:r>
    </w:p>
    <w:p>
      <w:pPr>
        <w:pStyle w:val="ArticleScripture"/>
        <w:jc w:val="left"/>
      </w:pPr>
      <w:r>
        <w:rPr>
          <w:rFonts w:ascii="Times New Roman" w:hAnsi="Times New Roman" w:eastAsia="Times New Roman" w:cs="Times New Roman"/>
        </w:rPr>
        <w:t>And when a convenient day was come, that Herod on his birthday made a supper to his lords, high captains, and chief estates of Galilee; And when the daughter of the said Herodias came in, and danced, and pleased Herod and them that sat with him, the king said unto the damsel, Ask of me whatsoever thou wilt, and I will give it thee. And he sware unto her, Whatsoever thou shalt ask of me, I will give it thee, unto the half of my kingdom. And she went forth, and said unto her mother, What shall I ask? And she said, The head of John the Baptist. And she came in straightway with haste unto the king, and asked, saying, I will that thou give me by and by in a charger the head of John the Baptist. And the king was exceeding sorry; yet for his oath’s sake, and for their sakes which sat with him, he would not reject her. And immediately the king sent an executioner, and commanded his head to be brought: and he went and beheaded him in the prison, And brought his head in a charger, and gave it to the damsel: and the damsel gave it to her mother. Mark 6:21–28.</w:t>
      </w:r>
    </w:p>
    <w:p>
      <w:pPr>
        <w:pStyle w:val="ArticleBody"/>
        <w:jc w:val="left"/>
      </w:pPr>
      <w:r>
        <w:rPr>
          <w:rFonts w:ascii="Times New Roman" w:hAnsi="Times New Roman" w:eastAsia="Times New Roman" w:cs="Times New Roman"/>
        </w:rPr>
        <w:t>Ki vwa avan nan Revelasyon dizuit la te sonnen le 11 Septanm 2001, e dezyenm vwa a ap sonnen nan lalwa dimanch ki pral vini byento a. Dan listwar ki reprezante dan Jan sapit sis la, premye vwa 2001 an ti vwa Kris pe fer Lasanble son bann disip krwar ki zot bizin manz So laser e bwar So disan, parski Li ti vre Pen Lesyel. Sa lepok-la ti koumanse an Galile e ti fini avek enn pirifikasyon parmi So bann disip ki ti detourne ar Li dan Jan sapit SIS, verse SWASANT-SIS. Sa listwar-la ti koumanse an Galile avek enn tes alimanter, e ti fini avek aplikasion mark bebet la, kouma sa finn tipifye par nimero nom pap la, ki se SIS, SIS, SIS. Galile vedir “pwen tournan,” e le 11 Septanm 2001 ti enn “pwen tournan” profetik (Galile), e laniverser Erod ti an rapor avek lidership Galile. Vwa koumansman Revelasyon sapit dizuit la, ek vwa final Revelasyon dizuit la, toulede reprezant par Galile, ki enn pwen tournan.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ការបង្រៀនជាច្រើនត្រូវបានរៀនពីប្រវត្តិសាស្ត្រកាលកន្លងមក</w:t>
      </w:r>
      <w:r>
        <w:rPr>
          <w:rFonts w:ascii="Times New Roman" w:hAnsi="Times New Roman" w:eastAsia="Times New Roman" w:cs="Times New Roman"/>
        </w:rPr>
        <w:t xml:space="preserve"> </w:t>
      </w:r>
      <w:r>
        <w:rPr>
          <w:rFonts w:ascii="Leelawadee UI" w:hAnsi="Leelawadee UI" w:eastAsia="Leelawadee UI" w:cs="Leelawadee UI"/>
        </w:rPr>
        <w:t>ហើយបានហៅឲ្យយកចិត្តទុកដាក់ចំពោះការទាំងនេះ</w:t>
      </w:r>
      <w:r>
        <w:rPr>
          <w:rFonts w:ascii="Times New Roman" w:hAnsi="Times New Roman" w:eastAsia="Times New Roman" w:cs="Times New Roman"/>
        </w:rPr>
        <w:t xml:space="preserve"> </w:t>
      </w:r>
      <w:r>
        <w:rPr>
          <w:rFonts w:ascii="Leelawadee UI" w:hAnsi="Leelawadee UI" w:eastAsia="Leelawadee UI" w:cs="Leelawadee UI"/>
        </w:rPr>
        <w:t>ដើម្បីឲ្យមនុស្សទាំងអស់អាចយល់ថា</w:t>
      </w:r>
      <w:r>
        <w:rPr>
          <w:rFonts w:ascii="Times New Roman" w:hAnsi="Times New Roman" w:eastAsia="Times New Roman" w:cs="Times New Roman"/>
        </w:rPr>
        <w:t xml:space="preserve"> </w:t>
      </w:r>
      <w:r>
        <w:rPr>
          <w:rFonts w:ascii="Leelawadee UI" w:hAnsi="Leelawadee UI" w:eastAsia="Leelawadee UI" w:cs="Leelawadee UI"/>
        </w:rPr>
        <w:t>ព្រះជាម្ចាស់កំពុងធ្វើការតាមគន្លងដដែលនៅពេលនេះ</w:t>
      </w:r>
      <w:r>
        <w:rPr>
          <w:rFonts w:ascii="Times New Roman" w:hAnsi="Times New Roman" w:eastAsia="Times New Roman" w:cs="Times New Roman"/>
        </w:rPr>
        <w:t xml:space="preserve"> </w:t>
      </w:r>
      <w:r>
        <w:rPr>
          <w:rFonts w:ascii="Leelawadee UI" w:hAnsi="Leelawadee UI" w:eastAsia="Leelawadee UI" w:cs="Leelawadee UI"/>
        </w:rPr>
        <w:t>ដូចដែលទ្រង់តែងតែបានធ្វើជានិច្ច។</w:t>
      </w:r>
      <w:r>
        <w:rPr>
          <w:rFonts w:ascii="Times New Roman" w:hAnsi="Times New Roman" w:eastAsia="Times New Roman" w:cs="Times New Roman"/>
        </w:rPr>
        <w:t xml:space="preserve"> </w:t>
      </w:r>
      <w:r>
        <w:rPr>
          <w:rFonts w:ascii="Leelawadee UI" w:hAnsi="Leelawadee UI" w:eastAsia="Leelawadee UI" w:cs="Leelawadee UI"/>
        </w:rPr>
        <w:t>ព្រះហស្តរបស់ទ្រង់ត្រូវបានឃើញនៅក្នុងកិច្ចការរបស់ទ្រង់</w:t>
      </w:r>
      <w:r>
        <w:rPr>
          <w:rFonts w:ascii="Times New Roman" w:hAnsi="Times New Roman" w:eastAsia="Times New Roman" w:cs="Times New Roman"/>
        </w:rPr>
        <w:t xml:space="preserve"> </w:t>
      </w:r>
      <w:r>
        <w:rPr>
          <w:rFonts w:ascii="Leelawadee UI" w:hAnsi="Leelawadee UI" w:eastAsia="Leelawadee UI" w:cs="Leelawadee UI"/>
        </w:rPr>
        <w:t>និងនៅក្នុងចំណោមប្រជាជាតិនានានៅពេលនេះ</w:t>
      </w:r>
      <w:r>
        <w:rPr>
          <w:rFonts w:ascii="Times New Roman" w:hAnsi="Times New Roman" w:eastAsia="Times New Roman" w:cs="Times New Roman"/>
        </w:rPr>
        <w:t xml:space="preserve"> </w:t>
      </w:r>
      <w:r>
        <w:rPr>
          <w:rFonts w:ascii="Leelawadee UI" w:hAnsi="Leelawadee UI" w:eastAsia="Leelawadee UI" w:cs="Leelawadee UI"/>
        </w:rPr>
        <w:t>ដូចគ្នានឹងដែលបានឃើញជានិច្ចតាំងពីដំណឹងល្អត្រូវបានប្រកាសជាលើកដំបូងដល់អាដាមនៅសួនអេដែន។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«Hay períodos que constituyen puntos de inflexión en la historia de las naciones y de la iglesia. En la providencia de Dios, cuando llegan estas diversas crisis, se da la luz para ese tiempo. Si es recibida, hay progreso espiritual; si es rechazada, siguen la declinación espiritual y el naufragio. El Señor, en Su palabra, ha revelado la obra ofensiva del evangelio tal como ha sido llevada adelante en el pasado, y lo será en el futuro, hasta el conflicto final, cuando las agencias satánicas harán su último y asombroso movimiento». Bible Echo, 26 de agosto de 1895.</w:t>
      </w:r>
    </w:p>
    <w:p>
      <w:pPr>
        <w:pStyle w:val="ArticleBody"/>
        <w:jc w:val="left"/>
      </w:pPr>
      <w:r>
        <w:rPr>
          <w:rFonts w:ascii="Times New Roman" w:hAnsi="Times New Roman" w:eastAsia="Times New Roman" w:cs="Times New Roman"/>
        </w:rPr>
        <w:t>Galilée en 2001, et la Galilée au moment de la loi du dimanche imminente, indiquent quand la lumière de la pluie de l’arrière-saison est répandue. En 2001, ce fut une effusion mesurée, mais à la seconde voix elle est répandue sans mesure, comme le représente la prodigieuse effusion qui suivit le moment où Élie tua les prophètes de Baal, événement qui eut lieu lors de la fête d’anniversaire d’Hérode. L’anniversaire d’Hérode désigne la naissance du septième royaume de la prophétie biblique, lequel suit immédiatement la mort du royaume précédent. Les États-Unis commencèrent à régner en 1798, à la mort du cinquième royaume, et à la mort des prophètes de Baal, l’anniversaire du septième royaume est arrivé. Ce septième royaume est représenté par le royaume septuple d’Achab au nord, et par Hérode, représentant du royaume septuple du nord de la Rome païenne.</w:t>
      </w:r>
    </w:p>
    <w:p>
      <w:pPr>
        <w:pStyle w:val="ArticleScripture"/>
        <w:jc w:val="left"/>
      </w:pPr>
      <w:r>
        <w:rPr>
          <w:rFonts w:ascii="Times New Roman" w:hAnsi="Times New Roman" w:eastAsia="Times New Roman" w:cs="Times New Roman"/>
        </w:rPr>
        <w:t>Et les dix cornes que tu as vues sur la bête, celles-là haïront la prostituée, la rendront déserte et nue, mangeront sa chair, et la consumeront par le feu. Car Dieu a mis dans leurs cœurs d’exécuter son dessein, d’être d’un même avis, et de donner leur royaume à la bête, jusqu’à ce que les paroles de Dieu soient accomplies. Et la femme que tu as vue, c’est la grande ville, qui règne sur les rois de la terre. Apocalypse 17:16–18.</w:t>
      </w:r>
    </w:p>
    <w:p>
      <w:pPr>
        <w:pStyle w:val="ArticleBody"/>
        <w:jc w:val="left"/>
      </w:pPr>
      <w:r>
        <w:rPr>
          <w:rFonts w:ascii="Times New Roman" w:hAnsi="Times New Roman" w:eastAsia="Times New Roman" w:cs="Times New Roman"/>
        </w:rPr>
        <w:t>Herodes bewilligt, den Eid zu erfüllen, den er Salome geleistet hatte, und ihr das Haupt des Johannes zu geben; und sein Eid wurde als bis zur Hälfte seines Königreiches reichend dargestellt. Die zehn Könige der Vereinten Nationen kommen, ungeachtet ihres Hasses auf die Hure, überein, ihr siebentes Königreich dem achten Haupt zu geben, das von den sieben vorherigen Häuptern ist. Sie stimmen einem Königreich zu, das auf der Verbindung des weltweiten Staates mit ihrer weltweiten Kirche beruht. Doch die Ehe ist eine lateinische Ehe, nicht eine englische Ehe; denn ihre Ehe wird dadurch dargestellt, dass die „Frau“ „über die Könige“ herrscht. In einer lateinischen Ehe behält die Familie den Familiennamen der Frau, nicht den des Mannes; und der Name dieser zweifachen Ehe ist ein bedeutsames Element der prophetischen Darstellung.</w:t>
      </w:r>
    </w:p>
    <w:p>
      <w:pPr>
        <w:pStyle w:val="ArticleScripture"/>
        <w:jc w:val="left"/>
      </w:pPr>
      <w:r>
        <w:rPr>
          <w:rFonts w:ascii="Times New Roman" w:hAnsi="Times New Roman" w:eastAsia="Times New Roman" w:cs="Times New Roman"/>
        </w:rPr>
        <w:t>«</w:t>
      </w:r>
      <w:r>
        <w:rPr>
          <w:rFonts w:ascii="Ebrima" w:hAnsi="Ebrima" w:eastAsia="Ebrima" w:cs="Ebrima"/>
        </w:rPr>
        <w:t>ነገሥታትና</w:t>
      </w:r>
      <w:r>
        <w:rPr>
          <w:rFonts w:ascii="Times New Roman" w:hAnsi="Times New Roman" w:eastAsia="Times New Roman" w:cs="Times New Roman"/>
        </w:rPr>
        <w:t xml:space="preserve"> </w:t>
      </w:r>
      <w:r>
        <w:rPr>
          <w:rFonts w:ascii="Ebrima" w:hAnsi="Ebrima" w:eastAsia="Ebrima" w:cs="Ebrima"/>
        </w:rPr>
        <w:t>ገዥዎች</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አስተዳዳሪዎች</w:t>
      </w:r>
      <w:r>
        <w:rPr>
          <w:rFonts w:ascii="Times New Roman" w:hAnsi="Times New Roman" w:eastAsia="Times New Roman" w:cs="Times New Roman"/>
        </w:rPr>
        <w:t xml:space="preserve"> </w:t>
      </w:r>
      <w:r>
        <w:rPr>
          <w:rFonts w:ascii="Ebrima" w:hAnsi="Ebrima" w:eastAsia="Ebrima" w:cs="Ebrima"/>
        </w:rPr>
        <w:t>በራሳቸው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ተቃዋሚ</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አኑረዋል፤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ከቅዱሳን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ትእዛዛት</w:t>
      </w:r>
      <w:r>
        <w:rPr>
          <w:rFonts w:ascii="Times New Roman" w:hAnsi="Times New Roman" w:eastAsia="Times New Roman" w:cs="Times New Roman"/>
        </w:rPr>
        <w:t xml:space="preserve"> </w:t>
      </w:r>
      <w:r>
        <w:rPr>
          <w:rFonts w:ascii="Ebrima" w:hAnsi="Ebrima" w:eastAsia="Ebrima" w:cs="Ebrima"/>
        </w:rPr>
        <w:t>ከሚጠብቁትና</w:t>
      </w:r>
      <w:r>
        <w:rPr>
          <w:rFonts w:ascii="Times New Roman" w:hAnsi="Times New Roman" w:eastAsia="Times New Roman" w:cs="Times New Roman"/>
        </w:rPr>
        <w:t xml:space="preserve"> </w:t>
      </w:r>
      <w:r>
        <w:rPr>
          <w:rFonts w:ascii="Ebrima" w:hAnsi="Ebrima" w:eastAsia="Ebrima" w:cs="Ebrima"/>
        </w:rPr>
        <w:t>የኢየሱስን</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ካላቸው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ለማድረግ</w:t>
      </w:r>
      <w:r>
        <w:rPr>
          <w:rFonts w:ascii="Times New Roman" w:hAnsi="Times New Roman" w:eastAsia="Times New Roman" w:cs="Times New Roman"/>
        </w:rPr>
        <w:t xml:space="preserve"> </w:t>
      </w:r>
      <w:r>
        <w:rPr>
          <w:rFonts w:ascii="Ebrima" w:hAnsi="Ebrima" w:eastAsia="Ebrima" w:cs="Ebrima"/>
        </w:rPr>
        <w:t>የሚሄድ</w:t>
      </w:r>
      <w:r>
        <w:rPr>
          <w:rFonts w:ascii="Times New Roman" w:hAnsi="Times New Roman" w:eastAsia="Times New Roman" w:cs="Times New Roman"/>
        </w:rPr>
        <w:t xml:space="preserve"> </w:t>
      </w:r>
      <w:r>
        <w:rPr>
          <w:rFonts w:ascii="Ebrima" w:hAnsi="Ebrima" w:eastAsia="Ebrima" w:cs="Ebrima"/>
        </w:rPr>
        <w:t>ዘንዶ</w:t>
      </w:r>
      <w:r>
        <w:rPr>
          <w:rFonts w:ascii="Times New Roman" w:hAnsi="Times New Roman" w:eastAsia="Times New Roman" w:cs="Times New Roman"/>
        </w:rPr>
        <w:t xml:space="preserve"> </w:t>
      </w:r>
      <w:r>
        <w:rPr>
          <w:rFonts w:ascii="Ebrima" w:hAnsi="Ebrima" w:eastAsia="Ebrima" w:cs="Ebrima"/>
        </w:rPr>
        <w:t>እንደሆኑ</w:t>
      </w:r>
      <w:r>
        <w:rPr>
          <w:rFonts w:ascii="Times New Roman" w:hAnsi="Times New Roman" w:eastAsia="Times New Roman" w:cs="Times New Roman"/>
        </w:rPr>
        <w:t xml:space="preserve"> </w:t>
      </w:r>
      <w:r>
        <w:rPr>
          <w:rFonts w:ascii="Ebrima" w:hAnsi="Ebrima" w:eastAsia="Ebrima" w:cs="Ebrima"/>
        </w:rPr>
        <w:t>ተወክለዋል።</w:t>
      </w:r>
      <w:r>
        <w:rPr>
          <w:rFonts w:ascii="Times New Roman" w:hAnsi="Times New Roman" w:eastAsia="Times New Roman" w:cs="Times New Roman"/>
        </w:rPr>
        <w:t>» Testimonies to Ministers, 38.</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अध्ययनलाई</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लेखमा</w:t>
      </w:r>
      <w:r>
        <w:rPr>
          <w:rFonts w:ascii="Times New Roman" w:hAnsi="Times New Roman" w:eastAsia="Times New Roman" w:cs="Times New Roman"/>
        </w:rPr>
        <w:t xml:space="preserve"> </w:t>
      </w:r>
      <w:r>
        <w:rPr>
          <w:rFonts w:ascii="Nirmala UI" w:hAnsi="Nirmala UI" w:eastAsia="Nirmala UI" w:cs="Nirmala UI"/>
        </w:rPr>
        <w:t>निरन्तरता</w:t>
      </w:r>
      <w:r>
        <w:rPr>
          <w:rFonts w:ascii="Times New Roman" w:hAnsi="Times New Roman" w:eastAsia="Times New Roman" w:cs="Times New Roman"/>
        </w:rPr>
        <w:t xml:space="preserve"> </w:t>
      </w:r>
      <w:r>
        <w:rPr>
          <w:rFonts w:ascii="Nirmala UI" w:hAnsi="Nirmala UI" w:eastAsia="Nirmala UI" w:cs="Nirmala UI"/>
        </w:rPr>
        <w:t>दिनेछौं।</w:t>
      </w:r>
    </w:p>
    <w:p>
      <w:pPr>
        <w:pStyle w:val="ArticleScripture"/>
        <w:jc w:val="left"/>
      </w:pPr>
      <w:r>
        <w:rPr>
          <w:rFonts w:ascii="Times New Roman" w:hAnsi="Times New Roman" w:eastAsia="Times New Roman" w:cs="Times New Roman"/>
        </w:rPr>
        <w:t>Словото, което Амосовият син Исая видя за Юда и Йерусалим. И ще стане в последните дни, че планината на дома Господен ще се утвърди на върха на планините и ще се възвиси над хълмовете; и всички народи ще потекат към нея. И мнозина люде ще отидат и ще кажат: Елате, и нека възлезем на планината Господня, в дома на Якововия Бог; и Той ще ни научи на Своите пътища, и ние ще ходим в Неговите пътеки; защото от Сион ще излезе законът, и словото Господне от Йерусалим.... И в онзи ден седем жени ще се хванат за един мъж и ще кажат: Своя хляб ще ядем и свои дрехи ще носим; само нека се наричаме с твоето име, за да се отнеме нашият укор. В онзи ден Отрасълът Господен ще бъде прекрасен и славен, и плодът на земята ще бъде превъзходен и великолепен за онези от Израил, които са се избавили. И ще стане така, че онзи, който е останал в Сион, и онзи, който пребъдва в Йерусалим, ще се нарече свят, всеки, който е записан между живите в Йерусалим: когато Господ измие нечистотата на Сионовите дъщери и очисти кръвта на Йерусалим отсред него чрез дух на съд и чрез дух на изгаряне. Исая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quarante</dc:title>
  <dc:subject>Løftet på endens tid: Åpenbaringen av Elias’ rolle før Herrens dag</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