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чилу сеюм</w:t>
      </w:r>
    </w:p>
    <w:p>
      <w:pPr>
        <w:pStyle w:val="ArticleSubtitle"/>
        <w:jc w:val="left"/>
      </w:pPr>
      <w:r>
        <w:rPr>
          <w:rFonts w:ascii="Arial" w:hAnsi="Arial" w:eastAsia="Arial" w:cs="Arial"/>
        </w:rPr>
        <w:t>Dévoilement des schémas prophétiques : le dernier président et l’image de la bête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La première puissance des prophéties bibliques fut Babylone, et, dans le témoignage prophétique concernant Babylone, le premier et le dernier rois furent employés de manière précise et délibérée comme symboles prophétiques. Dans le second royaume, celui des Mèdes et des Perses, les deux premiers rois, dont l’un était celui qui publia le premier de trois décrets permettant à l’ancien Israël de retourner à Jérusalem, ainsi que les deux rois suivants qui promulguèrent le deuxième et le troisième décrets, furent expressément désignés. De même, le roi puissant représenté par Alexandre le Grand, ainsi que les généraux et les rois qui lui succédèrent dans l’histoire du troisième royaume, la Grèce, furent identifiés dans la parole prophétique. Le quatrième royaume, celui de la Rome païenne, traite spécifiquement des dirigeants et des empereurs de ce royaume.</w:t>
      </w:r>
    </w:p>
    <w:p>
      <w:pPr>
        <w:pStyle w:val="ArticleBody"/>
        <w:jc w:val="left"/>
      </w:pPr>
      <w:r>
        <w:rPr>
          <w:rFonts w:ascii="Times New Roman" w:hAnsi="Times New Roman" w:eastAsia="Times New Roman" w:cs="Times New Roman"/>
        </w:rPr>
        <w:t>Mafumu onse a Israeli, a maufumu a kumpoto ndi a kum’mwera, adadziwika, ndipo onsewo ndi zizindikiro m’Mawu aulosi a Mulungu, monganso mafumu a Asuri ndi Aferao a Iguputo. Lingaliro lakuti Mawu aulosi a Mulungu angalankhule kwenikweni za apurezidenti a United States lingamveke ngati losatheka kwa iwo amene ali ndi maso, koma sangathe kuzindikira, ndi makutu, koma sangathe kumvetsa. Koma kwenikweni n’kopanda nzeru kwambiri kuganiza kuti Mulungu sakanalankhula za apurezidenti a chilombo cha dziko lapansi cha Chivumbulutso 13, pamene chimenecho ndi malo oyambira ofunika kwambiri a maulosi a masiku otsiriza.</w:t>
      </w:r>
    </w:p>
    <w:p>
      <w:pPr>
        <w:pStyle w:val="ArticleBody"/>
        <w:jc w:val="left"/>
      </w:pPr>
      <w:r>
        <w:rPr>
          <w:rFonts w:ascii="Times New Roman" w:hAnsi="Times New Roman" w:eastAsia="Times New Roman" w:cs="Times New Roman"/>
        </w:rPr>
        <w:t>Rais wa mwisho wa Marekani angekuwa, kwa ulazima wa kinabii, ametolewa mfano wake na rais wa kwanza wa Marekani. Akiwa rais wa mwisho wa Chama cha Republican, angekuwa pia, kwa ulazima wa kinabii, ametolewa mfano wake na rais wa kwanza wa Chama cha Republican. Akiwa rais wa mwisho katika historia ya vuguvugu la mwisho la matengenezo, ametolewa pia mfano wake na rais wa kwanza wa kipindi hicho cha kinabii. Akiwa rais ambaye angetawala wakati wa vita vya mwisho na vya tatu vya dunia, angekuwa pia ametolewa mfano wake na marais waliotawala wakati wa vita vya kwanza na vya pili vya dunia.</w:t>
      </w:r>
    </w:p>
    <w:p>
      <w:pPr>
        <w:pStyle w:val="ArticleBody"/>
        <w:jc w:val="left"/>
      </w:pPr>
      <w:r>
        <w:rPr>
          <w:rFonts w:ascii="Times New Roman" w:hAnsi="Times New Roman" w:eastAsia="Times New Roman" w:cs="Times New Roman"/>
        </w:rPr>
        <w:t>Le tre guerre mondiali, tutte avvenute nella storia americana, rappresentano una triplice applicazione della profezia. La terza guerra mondiale, nella quale Joe Biden sta ora conducendo il pianeta Terra, è stata prefigurata dalla Prima guerra mondiale e dalla Seconda guerra mondiale. Nello stesso tempo, Biden sta guidando gli Stati Uniti verso una seconda guerra civile. Nei prossimi mesi, i movimenti profetici associati alla seconda guerra civile e alla terza guerra mondiale non faranno che intensificarsi, come una donna nelle doglie del parto.</w:t>
      </w:r>
    </w:p>
    <w:p>
      <w:pPr>
        <w:pStyle w:val="ArticleBody"/>
        <w:jc w:val="left"/>
      </w:pPr>
      <w:r>
        <w:rPr>
          <w:rFonts w:ascii="Times New Roman" w:hAnsi="Times New Roman" w:eastAsia="Times New Roman" w:cs="Times New Roman"/>
        </w:rPr>
        <w:t>Ụfọdụ okwu a ma ama sitere n’oge mmụba nke ọgbaaghara Agha Ụwa nke Abụọ, nke Martin Niemoller, onye ọkà mmụta okpukpe Jamanị na onye ụkọchukwu Lutheran, kwuru, bụ: “Nke mbụ, ha bịara maka ndị soshalist, ma ekwughị m okwu—n’ihi na abụghị m onye soshalist. Mgbe ahụ ha bịara maka ndị otu ọrụ, ma ekwughị m okwu—n’ihi na abụghị m onye otu ọrụ. Mgbe ahụ ha bịara maka ndị Juu, ma ekwughị m okwu—n’ihi na abụghị m onye Juu. Mgbe ahụ ha bịara maka m—ọ nweghịkwa onye fọdụrụ ikwu okwu n’ihi m.” Ka oge na-aga n’ihu n’ụzọ na-adịghị akwụsị akwụsị, anyị ga-eleghachi anya n’akụkọ ihe mere eme a dị ugbu a ma mata na omume ndị a na-eme ugbu a bụ n’ezie nzọụkwụ mmalite nke agha ikpeazụ nke akụkọ amụma.</w:t>
      </w:r>
    </w:p>
    <w:p>
      <w:pPr>
        <w:pStyle w:val="ArticleBody"/>
        <w:jc w:val="left"/>
      </w:pPr>
      <w:r>
        <w:rPr>
          <w:rFonts w:ascii="Times New Roman" w:hAnsi="Times New Roman" w:eastAsia="Times New Roman" w:cs="Times New Roman"/>
        </w:rPr>
        <w:t>1776</w:t>
      </w:r>
      <w:r>
        <w:rPr>
          <w:rFonts w:ascii="Malgun Gothic" w:hAnsi="Malgun Gothic" w:eastAsia="Malgun Gothic" w:cs="Malgun Gothic"/>
        </w:rPr>
        <w:t>년부터</w:t>
      </w:r>
      <w:r>
        <w:rPr>
          <w:rFonts w:ascii="Times New Roman" w:hAnsi="Times New Roman" w:eastAsia="Times New Roman" w:cs="Times New Roman"/>
        </w:rPr>
        <w:t xml:space="preserve"> 1798</w:t>
      </w:r>
      <w:r>
        <w:rPr>
          <w:rFonts w:ascii="Malgun Gothic" w:hAnsi="Malgun Gothic" w:eastAsia="Malgun Gothic" w:cs="Malgun Gothic"/>
        </w:rPr>
        <w:t>년까지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독립선언서와</w:t>
      </w:r>
      <w:r>
        <w:rPr>
          <w:rFonts w:ascii="Times New Roman" w:hAnsi="Times New Roman" w:eastAsia="Times New Roman" w:cs="Times New Roman"/>
        </w:rPr>
        <w:t xml:space="preserve"> </w:t>
      </w:r>
      <w:r>
        <w:rPr>
          <w:rFonts w:ascii="Malgun Gothic" w:hAnsi="Malgun Gothic" w:eastAsia="Malgun Gothic" w:cs="Malgun Gothic"/>
        </w:rPr>
        <w:t>헌법과</w:t>
      </w:r>
      <w:r>
        <w:rPr>
          <w:rFonts w:ascii="Times New Roman" w:hAnsi="Times New Roman" w:eastAsia="Times New Roman" w:cs="Times New Roman"/>
        </w:rPr>
        <w:t xml:space="preserve"> </w:t>
      </w:r>
      <w:r>
        <w:rPr>
          <w:rFonts w:ascii="Malgun Gothic" w:hAnsi="Malgun Gothic" w:eastAsia="Malgun Gothic" w:cs="Malgun Gothic"/>
        </w:rPr>
        <w:t>외국인</w:t>
      </w:r>
      <w:r>
        <w:rPr>
          <w:rFonts w:ascii="Times New Roman" w:hAnsi="Times New Roman" w:eastAsia="Times New Roman" w:cs="Times New Roman"/>
        </w:rPr>
        <w:t xml:space="preserve"> </w:t>
      </w:r>
      <w:r>
        <w:rPr>
          <w:rFonts w:ascii="Malgun Gothic" w:hAnsi="Malgun Gothic" w:eastAsia="Malgun Gothic" w:cs="Malgun Gothic"/>
        </w:rPr>
        <w:t>및</w:t>
      </w:r>
      <w:r>
        <w:rPr>
          <w:rFonts w:ascii="Times New Roman" w:hAnsi="Times New Roman" w:eastAsia="Times New Roman" w:cs="Times New Roman"/>
        </w:rPr>
        <w:t xml:space="preserve"> </w:t>
      </w:r>
      <w:r>
        <w:rPr>
          <w:rFonts w:ascii="Malgun Gothic" w:hAnsi="Malgun Gothic" w:eastAsia="Malgun Gothic" w:cs="Malgun Gothic"/>
        </w:rPr>
        <w:t>선동법이</w:t>
      </w:r>
      <w:r>
        <w:rPr>
          <w:rFonts w:ascii="Times New Roman" w:hAnsi="Times New Roman" w:eastAsia="Times New Roman" w:cs="Times New Roman"/>
        </w:rPr>
        <w:t xml:space="preserve"> </w:t>
      </w:r>
      <w:r>
        <w:rPr>
          <w:rFonts w:ascii="Malgun Gothic" w:hAnsi="Malgun Gothic" w:eastAsia="Malgun Gothic" w:cs="Malgun Gothic"/>
        </w:rPr>
        <w:t>이정표였던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기간에는</w:t>
      </w:r>
      <w:r>
        <w:rPr>
          <w:rFonts w:ascii="Times New Roman" w:hAnsi="Times New Roman" w:eastAsia="Times New Roman" w:cs="Times New Roman"/>
        </w:rPr>
        <w:t>,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일부터</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말하게</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때까지의</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전환점이었으며</w:t>
      </w:r>
      <w:r>
        <w:rPr>
          <w:rFonts w:ascii="Times New Roman" w:hAnsi="Times New Roman" w:eastAsia="Times New Roman" w:cs="Times New Roman"/>
        </w:rPr>
        <w:t xml:space="preserve">, </w:t>
      </w:r>
      <w:r>
        <w:rPr>
          <w:rFonts w:ascii="Malgun Gothic" w:hAnsi="Malgun Gothic" w:eastAsia="Malgun Gothic" w:cs="Malgun Gothic"/>
        </w:rPr>
        <w:t>독립선언서는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날짜와</w:t>
      </w:r>
      <w:r>
        <w:rPr>
          <w:rFonts w:ascii="Times New Roman" w:hAnsi="Times New Roman" w:eastAsia="Times New Roman" w:cs="Times New Roman"/>
        </w:rPr>
        <w:t xml:space="preserve"> </w:t>
      </w:r>
      <w:r>
        <w:rPr>
          <w:rFonts w:ascii="Malgun Gothic" w:hAnsi="Malgun Gothic" w:eastAsia="Malgun Gothic" w:cs="Malgun Gothic"/>
        </w:rPr>
        <w:t>일치한다</w:t>
      </w:r>
      <w:r>
        <w:rPr>
          <w:rFonts w:ascii="Times New Roman" w:hAnsi="Times New Roman" w:eastAsia="Times New Roman" w:cs="Times New Roman"/>
        </w:rPr>
        <w:t xml:space="preserve">. </w:t>
      </w:r>
      <w:r>
        <w:rPr>
          <w:rFonts w:ascii="Malgun Gothic" w:hAnsi="Malgun Gothic" w:eastAsia="Malgun Gothic" w:cs="Malgun Gothic"/>
        </w:rPr>
        <w:t>독립선언서는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독립전쟁을</w:t>
      </w:r>
      <w:r>
        <w:rPr>
          <w:rFonts w:ascii="Times New Roman" w:hAnsi="Times New Roman" w:eastAsia="Times New Roman" w:cs="Times New Roman"/>
        </w:rPr>
        <w:t xml:space="preserve"> </w:t>
      </w:r>
      <w:r>
        <w:rPr>
          <w:rFonts w:ascii="Malgun Gothic" w:hAnsi="Malgun Gothic" w:eastAsia="Malgun Gothic" w:cs="Malgun Gothic"/>
        </w:rPr>
        <w:t>표지하며</w:t>
      </w:r>
      <w:r>
        <w:rPr>
          <w:rFonts w:ascii="Times New Roman" w:hAnsi="Times New Roman" w:eastAsia="Times New Roman" w:cs="Times New Roman"/>
        </w:rPr>
        <w:t>, 2001</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애국자법이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전쟁의</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반복을</w:t>
      </w:r>
      <w:r>
        <w:rPr>
          <w:rFonts w:ascii="Times New Roman" w:hAnsi="Times New Roman" w:eastAsia="Times New Roman" w:cs="Times New Roman"/>
        </w:rPr>
        <w:t xml:space="preserve"> </w:t>
      </w:r>
      <w:r>
        <w:rPr>
          <w:rFonts w:ascii="Malgun Gothic" w:hAnsi="Malgun Gothic" w:eastAsia="Malgun Gothic" w:cs="Malgun Gothic"/>
        </w:rPr>
        <w:t>시작함을</w:t>
      </w:r>
      <w:r>
        <w:rPr>
          <w:rFonts w:ascii="Times New Roman" w:hAnsi="Times New Roman" w:eastAsia="Times New Roman" w:cs="Times New Roman"/>
        </w:rPr>
        <w:t xml:space="preserve"> </w:t>
      </w:r>
      <w:r>
        <w:rPr>
          <w:rFonts w:ascii="Malgun Gothic" w:hAnsi="Malgun Gothic" w:eastAsia="Malgun Gothic" w:cs="Malgun Gothic"/>
        </w:rPr>
        <w:t>드러낸다</w:t>
      </w:r>
      <w:r>
        <w:rPr>
          <w:rFonts w:ascii="Times New Roman" w:hAnsi="Times New Roman" w:eastAsia="Times New Roman" w:cs="Times New Roman"/>
        </w:rPr>
        <w:t>. “</w:t>
      </w:r>
      <w:r>
        <w:rPr>
          <w:rFonts w:ascii="Malgun Gothic" w:hAnsi="Malgun Gothic" w:eastAsia="Malgun Gothic" w:cs="Malgun Gothic"/>
        </w:rPr>
        <w:t>혁명</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말은</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원을</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뜻한다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Entre 1776 et 1798, la guerre d’Indépendance rejeta le pouvoir royal de l’Angleterre, ainsi que tous les rois en général. La Constitution imposa des restrictions non seulement au pouvoir royal, mais tout aussi résolument au pouvoir papiste. En 1798, le cercle (la révolution) s’était achevé par l’adoption de lois qui conféraient une autorité royale à un président.</w:t>
      </w:r>
    </w:p>
    <w:p>
      <w:pPr>
        <w:pStyle w:val="ArticleBody"/>
        <w:jc w:val="left"/>
      </w:pPr>
      <w:r>
        <w:rPr>
          <w:rFonts w:ascii="Times New Roman" w:hAnsi="Times New Roman" w:eastAsia="Times New Roman" w:cs="Times New Roman"/>
        </w:rPr>
        <w:t>Loi Patriot la make wan révolusion (wan rou) we i rich go na di bèt fu di ɛti we de tok lek dragɔn, usay dem de restore popish pawa tu. Di fɔs rou from 1776 go rich 1798 de identify wan profetik révolusion we de lead go na di restoration of kingly pawa, an di révolusion we i de typify de identify wan révolusion we de lead go na di restoration of popish pawa. Di sẹkọn Revolutionary War don de go on since September 11, 2001. Wetin mek dem for call am di Patriot Act if no to dat?</w:t>
      </w:r>
    </w:p>
    <w:p>
      <w:pPr>
        <w:pStyle w:val="ArticleBody"/>
        <w:jc w:val="left"/>
      </w:pPr>
      <w:r>
        <w:rPr>
          <w:rFonts w:ascii="Times New Roman" w:hAnsi="Times New Roman" w:eastAsia="Times New Roman" w:cs="Times New Roman"/>
        </w:rPr>
        <w:t>Avant d’aborder les guerres qui surviennent dans l’histoire du dernier président, nous poursuivrons l’examen des caractéristiques prophétiques de l’image de la bête. Il importe de reconnaître le contexte qui existe dans la formation de l’image de la bête, durant le dernier président. Ce président doit être un président républicain engagé dans une lutte contre des forces associées à la puissance du dragon. Il doit être le dernier, et par conséquent le huitième président dans une période de huit présidents. Dans les deux premières périodes des États-Unis, les deux Congrès continentaux, ces deux périodes furent toutes deux représentées par huit présidents, et toutes deux identifièrent l’un des huit présidents comme étant des sept. Ainsi, sur le témoignage de deux témoins au commencement, le dernier président doit être le huitième président, c’est-à-dire issu des sept.</w:t>
      </w:r>
    </w:p>
    <w:p>
      <w:pPr>
        <w:pStyle w:val="ArticleBody"/>
        <w:jc w:val="left"/>
      </w:pPr>
      <w:r>
        <w:rPr>
          <w:rFonts w:ascii="Times New Roman" w:hAnsi="Times New Roman" w:eastAsia="Times New Roman" w:cs="Times New Roman"/>
        </w:rPr>
        <w:t>Ni Donald Trump pekee ndiye anayetimiza vipengele hivi vya kinabii. Ili kuielewa kikamilifu mazingira ya kinabii ambayo Donald Trump yuko karibu kurithi, ni lazima kufahamu kwamba, kinabii, Vita viwili vya kwanza vya Dunia vinawakilishwa ndani ya Vita vya Tatu vya Dunia, na tabia za kinabii za vita hivyo pia hunena kuhusu mazingira ambayo Trump yuko karibu kurithi. Hata hivyo, bado hatujatumia matumizi ya mara tatu ya Vita vitatu vya Dunia.</w:t>
      </w:r>
    </w:p>
    <w:p>
      <w:pPr>
        <w:pStyle w:val="ArticleBody"/>
        <w:jc w:val="left"/>
      </w:pPr>
      <w:r>
        <w:rPr>
          <w:rFonts w:ascii="Times New Roman" w:hAnsi="Times New Roman" w:eastAsia="Times New Roman" w:cs="Times New Roman"/>
        </w:rPr>
        <w:t>جنگِ فزاینده‌ای که اسلام به‌راه می‌اندازد، همراه با مشکلات مالیِ ناشی از آن، همان وسیله‌ای است که به‌واسطۀ آن اسلامِ وایِ سوم نقش نبیِ کاذب را در شکل‌گیریِ تصویرِ وحش در ایالات متحدۀ آمریکا ایفا می‌کند. «الاغ» که همان نبیِ کاذبِ اسلام است، نبیِ کاذبِ ایالات متحده را به «اورشلیم» حمل می‌کند، همان‌گونه که الاغ، مسیح را به اورشلیم برد. در آن سفر، محیطی نبوی پدید می‌آید که تحقق‌های پیشگویی‌های گذشته را به‌وجود می‌آورد. در سال 1798، قوانینِ بیگانگان و فتنه «گفته شد» در همان آغازِ تاریخِ وحشِ زمین که چون برّه آغاز می‌کرد و در پایان چون اژدها سخن می‌گفت. در قوانینِ بیگانگان و فتنه، چهار قانون نمایان شده بود.</w:t>
      </w:r>
    </w:p>
    <w:p>
      <w:pPr>
        <w:pStyle w:val="ArticleBody"/>
        <w:jc w:val="left"/>
      </w:pPr>
      <w:r>
        <w:rPr>
          <w:rFonts w:ascii="Times New Roman" w:hAnsi="Times New Roman" w:eastAsia="Times New Roman" w:cs="Times New Roman"/>
        </w:rPr>
        <w:t>Doka o Ɛma Obi Man Mu Yɛnni Ho Tumi: Saa doka yi trɛw ɔmanfoɔ a wɔbɛyɛ Amerika man mufoɔ no tenabea ahwehwɛde no mu.</w:t>
      </w:r>
    </w:p>
    <w:p>
      <w:pPr>
        <w:pStyle w:val="ArticleBody"/>
        <w:jc w:val="left"/>
      </w:pPr>
      <w:r>
        <w:rPr>
          <w:rFonts w:ascii="Times New Roman" w:hAnsi="Times New Roman" w:eastAsia="Times New Roman" w:cs="Times New Roman"/>
        </w:rPr>
        <w:t>**La Loi sur les étrangers amis** : Cette loi conférait au président le pouvoir d’expulser les non-citoyens jugés « dangereux pour la paix et la sécurité des États-Unis » en temps de paix. Elle autorisait le gouvernement à arrêter et à expulser des ressortissants étrangers sans procédure régulière.</w:t>
      </w:r>
    </w:p>
    <w:p>
      <w:pPr>
        <w:pStyle w:val="ArticleBody"/>
        <w:jc w:val="left"/>
      </w:pPr>
      <w:r>
        <w:rPr>
          <w:rFonts w:ascii="Times New Roman" w:hAnsi="Times New Roman" w:eastAsia="Times New Roman" w:cs="Times New Roman"/>
        </w:rPr>
        <w:t>Loi sur les ennemis étrangers : cette loi autorisait le président à détenir et à expulser tout citoyen de sexe masculin d’une nation hostile en temps de guerre.</w:t>
      </w:r>
    </w:p>
    <w:p>
      <w:pPr>
        <w:pStyle w:val="ArticleBody"/>
        <w:jc w:val="left"/>
      </w:pPr>
      <w:r>
        <w:rPr>
          <w:rFonts w:ascii="Times New Roman" w:hAnsi="Times New Roman" w:eastAsia="Times New Roman" w:cs="Times New Roman"/>
        </w:rPr>
        <w:t>Законът за подстрекателството: най-спорният от четирите, Законът за подстрекателството превърна в престъпление публикуването на неверни, клеветнически или злонамерени писания срещу правителството на САЩ или неговите длъжностни лица. На практика той криминализира критиката към правителството.</w:t>
      </w:r>
    </w:p>
    <w:p>
      <w:pPr>
        <w:pStyle w:val="ArticleBody"/>
        <w:jc w:val="left"/>
      </w:pPr>
      <w:r>
        <w:rPr>
          <w:rFonts w:ascii="Times New Roman" w:hAnsi="Times New Roman" w:eastAsia="Times New Roman" w:cs="Times New Roman"/>
        </w:rPr>
        <w:t>Ko kampeni ya Donald Trump ezali mingi koleka kotongama likoló ya elaka na ye ya kosilisa “kotonga lopango,” oyo abandaki na mandat na ye ya liboso lokola mokonzi ya mboka. Alobaki ete kobengana bapaya ya monene koleka na lisolo ya bomoto mobimba ekosalema ntango akoponama na 2024. Trump azali na ezaleli moko ya moto ye moko oyo ekokani na ya politisya mosusu te na esika ya politiki ya Amerika. Abatelaka, to ata moke amekaka kobatela, bilaka ya kampeni na ye. Mibeko ya Alien and Sedition Acts ezali komonisa mibeko oyo eyokani mpenza na elaka na ye ya kobengana bapaya.</w:t>
      </w:r>
    </w:p>
    <w:p>
      <w:pPr>
        <w:pStyle w:val="ArticleBody"/>
        <w:jc w:val="left"/>
      </w:pPr>
      <w:r>
        <w:rPr>
          <w:rFonts w:ascii="Times New Roman" w:hAnsi="Times New Roman" w:eastAsia="Times New Roman" w:cs="Times New Roman"/>
        </w:rPr>
        <w:t>Unha das maiores acusacións de Trump, asociada ao establishment político enquistado de DC que el cualificou como o “pantano”, con todos os seus políticos corrompidos, inmorais e comprometidos, burócratas profesionais, axencias de siglas e financeiros multimillonarios, é a das “noticias falsas” producidas pola manifestación moderna do Ministerio do Reich para a Ilustración Pública e a Propaganda de Hitler, e que hoxe se chama o MSM, Mainstream Media. As Alien and Sedition Acts representan leis que se aliñan perfectamente co seu odio ás “noticias falsas”. Xesús sempre ilustra o fin dunha cousa co comezo dunha cousa.</w:t>
      </w:r>
    </w:p>
    <w:p>
      <w:pPr>
        <w:pStyle w:val="ArticleBody"/>
        <w:jc w:val="left"/>
      </w:pPr>
      <w:r>
        <w:rPr>
          <w:rFonts w:ascii="Times New Roman" w:hAnsi="Times New Roman" w:eastAsia="Times New Roman" w:cs="Times New Roman"/>
        </w:rPr>
        <w:t>Moetlo wa ntlha wa Rephaboliki o ne a patelediwa go lebana le Ntwa ya Selegae e Buchanan, yo e neng e le motlhami wa Demokerata yo o neng a eteletse Lincoln pele, a neng a e bakile. Fa a dira jalo, Lincoln o ne a emisa tshwanelo ya habeas corpus. Habeas corpus ke motheo wa molao o o sireletsang tshwanelo ya motho ya go ganetsa go tshwarwa ga gagwe kgotsa go tsenngwa ga gagwe mo kgolegelong mo kgotlatshekelo. Ke tshwanelo ya motheo ya molao e e netefatsang gore motho ga a ka ke a tsenngwa mo botshwarong ntle le lebaka le le kafa molaong. Fa writ ya habeas corpus e tlhagisiwa mo boemong jwa motho yo o tshwerweng, e pateletsa puso go naya mabaka a a siameng a go tshwarwa ga gagwe fa pele ga kgotlatshekelo.</w:t>
      </w:r>
    </w:p>
    <w:p>
      <w:pPr>
        <w:pStyle w:val="ArticleBody"/>
        <w:jc w:val="left"/>
      </w:pPr>
      <w:r>
        <w:rPr>
          <w:rFonts w:ascii="Times New Roman" w:hAnsi="Times New Roman" w:eastAsia="Times New Roman" w:cs="Times New Roman"/>
        </w:rPr>
        <w:t>Në kohën e Luftës Civile Amerikane, Linkolni pezulloi të drejtën e habeas corpus-it në disa zona të Shteteve të Bashkuara si një masë lufte. Ai e pezulloi për herë të parë habeas corpus-in në Merilend në prill të vitit 1861 dhe më pas e zgjeroi pezullimin në pjesë të Perëndimit të Mesëm. Ky veprim u ndërmor për të ruajtur rendin dhe për të shtypur mospajtimin në zonat ku kishte simpati të fortë secesioniste ose konfederate (demokratët), si edhe për të parandaluar pengimin e përpjekjes luftarake të Unionit.</w:t>
      </w:r>
    </w:p>
    <w:p>
      <w:pPr>
        <w:pStyle w:val="ArticleBody"/>
        <w:jc w:val="left"/>
      </w:pPr>
      <w:r>
        <w:rPr>
          <w:rFonts w:ascii="Times New Roman" w:hAnsi="Times New Roman" w:eastAsia="Times New Roman" w:cs="Times New Roman"/>
        </w:rPr>
        <w:t>La suspension de l’habeas corpus par Lincoln fut controversée et souleva d’importantes questions constitutionnelles, car elle impliquait une suspension temporaire d’une liberté civile fondamentale garantie par la Constitution des États-Unis. La Constitution autorise la suspension du recours d’habeas corpus « lorsque, en cas de rébellion ou d’invasion, la sécurité publique peut l’exiger » (Article I, Section 9).</w:t>
      </w:r>
    </w:p>
    <w:p>
      <w:pPr>
        <w:pStyle w:val="ArticleBody"/>
        <w:jc w:val="left"/>
      </w:pPr>
      <w:r>
        <w:rPr>
          <w:rFonts w:ascii="Times New Roman" w:hAnsi="Times New Roman" w:eastAsia="Times New Roman" w:cs="Times New Roman"/>
        </w:rPr>
        <w:t>Lincoln justified his actions as indispensable to the preservation of the Union and to national security in a time of war. In 1863, Congress enacted the Habeas Corpus Suspension Act, retroactively authorizing Lincoln’s suspension of habeas corpus and establishing certain procedures for military detention. Habeas corpus was gradually restored in the years following the Civil War as the conflict drew to a close and the nation returned to a state of peace.</w:t>
      </w:r>
    </w:p>
    <w:p>
      <w:pPr>
        <w:pStyle w:val="ArticleBody"/>
        <w:jc w:val="left"/>
      </w:pPr>
      <w:r>
        <w:rPr>
          <w:rFonts w:ascii="Leelawadee UI" w:hAnsi="Leelawadee UI" w:eastAsia="Leelawadee UI" w:cs="Leelawadee UI"/>
        </w:rPr>
        <w:t>ក្នុងឆ្នាំ</w:t>
      </w:r>
      <w:r>
        <w:rPr>
          <w:rFonts w:ascii="Times New Roman" w:hAnsi="Times New Roman" w:eastAsia="Times New Roman" w:cs="Times New Roman"/>
        </w:rPr>
        <w:t xml:space="preserve"> </w:t>
      </w:r>
      <w:r>
        <w:rPr>
          <w:rFonts w:ascii="Leelawadee UI" w:hAnsi="Leelawadee UI" w:eastAsia="Leelawadee UI" w:cs="Leelawadee UI"/>
        </w:rPr>
        <w:t>១៨៧១</w:t>
      </w:r>
      <w:r>
        <w:rPr>
          <w:rFonts w:ascii="Times New Roman" w:hAnsi="Times New Roman" w:eastAsia="Times New Roman" w:cs="Times New Roman"/>
        </w:rPr>
        <w:t xml:space="preserve"> </w:t>
      </w:r>
      <w:r>
        <w:rPr>
          <w:rFonts w:ascii="Leelawadee UI" w:hAnsi="Leelawadee UI" w:eastAsia="Leelawadee UI" w:cs="Leelawadee UI"/>
        </w:rPr>
        <w:t>ប្រធានាធិបតី</w:t>
      </w:r>
      <w:r>
        <w:rPr>
          <w:rFonts w:ascii="Times New Roman" w:hAnsi="Times New Roman" w:eastAsia="Times New Roman" w:cs="Times New Roman"/>
        </w:rPr>
        <w:t xml:space="preserve"> Ulysses S. Grant (</w:t>
      </w:r>
      <w:r>
        <w:rPr>
          <w:rFonts w:ascii="Leelawadee UI" w:hAnsi="Leelawadee UI" w:eastAsia="Leelawadee UI" w:cs="Leelawadee UI"/>
        </w:rPr>
        <w:t>សមាជិកគណបក្សសាធារណរដ្ឋ</w:t>
      </w:r>
      <w:r>
        <w:rPr>
          <w:rFonts w:ascii="Times New Roman" w:hAnsi="Times New Roman" w:eastAsia="Times New Roman" w:cs="Times New Roman"/>
        </w:rPr>
        <w:t xml:space="preserve">) </w:t>
      </w:r>
      <w:r>
        <w:rPr>
          <w:rFonts w:ascii="Leelawadee UI" w:hAnsi="Leelawadee UI" w:eastAsia="Leelawadee UI" w:cs="Leelawadee UI"/>
        </w:rPr>
        <w:t>ក៏បានផ្អាកសិទ្ធិ</w:t>
      </w:r>
      <w:r>
        <w:rPr>
          <w:rFonts w:ascii="Times New Roman" w:hAnsi="Times New Roman" w:eastAsia="Times New Roman" w:cs="Times New Roman"/>
        </w:rPr>
        <w:t xml:space="preserve"> habeas corpus </w:t>
      </w:r>
      <w:r>
        <w:rPr>
          <w:rFonts w:ascii="Leelawadee UI" w:hAnsi="Leelawadee UI" w:eastAsia="Leelawadee UI" w:cs="Leelawadee UI"/>
        </w:rPr>
        <w:t>នៅក្នុងខោនធីចំនួនប្រាំបួនក្នុងរដ្ឋ</w:t>
      </w:r>
      <w:r>
        <w:rPr>
          <w:rFonts w:ascii="Times New Roman" w:hAnsi="Times New Roman" w:eastAsia="Times New Roman" w:cs="Times New Roman"/>
        </w:rPr>
        <w:t xml:space="preserve"> South Carolina </w:t>
      </w:r>
      <w:r>
        <w:rPr>
          <w:rFonts w:ascii="Leelawadee UI" w:hAnsi="Leelawadee UI" w:eastAsia="Leelawadee UI" w:cs="Leelawadee UI"/>
        </w:rPr>
        <w:t>ក្នុងអំឡុងរជ្ជកាលនៃភេរវកម្មរបស់ក្រុម</w:t>
      </w:r>
      <w:r>
        <w:rPr>
          <w:rFonts w:ascii="Times New Roman" w:hAnsi="Times New Roman" w:eastAsia="Times New Roman" w:cs="Times New Roman"/>
        </w:rPr>
        <w:t xml:space="preserve"> Ku Klux Klan (</w:t>
      </w:r>
      <w:r>
        <w:rPr>
          <w:rFonts w:ascii="Leelawadee UI" w:hAnsi="Leelawadee UI" w:eastAsia="Leelawadee UI" w:cs="Leelawadee UI"/>
        </w:rPr>
        <w:t>គណបក្សប្រជាធិបតេយ្យ</w:t>
      </w:r>
      <w:r>
        <w:rPr>
          <w:rFonts w:ascii="Times New Roman" w:hAnsi="Times New Roman" w:eastAsia="Times New Roman" w:cs="Times New Roman"/>
        </w:rPr>
        <w:t xml:space="preserve">) </w:t>
      </w:r>
      <w:r>
        <w:rPr>
          <w:rFonts w:ascii="Leelawadee UI" w:hAnsi="Leelawadee UI" w:eastAsia="Leelawadee UI" w:cs="Leelawadee UI"/>
        </w:rPr>
        <w:t>នៅសម័យ</w:t>
      </w:r>
      <w:r>
        <w:rPr>
          <w:rFonts w:ascii="Times New Roman" w:hAnsi="Times New Roman" w:eastAsia="Times New Roman" w:cs="Times New Roman"/>
        </w:rPr>
        <w:t xml:space="preserve"> Reconstruction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ការផ្អាកនេះមានគោលបំណងដើម្បីទប់ស្កាត់អំពើហិង្សា</w:t>
      </w:r>
      <w:r>
        <w:rPr>
          <w:rFonts w:ascii="Times New Roman" w:hAnsi="Times New Roman" w:eastAsia="Times New Roman" w:cs="Times New Roman"/>
        </w:rPr>
        <w:t xml:space="preserve"> </w:t>
      </w:r>
      <w:r>
        <w:rPr>
          <w:rFonts w:ascii="Leelawadee UI" w:hAnsi="Leelawadee UI" w:eastAsia="Leelawadee UI" w:cs="Leelawadee UI"/>
        </w:rPr>
        <w:t>និងការពារសិទ្ធិស៊ីវិលរបស់ជនអាមេរិកាំងអាហ្វ្រិកដែលទើបតែទទួលបានសេរីភាព។</w:t>
      </w:r>
    </w:p>
    <w:p>
      <w:pPr>
        <w:pStyle w:val="ArticleBody"/>
        <w:jc w:val="left"/>
      </w:pPr>
      <w:r>
        <w:rPr>
          <w:rFonts w:ascii="Times New Roman" w:hAnsi="Times New Roman" w:eastAsia="Times New Roman" w:cs="Times New Roman"/>
        </w:rPr>
        <w:t>Xyoo 1942tti, Prezidaantii Franklin D. Roosevelt (Demokraata), yeroo Lola Addunyaa Lammaffaa keessatti, Ajaja Raawwachiiftuu 9066 mallatteesse; kunis Ameerikaanota Jappaan kanneen Qarqara Dhihaa irratti jiraatan humnaan bakkaa buusuu fi qubsiisummaa keessatti hidhuuf aangoo kenne. Kun teknikaadhaan mirga habeas corpus addaan kutuu baatus, adeemsa seeraa sirrii malee Ameerikaanota Jappaan hidhamuu isaanii fidaan, mirgoonni isaanii seeraan eegamaniis hamaa ta’een miidhaman.</w:t>
      </w:r>
    </w:p>
    <w:p>
      <w:pPr>
        <w:pStyle w:val="ArticleBody"/>
        <w:jc w:val="left"/>
      </w:pPr>
      <w:r>
        <w:rPr>
          <w:rFonts w:ascii="Times New Roman" w:hAnsi="Times New Roman" w:eastAsia="Times New Roman" w:cs="Times New Roman"/>
        </w:rPr>
        <w:t>Puis, en 2001, Bush le dernier (un républicain mondialiste), après les attentats terroristes du 11 septembre, autorisa la détention de personnes soupçonnées d’être des combattants ennemis à Guantánamo Bay et dans d’autres installations. La détention de ces individus ainsi que leur statut juridique devinrent l’objet de contestations judiciaires liées à l’habeas corpus.</w:t>
      </w:r>
    </w:p>
    <w:p>
      <w:pPr>
        <w:pStyle w:val="ArticleBody"/>
        <w:jc w:val="left"/>
      </w:pPr>
      <w:r>
        <w:rPr>
          <w:rFonts w:ascii="Times New Roman" w:hAnsi="Times New Roman" w:eastAsia="Times New Roman" w:cs="Times New Roman"/>
        </w:rPr>
        <w:t>Puis, en 2021, les procès du 6 janvier menés par Pelosi (une Démocrate) ont poursuivi le principe de la suspension de l’habeas corpus, de la suppression des garanties d’une procédure régulière, et de la mise en œuvre d’un internement anticonstitutionnel. Les procès de Pelosi en 2021 se distinguent en ce qu’ils furent la première fois que les droits légaux de citoyens américains furent écartés à des fins purement politiques. Toutes les autres fois, il y eut une guerre ou une rébellion réelle qui identifiait des sujets ennemis précis. Les ennemis, dans les procès de Pelosi, n’étaient rien d’autre que les ennemis des mondialistes inspirés par le dragon. Il importe de reconnaître la tendance prophétique des questions liées au renversement de la Constitution, car ce sont là les événements qui marquent la formation de l’image de la bête, laquelle constitue la grande épreuve pour le peuple de Dieu.</w:t>
      </w:r>
    </w:p>
    <w:p>
      <w:pPr>
        <w:pStyle w:val="ArticleBody"/>
        <w:jc w:val="left"/>
      </w:pPr>
      <w:r>
        <w:rPr>
          <w:rFonts w:ascii="Times New Roman" w:hAnsi="Times New Roman" w:eastAsia="Times New Roman" w:cs="Times New Roman"/>
        </w:rPr>
        <w:t>Ha Pelosi que soit votre héroïne, ou Trump votre champion, cela n’importe pas; ce qui importe, c’est que vous reconnaissiez la crise qui s’approche et que vous fassiez la préparation convenable. Ceux qui triompheront dans la crise à venir sont citoyens de la Jérusalem céleste, et toutes les puissances qui ont apostasié de la loi de Dieu sont sur le point de s’unir, comme les Sadducéens (Démocrates) et les Pharisiens (Républicains) le firent contre les fidèles enfants de Dieu, à mesure que se forme l’image de la bête.</w:t>
      </w:r>
    </w:p>
    <w:p>
      <w:pPr>
        <w:pStyle w:val="ArticleBody"/>
        <w:jc w:val="left"/>
      </w:pPr>
      <w:r>
        <w:rPr>
          <w:rFonts w:ascii="Times New Roman" w:hAnsi="Times New Roman" w:eastAsia="Times New Roman" w:cs="Times New Roman"/>
        </w:rPr>
        <w:t>Công cuộc lừa dối bởi hoặc là tiên tri giả của Hồi giáo tại Hoa Kỳ, hoặc là Tin Lành bội đạo trong thế giới, chính là điều đưa đến sự hiệp nhất giữa Hội Thánh và Nhà nước. Bà White xác định rằng sẽ có một cuộc Nội chiến khác, và rằng cuộc chiến ấy sẽ được gây nên bởi các chủ ngân hàng toàn cầu và các tỷ phú, là những thương gia của Ba-by-lôn hiện đại, những kẻ theo ý nghĩa tiên tri là một nửa các đại diện của các quyền lực con rồng. Nửa còn lại là các chính trị gia chuyên nghiệp, các luật sư, các vua chúa và những nhà cầm quyền.</w:t>
      </w:r>
    </w:p>
    <w:p>
      <w:pPr>
        <w:pStyle w:val="ArticleScripture"/>
        <w:jc w:val="left"/>
      </w:pPr>
      <w:r>
        <w:rPr>
          <w:rFonts w:ascii="Leelawadee UI" w:hAnsi="Leelawadee UI" w:eastAsia="Leelawadee UI" w:cs="Leelawadee UI"/>
        </w:rPr>
        <w:t>នៅប្រទេសឥណ្ឌា</w:t>
      </w:r>
      <w:r>
        <w:rPr>
          <w:rFonts w:ascii="Times New Roman" w:hAnsi="Times New Roman" w:eastAsia="Times New Roman" w:cs="Times New Roman"/>
        </w:rPr>
        <w:t xml:space="preserve"> </w:t>
      </w:r>
      <w:r>
        <w:rPr>
          <w:rFonts w:ascii="Leelawadee UI" w:hAnsi="Leelawadee UI" w:eastAsia="Leelawadee UI" w:cs="Leelawadee UI"/>
        </w:rPr>
        <w:t>ចិន</w:t>
      </w:r>
      <w:r>
        <w:rPr>
          <w:rFonts w:ascii="Times New Roman" w:hAnsi="Times New Roman" w:eastAsia="Times New Roman" w:cs="Times New Roman"/>
        </w:rPr>
        <w:t xml:space="preserve"> </w:t>
      </w:r>
      <w:r>
        <w:rPr>
          <w:rFonts w:ascii="Leelawadee UI" w:hAnsi="Leelawadee UI" w:eastAsia="Leelawadee UI" w:cs="Leelawadee UI"/>
        </w:rPr>
        <w:t>រុស្ស៊ី</w:t>
      </w:r>
      <w:r>
        <w:rPr>
          <w:rFonts w:ascii="Times New Roman" w:hAnsi="Times New Roman" w:eastAsia="Times New Roman" w:cs="Times New Roman"/>
        </w:rPr>
        <w:t xml:space="preserve"> </w:t>
      </w:r>
      <w:r>
        <w:rPr>
          <w:rFonts w:ascii="Leelawadee UI" w:hAnsi="Leelawadee UI" w:eastAsia="Leelawadee UI" w:cs="Leelawadee UI"/>
        </w:rPr>
        <w:t>និងក្នុងទីក្រុងនានានៃសហរដ្ឋអាមេរិក</w:t>
      </w:r>
      <w:r>
        <w:rPr>
          <w:rFonts w:ascii="Times New Roman" w:hAnsi="Times New Roman" w:eastAsia="Times New Roman" w:cs="Times New Roman"/>
        </w:rPr>
        <w:t xml:space="preserve"> </w:t>
      </w:r>
      <w:r>
        <w:rPr>
          <w:rFonts w:ascii="Leelawadee UI" w:hAnsi="Leelawadee UI" w:eastAsia="Leelawadee UI" w:cs="Leelawadee UI"/>
        </w:rPr>
        <w:t>មានបុរសនិងស្ត្រីរាប់ពាន់នាក់កំពុងស្លាប់ដោយសារអត់ឃ្លាន។</w:t>
      </w:r>
      <w:r>
        <w:rPr>
          <w:rFonts w:ascii="Times New Roman" w:hAnsi="Times New Roman" w:eastAsia="Times New Roman" w:cs="Times New Roman"/>
        </w:rPr>
        <w:t xml:space="preserve"> </w:t>
      </w:r>
      <w:r>
        <w:rPr>
          <w:rFonts w:ascii="Leelawadee UI" w:hAnsi="Leelawadee UI" w:eastAsia="Leelawadee UI" w:cs="Leelawadee UI"/>
        </w:rPr>
        <w:t>មនុស្សមានទ្រព្យធន</w:t>
      </w:r>
      <w:r>
        <w:rPr>
          <w:rFonts w:ascii="Times New Roman" w:hAnsi="Times New Roman" w:eastAsia="Times New Roman" w:cs="Times New Roman"/>
        </w:rPr>
        <w:t xml:space="preserve"> </w:t>
      </w:r>
      <w:r>
        <w:rPr>
          <w:rFonts w:ascii="Leelawadee UI" w:hAnsi="Leelawadee UI" w:eastAsia="Leelawadee UI" w:cs="Leelawadee UI"/>
        </w:rPr>
        <w:t>ពីព្រោះពួកគេមានអំណាច</w:t>
      </w:r>
      <w:r>
        <w:rPr>
          <w:rFonts w:ascii="Times New Roman" w:hAnsi="Times New Roman" w:eastAsia="Times New Roman" w:cs="Times New Roman"/>
        </w:rPr>
        <w:t xml:space="preserve"> </w:t>
      </w:r>
      <w:r>
        <w:rPr>
          <w:rFonts w:ascii="Leelawadee UI" w:hAnsi="Leelawadee UI" w:eastAsia="Leelawadee UI" w:cs="Leelawadee UI"/>
        </w:rPr>
        <w:t>គ្រប់គ្រងទីផ្សារ។</w:t>
      </w:r>
      <w:r>
        <w:rPr>
          <w:rFonts w:ascii="Times New Roman" w:hAnsi="Times New Roman" w:eastAsia="Times New Roman" w:cs="Times New Roman"/>
        </w:rPr>
        <w:t xml:space="preserve"> </w:t>
      </w:r>
      <w:r>
        <w:rPr>
          <w:rFonts w:ascii="Leelawadee UI" w:hAnsi="Leelawadee UI" w:eastAsia="Leelawadee UI" w:cs="Leelawadee UI"/>
        </w:rPr>
        <w:t>ពួកគេទិញអ្វីគ្រប់យ៉ាងដែលអាចទទួលបានក្នុងតម្លៃទាប</w:t>
      </w:r>
      <w:r>
        <w:rPr>
          <w:rFonts w:ascii="Times New Roman" w:hAnsi="Times New Roman" w:eastAsia="Times New Roman" w:cs="Times New Roman"/>
        </w:rPr>
        <w:t xml:space="preserve"> </w:t>
      </w:r>
      <w:r>
        <w:rPr>
          <w:rFonts w:ascii="Leelawadee UI" w:hAnsi="Leelawadee UI" w:eastAsia="Leelawadee UI" w:cs="Leelawadee UI"/>
        </w:rPr>
        <w:t>ហើយបន្ទាប់មកលក់វិញក្នុងតម្លៃដែលបានកើនឡើងយ៉ាងខ្លាំង។</w:t>
      </w:r>
      <w:r>
        <w:rPr>
          <w:rFonts w:ascii="Times New Roman" w:hAnsi="Times New Roman" w:eastAsia="Times New Roman" w:cs="Times New Roman"/>
        </w:rPr>
        <w:t xml:space="preserve"> </w:t>
      </w:r>
      <w:r>
        <w:rPr>
          <w:rFonts w:ascii="Leelawadee UI" w:hAnsi="Leelawadee UI" w:eastAsia="Leelawadee UI" w:cs="Leelawadee UI"/>
        </w:rPr>
        <w:t>នេះមានន័យថា</w:t>
      </w:r>
      <w:r>
        <w:rPr>
          <w:rFonts w:ascii="Times New Roman" w:hAnsi="Times New Roman" w:eastAsia="Times New Roman" w:cs="Times New Roman"/>
        </w:rPr>
        <w:t xml:space="preserve"> </w:t>
      </w:r>
      <w:r>
        <w:rPr>
          <w:rFonts w:ascii="Leelawadee UI" w:hAnsi="Leelawadee UI" w:eastAsia="Leelawadee UI" w:cs="Leelawadee UI"/>
        </w:rPr>
        <w:t>ជាការអត់ឃ្លានសម្រាប់វណ្ណៈក្រីក្រ</w:t>
      </w:r>
      <w:r>
        <w:rPr>
          <w:rFonts w:ascii="Times New Roman" w:hAnsi="Times New Roman" w:eastAsia="Times New Roman" w:cs="Times New Roman"/>
        </w:rPr>
        <w:t xml:space="preserve"> </w:t>
      </w:r>
      <w:r>
        <w:rPr>
          <w:rFonts w:ascii="Leelawadee UI" w:hAnsi="Leelawadee UI" w:eastAsia="Leelawadee UI" w:cs="Leelawadee UI"/>
        </w:rPr>
        <w:t>ហើយនឹងបណ្តាលឲ្យមានសង្គ្រាមស៊ីវិល។</w:t>
      </w:r>
      <w:r>
        <w:rPr>
          <w:rFonts w:ascii="Times New Roman" w:hAnsi="Times New Roman" w:eastAsia="Times New Roman" w:cs="Times New Roman"/>
        </w:rPr>
        <w:t>” Manuscript Releases, volume 5, 305.</w:t>
      </w:r>
    </w:p>
    <w:p>
      <w:pPr>
        <w:pStyle w:val="ArticleBody"/>
        <w:jc w:val="left"/>
      </w:pPr>
      <w:r>
        <w:rPr>
          <w:rFonts w:ascii="Times New Roman" w:hAnsi="Times New Roman" w:eastAsia="Times New Roman" w:cs="Times New Roman"/>
        </w:rPr>
        <w:t>La guerre d’Indépendance fut une guerre littérale, mais elle représentait une guerre politique qui fut amorcée le 11 septembre 2001. Les États-Unis sont désormais une nation divisée entre deux partis politiques, mais la Parole de Dieu ne fait jamais défaut, et Sa Parole indique que Trump sera réélu lors des élections de 2024. Une guerre civile, qui, à toutes fins utiles, a déjà été amorcée, commencera véritablement peu après son élection, comme ce fut le cas avec Lincoln, le premier président républicain. La logique sous-jacente de la guerre civile dont il héritera sera produite par les banquiers mondiaux et les marchands milliardaires qui, entre autres choses, ont œuvré sans relâche à l’ouverture d’une immigration de masse incontrôlée à travers le monde, afin d’alimenter leur désir de profits financiers accrus et, plus important encore, d’éliminer la classe moyenne. Les marchands de Babylone cherchent à mettre en place un système à deux classes, composé des super-riches et des super-pauvres.</w:t>
      </w:r>
    </w:p>
    <w:p>
      <w:pPr>
        <w:pStyle w:val="ArticleBody"/>
        <w:jc w:val="left"/>
      </w:pPr>
      <w:r>
        <w:rPr>
          <w:rFonts w:ascii="Times New Roman" w:hAnsi="Times New Roman" w:eastAsia="Times New Roman" w:cs="Times New Roman"/>
        </w:rPr>
        <w:t>Trump sera le président qui présidera à l’établissement de l’image de la bête, et ce sera le faux prophète de l’islam qui contraindra à l’ériger; et, pour ceux qui ont des yeux et peuvent discerner, et qui ont des oreilles et peuvent comprendre, l’attaque de l’islam du troisième malheur, le 7 octobre 2023, contre l’Israël littéral, l’ancien Pays glorieux, constitue un accomplissement manifeste de l’œuvre providentielle du faux prophète de l’islam.</w:t>
      </w:r>
    </w:p>
    <w:p>
      <w:pPr>
        <w:pStyle w:val="ArticleBody"/>
        <w:jc w:val="left"/>
      </w:pPr>
      <w:r>
        <w:rPr>
          <w:rFonts w:ascii="Times New Roman" w:hAnsi="Times New Roman" w:eastAsia="Times New Roman" w:cs="Times New Roman"/>
        </w:rPr>
        <w:t>Ndae tĩ ya Democratic, iria igũraga mũno ta nĩyo “Diversity, Equity and Inclusion,” rĩu nĩgũkũra matunda ma mĩtugo ya kĩshetani iria yathomithirie. Kuuma mũthenya wa October 7, 2023, ngũgĩranĩro wa arĩa marĩ kũrĩ Isiraeli na arĩa marĩ thĩinĩ wa Isiraeli nĩũgũtigania hinya wa kĩrĩra wa ndũngetho wa ndae yao o rĩrĩa marĩ gũthiĩ kũrĩ thurano wa 2024. Kũgaiyũkana gũku nĩkwarutire ngũgĩranĩro gatagatĩ ka arũmĩrĩri ao, nginya ha gũkũhĩtũkĩra atĩ mĩcibitari yao ya gũthũra makaratasi ya kĩ-elektroniki iria ciũmĩte nĩ ũhũthi no ndingĩgĩa na ũhoti wa gũcenjia kura ihagĩre nginya cĩhote kũmaithia kura cia ma thĩinĩ iria igũka kũhurwo nĩ ũhoro wa Trump. Mbaara ya mũnabii wa maheeni wa Uislamu nĩĩrũgaga hali iria irathũkũmia Trump ahotithĩrwo ta mũthamaki wa kenda, ũrĩa ũrĩ wa mũgwanja, kuuma hingo ya mũthia-inĩ wa 1989, o rĩrĩa nyamũ ya thĩ ĩrĩkaga mũhianano wa nyamũ ya iria-inĩ.</w:t>
      </w:r>
    </w:p>
    <w:p>
      <w:pPr>
        <w:pStyle w:val="ArticleBody"/>
        <w:jc w:val="left"/>
      </w:pPr>
      <w:r>
        <w:rPr>
          <w:rFonts w:ascii="Times New Roman" w:hAnsi="Times New Roman" w:eastAsia="Times New Roman" w:cs="Times New Roman"/>
        </w:rPr>
        <w:t>La philosophie satanique de la « diversité, de l’équité et de l’inclusion » est l’une des plateformes servant à reproduire la rébellion de Sodome et de Gomorrhe par la promotion de l’agenda LGBTQ+.</w:t>
      </w:r>
    </w:p>
    <w:p>
      <w:pPr>
        <w:pStyle w:val="ArticleScripture"/>
        <w:jc w:val="left"/>
      </w:pPr>
      <w:r>
        <w:rPr>
          <w:rFonts w:ascii="Times New Roman" w:hAnsi="Times New Roman" w:eastAsia="Times New Roman" w:cs="Times New Roman"/>
        </w:rPr>
        <w:t>De même aussi, comme il en fut aux jours de Lot : on mangeait, on buvait, on achetait, on vendait, on plantait, on bâtissait ; mais le jour même où Lot sortit de Sodome, il plut du ciel du feu et du soufre, et les fit tous périr. Il en sera de même au jour où le Fils de l’homme sera révélé. Luc 17:28–30.</w:t>
      </w:r>
    </w:p>
    <w:p>
      <w:pPr>
        <w:pStyle w:val="ArticleBody"/>
        <w:jc w:val="left"/>
      </w:pPr>
      <w:r>
        <w:rPr>
          <w:rFonts w:ascii="Times New Roman" w:hAnsi="Times New Roman" w:eastAsia="Times New Roman" w:cs="Times New Roman"/>
        </w:rPr>
        <w:t>L’agenda LGBTQ+ est également représenté par la Gay Pride et, à ce titre, marque la chute morale finale de la bête terrestre, puis, par la suite, celle du monde.</w:t>
      </w:r>
    </w:p>
    <w:p>
      <w:pPr>
        <w:pStyle w:val="ArticleScripture"/>
        <w:jc w:val="left"/>
      </w:pPr>
      <w:r>
        <w:rPr>
          <w:rFonts w:ascii="Nirmala UI" w:hAnsi="Nirmala UI" w:eastAsia="Nirmala UI" w:cs="Nirmala UI"/>
        </w:rPr>
        <w:t>शोभन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राजमार्ग</w:t>
      </w:r>
      <w:r>
        <w:rPr>
          <w:rFonts w:ascii="Times New Roman" w:hAnsi="Times New Roman" w:eastAsia="Times New Roman" w:cs="Times New Roman"/>
        </w:rPr>
        <w:t xml:space="preserve"> </w:t>
      </w:r>
      <w:r>
        <w:rPr>
          <w:rFonts w:ascii="Nirmala UI" w:hAnsi="Nirmala UI" w:eastAsia="Nirmala UI" w:cs="Nirmala UI"/>
        </w:rPr>
        <w:t>बुराई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अहंकारी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घमण्डियों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बाँटने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नीतिवचन</w:t>
      </w:r>
      <w:r>
        <w:rPr>
          <w:rFonts w:ascii="Times New Roman" w:hAnsi="Times New Roman" w:eastAsia="Times New Roman" w:cs="Times New Roman"/>
        </w:rPr>
        <w:t xml:space="preserve"> 16:17–19</w:t>
      </w:r>
      <w:r>
        <w:rPr>
          <w:rFonts w:ascii="Nirmala UI" w:hAnsi="Nirmala UI" w:eastAsia="Nirmala UI" w:cs="Nirmala UI"/>
        </w:rPr>
        <w:t>।</w:t>
      </w:r>
    </w:p>
    <w:p>
      <w:pPr>
        <w:pStyle w:val="ArticleBody"/>
        <w:jc w:val="left"/>
      </w:pPr>
      <w:r>
        <w:rPr>
          <w:rFonts w:ascii="Times New Roman" w:hAnsi="Times New Roman" w:eastAsia="Times New Roman" w:cs="Times New Roman"/>
        </w:rPr>
        <w:t>L’orgueil précède la chute, et l’orgueil précède la destruction. L’apostasie nationale engendre la destruction nationale, et le symbole de l’orgueil mondialiste est le symbole de la rébellion de Sodome et de Gomorrhe. L’Inspiration met en parallèle la loi dominicale bientôt à venir avec Lot échappant à peine à la destruction de Sodome, de Gomorrhe et des villes de la plaine, car ce sont les descendants de Lot (Ammon et Moab) qui sont le symbole de ceux qui échappent de la main de la papauté au moment de la loi dominicale.</w:t>
      </w:r>
    </w:p>
    <w:p>
      <w:pPr>
        <w:pStyle w:val="ArticleScripture"/>
        <w:jc w:val="left"/>
      </w:pPr>
      <w:r>
        <w:rPr>
          <w:rFonts w:ascii="Times New Roman" w:hAnsi="Times New Roman" w:eastAsia="Times New Roman" w:cs="Times New Roman"/>
        </w:rPr>
        <w:t>Él entrará también en la tierra gloriosa, y muchos países serán derribados; mas éstos escaparán de su mano: Edom, Moab y la parte principal de los hijos de Amón. Daniel 11:41.</w:t>
      </w:r>
    </w:p>
    <w:p>
      <w:pPr>
        <w:pStyle w:val="ArticleBody"/>
        <w:jc w:val="left"/>
      </w:pPr>
      <w:r>
        <w:rPr>
          <w:rFonts w:ascii="Times New Roman" w:hAnsi="Times New Roman" w:eastAsia="Times New Roman" w:cs="Times New Roman"/>
        </w:rPr>
        <w:t>Ruuliin Dimokraatawaa amma harka ofiitiin of qoodamee diigamaa jira. Ani siyaasaaf dantaa hin qabu; ani seenaa yeroo ammaa qofa seenaa raajii wajjin walsimsiisaa jira. Ruuliin Dimokraatawaa daangaa addunyaa maraa banuuf dadhabbii malee hojjechaa ture; kanaanis lolaan namootaa fakkeenya hin qabnee fi to’annoo hin qabne akka seenu taasiseera. Balballi lolaa guutummaa lafa kana irratti globalistoota bofa guddaan kakaafamanii jiran irraa banuu danda’eera.</w:t>
      </w:r>
    </w:p>
    <w:p>
      <w:pPr>
        <w:pStyle w:val="ArticleScripture"/>
        <w:jc w:val="left"/>
      </w:pPr>
      <w:r>
        <w:rPr>
          <w:rFonts w:ascii="Times New Roman" w:hAnsi="Times New Roman" w:eastAsia="Times New Roman" w:cs="Times New Roman"/>
        </w:rPr>
        <w:t>Oo nyoka a ntsha metsi a tshwanang le morwalela a tswa mo molomong wa gagwe morago ga mosadi, gore a mo gogele kgakala ka morwalela. Mme lefatshe la thusa mosadi, mme lefatshe la bula molomo wa lone, la kometsa morwalela o kgogela e neng e ntshiwa ke kgogela mo molomong wa yone. Mme kgogela ya galefela mosadi, ya ya go tlhabana le masalela a peo ya gagwe, a a bolokang ditaelo tsa Modimo, mme a na le bosupi jwa Jesu Keresete. Tshenolo 12:15–17.</w:t>
      </w:r>
    </w:p>
    <w:p>
      <w:pPr>
        <w:pStyle w:val="ArticleBody"/>
        <w:jc w:val="left"/>
      </w:pPr>
      <w:r>
        <w:rPr>
          <w:rFonts w:ascii="Times New Roman" w:hAnsi="Times New Roman" w:eastAsia="Times New Roman" w:cs="Times New Roman"/>
        </w:rPr>
        <w:t>Die „Übrigen“ sind die hundertvierundvierzigtausend, und die Geschichte der hundertvierundvierzigtausend ist die Geschichte, die am 11. September 2001 begann. Seitdem hat die Macht des Drachen „Wasser aus seinem Maul ausgeschüttet wie einen Strom“ in alle Richtungen. Das Wasser stellt Menschen dar.</w:t>
      </w:r>
    </w:p>
    <w:p>
      <w:pPr>
        <w:pStyle w:val="ArticleScripture"/>
        <w:jc w:val="left"/>
      </w:pP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አለኝ፤</w:t>
      </w:r>
      <w:r>
        <w:rPr>
          <w:rFonts w:ascii="Times New Roman" w:hAnsi="Times New Roman" w:eastAsia="Times New Roman" w:cs="Times New Roman"/>
        </w:rPr>
        <w:t xml:space="preserve"> </w:t>
      </w:r>
      <w:r>
        <w:rPr>
          <w:rFonts w:ascii="Ebrima" w:hAnsi="Ebrima" w:eastAsia="Ebrima" w:cs="Ebrima"/>
        </w:rPr>
        <w:t>ያየኸው</w:t>
      </w:r>
      <w:r>
        <w:rPr>
          <w:rFonts w:ascii="Times New Roman" w:hAnsi="Times New Roman" w:eastAsia="Times New Roman" w:cs="Times New Roman"/>
        </w:rPr>
        <w:t xml:space="preserve"> </w:t>
      </w:r>
      <w:r>
        <w:rPr>
          <w:rFonts w:ascii="Ebrima" w:hAnsi="Ebrima" w:eastAsia="Ebrima" w:cs="Ebrima"/>
        </w:rPr>
        <w:t>ውኃ፥</w:t>
      </w:r>
      <w:r>
        <w:rPr>
          <w:rFonts w:ascii="Times New Roman" w:hAnsi="Times New Roman" w:eastAsia="Times New Roman" w:cs="Times New Roman"/>
        </w:rPr>
        <w:t xml:space="preserve"> </w:t>
      </w:r>
      <w:r>
        <w:rPr>
          <w:rFonts w:ascii="Ebrima" w:hAnsi="Ebrima" w:eastAsia="Ebrima" w:cs="Ebrima"/>
        </w:rPr>
        <w:t>ጋለሞቱ</w:t>
      </w:r>
      <w:r>
        <w:rPr>
          <w:rFonts w:ascii="Times New Roman" w:hAnsi="Times New Roman" w:eastAsia="Times New Roman" w:cs="Times New Roman"/>
        </w:rPr>
        <w:t xml:space="preserve"> </w:t>
      </w:r>
      <w:r>
        <w:rPr>
          <w:rFonts w:ascii="Ebrima" w:hAnsi="Ebrima" w:eastAsia="Ebrima" w:cs="Ebrima"/>
        </w:rPr>
        <w:t>የተቀመጠችበት፥</w:t>
      </w:r>
      <w:r>
        <w:rPr>
          <w:rFonts w:ascii="Times New Roman" w:hAnsi="Times New Roman" w:eastAsia="Times New Roman" w:cs="Times New Roman"/>
        </w:rPr>
        <w:t xml:space="preserve"> </w:t>
      </w:r>
      <w:r>
        <w:rPr>
          <w:rFonts w:ascii="Ebrima" w:hAnsi="Ebrima" w:eastAsia="Ebrima" w:cs="Ebrima"/>
        </w:rPr>
        <w:t>ሕዝቦችና</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ሰዎችና</w:t>
      </w:r>
      <w:r>
        <w:rPr>
          <w:rFonts w:ascii="Times New Roman" w:hAnsi="Times New Roman" w:eastAsia="Times New Roman" w:cs="Times New Roman"/>
        </w:rPr>
        <w:t xml:space="preserve"> </w:t>
      </w:r>
      <w:r>
        <w:rPr>
          <w:rFonts w:ascii="Ebrima" w:hAnsi="Ebrima" w:eastAsia="Ebrima" w:cs="Ebrima"/>
        </w:rPr>
        <w:t>አሕዛብና</w:t>
      </w:r>
      <w:r>
        <w:rPr>
          <w:rFonts w:ascii="Times New Roman" w:hAnsi="Times New Roman" w:eastAsia="Times New Roman" w:cs="Times New Roman"/>
        </w:rPr>
        <w:t xml:space="preserve"> </w:t>
      </w:r>
      <w:r>
        <w:rPr>
          <w:rFonts w:ascii="Ebrima" w:hAnsi="Ebrima" w:eastAsia="Ebrima" w:cs="Ebrima"/>
        </w:rPr>
        <w:t>ልሳናት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17</w:t>
      </w:r>
      <w:r>
        <w:rPr>
          <w:rFonts w:ascii="Ebrima" w:hAnsi="Ebrima" w:eastAsia="Ebrima" w:cs="Ebrima"/>
        </w:rPr>
        <w:t>፥</w:t>
      </w:r>
      <w:r>
        <w:rPr>
          <w:rFonts w:ascii="Times New Roman" w:hAnsi="Times New Roman" w:eastAsia="Times New Roman" w:cs="Times New Roman"/>
        </w:rPr>
        <w:t>15</w:t>
      </w:r>
      <w:r>
        <w:rPr>
          <w:rFonts w:ascii="Ebrima" w:hAnsi="Ebrima" w:eastAsia="Ebrima" w:cs="Ebrima"/>
        </w:rPr>
        <w:t>።</w:t>
      </w:r>
    </w:p>
    <w:p>
      <w:pPr>
        <w:pStyle w:val="ArticleBody"/>
        <w:jc w:val="left"/>
      </w:pPr>
      <w:r>
        <w:rPr>
          <w:rFonts w:ascii="Times New Roman" w:hAnsi="Times New Roman" w:eastAsia="Times New Roman" w:cs="Times New Roman"/>
        </w:rPr>
        <w:t>Ko te hunga māngai o te mana tarakona i te whenua (ngā kaitautoko o te ao whānui), ko rātou tēnā e huaki nei i ngā kūwaha o te waipuke o te hekenga manene ture-kore i te wā hiritia o te kotahi rau e whā tekau mā whā mano. Ko ngā “waipuke” a te tarakona huri noa i te ao e tohu ana kua tata te Ariki te whakaara i te kara, i te ture Rātapu e hohoro nei te tae mai. Ko ngā waipuke a te tarakona i roto i te Whakakitenga tekau mā rua, i horomia e te kararehe whenua i te tīmatanga o te United States, engari kua hoki mai ināianei ngā waipuke a te tarakona; nā reira ka waiho hei whakatūpato mō te raruraru ture Rātapu e whakatata mai ana, nō te mea, ina tae mai te hoariri anō he waipuke, kātahi ka whakaara ake te Atua i Tana kara.</w:t>
      </w:r>
    </w:p>
    <w:p>
      <w:pPr>
        <w:pStyle w:val="ArticleScripture"/>
        <w:jc w:val="left"/>
      </w:pPr>
      <w:r>
        <w:rPr>
          <w:rFonts w:ascii="Times New Roman" w:hAnsi="Times New Roman" w:eastAsia="Times New Roman" w:cs="Times New Roman"/>
        </w:rPr>
        <w:t>Di dalam pelanggaran dan dusta terhadap TUHAN, dan berpaling dari Allah kita, memperkatakan penindasan dan pemberontakan, mengandung dan mengucapkan dari hati perkataan-perkataan dusta. Maka keadilan dibelokkan ke belakang, dan kebenaran berdiri jauh-jauh; sebab kebenaran telah rebah di jalan, dan kelurusan tidak dapat masuk. Bahkan, kebenaran lenyap; dan siapa yang menjauhkan diri dari kejahatan menjadikan dirinya mangsa: dan TUHAN melihatnya, dan hal itu jahat di mata-Nya, bahwa tidak ada keadilan. Dan Ia melihat bahwa tidak ada seorang pun, dan Ia tercengang bahwa tidak ada seorang pengantara; maka lengan-Nya sendiri mendatangkan keselamatan bagi-Nya; dan kebenaran-Nya, itulah yang menopang Dia. Sebab Ia mengenakan kebenaran seperti baju zirah, dan ketopong keselamatan di atas kepala-Nya; dan Ia mengenakan pakaian pembalasan sebagai busana, dan berselubungkan kecemburuan yang berkobar-kobar seperti jubah. Setimpal dengan perbuatan mereka, demikianlah Ia akan membalas, kegemasan kepada para lawan-Nya, ganjaran kepada musuh-musuh-Nya; kepada pulau-pulau Ia akan membayar ganjaran. Maka mereka akan takut akan nama TUHAN dari barat, dan akan kemuliaan-Nya dari terbitnya matahari. Apabila musuh datang seperti air bah, Roh TUHAN akan mengangkat panji-panji melawan dia. Dan Penebus akan datang ke Sion, dan kepada mereka yang berbalik dari pelanggaran di antara Yakub, firman TUHAN. Mengenai Aku, inilah perjanjian-Ku dengan mereka, firman TUHAN: Roh-Ku yang ada padamu, dan firman-firman-Ku yang telah Kutaruh di dalam mulutmu, tidak akan menyimpang dari mulutmu, maupun dari mulut keturunanmu, maupun dari mulut keturunan keturunanmu, firman TUHAN, dari sekarang sampai selama-lamanya. Yesaya 59:13–21.</w:t>
      </w:r>
    </w:p>
    <w:p>
      <w:pPr>
        <w:pStyle w:val="ArticleBody"/>
        <w:jc w:val="left"/>
      </w:pPr>
      <w:r>
        <w:rPr>
          <w:rFonts w:ascii="Times New Roman" w:hAnsi="Times New Roman" w:eastAsia="Times New Roman" w:cs="Times New Roman"/>
        </w:rPr>
        <w:t>Штандартот што се издига кога непријателот надоаѓа како поплава е знамето, кое во Божјата Реч исто така е штандарт. Во времето што му претходи на скоро доаѓачкиот неделен закон, поплавите од незаконска имиграција се знак дека времето на милоста е на прагот да се затвори. Околностите што Исаија ги посочува кога зборува за издигање на еден штандарт опишуваат период на беззаконие, зашто тој вели: „судот е оттурнат наназад, и правдата стои далеку: зашто вистината падна на улицата, и правичноста не може да влезе. Да, вистината изнемоште; и кој се отстранува од злото, самиот станува плен: и Господ го виде тоа, и Му беше неугодно што немаше суд. И виде дека немаше човек, и се зачуди што немаше посредник.“ Анархијата што била финансирана од луѓе како Џорџ Сорос, и била занемарувана од демократските политичари, соодветно е опишана од Сестра Вајт во врска со овој пасус од Исаија.</w:t>
      </w:r>
    </w:p>
    <w:p>
      <w:pPr>
        <w:pStyle w:val="ArticleScripture"/>
        <w:jc w:val="left"/>
      </w:pPr>
      <w:r>
        <w:rPr>
          <w:rFonts w:ascii="Times New Roman" w:hAnsi="Times New Roman" w:eastAsia="Times New Roman" w:cs="Times New Roman"/>
        </w:rPr>
        <w:t>“Les tribunaux de la justice sont corrompus. Les gouvernants sont mus par le désir du gain et l’amour des plaisirs sensuels. L’intempérance a obscurci les facultés de beaucoup, de sorte que Satan exerce sur eux un contrôle presque complet. Les juristes sont pervertis, soudoyés, abusés. L’ivrognerie et les excès, la passion, l’envie, la malhonnêteté de toute espèce, se rencontrent parmi ceux qui administrent les lois. ‘La justice se tient éloignée; car la vérité trébuche sur la place publique, et la droiture ne peut approcher.’ Ésaïe 59:14.” La Tragédie des siècles, 586.</w:t>
      </w:r>
    </w:p>
    <w:p>
      <w:pPr>
        <w:pStyle w:val="ArticleBody"/>
        <w:jc w:val="left"/>
      </w:pPr>
      <w:r>
        <w:rPr>
          <w:rFonts w:ascii="Times New Roman" w:hAnsi="Times New Roman" w:eastAsia="Times New Roman" w:cs="Times New Roman"/>
        </w:rPr>
        <w:t>Боздоштнашавандаи ғайриқонунӣ, ҳаракатҳои анархистӣ чун Антифа (зиддифошистон) ва ҳаракатҳои хушунатомез чун Black Lives Matter, ки бар чунин ривояти таҳрифшудаи таърихӣ, мисли Назарияи интиқодии нажод, бино ёфтаанд, аз ҷониби ҳокимони сиёсии аждаҳо дастгирӣ ва тарғиб шудаанд; ва судҳо ва ҳуқуқшиносони фосид ҳақиқатро ба ҳамон кӯчае афканданд, ки дар он ду шоҳид дар боби ёздаҳуми Ваҳй кушта шуданд. Он кӯча дар шаҳри бехудоистӣ (Миср) ва бадахлоқӣ (Садӯм) буд, ки он шаҳри аждаҳо ва намояндагони ӯст. Муҳите, ки аз меваҳои ҳизби демократ намояндагӣ мешавад, ба таври нубувватӣ ҳамчун сел тасвир мегардад; ва ҳангоме ки Шайтон, ҳамчун душмани Худо, оббандҳои сели худро мекушояд, ин далелест, ки алами Худо ба зудӣ барафрохта хоҳад шуд.</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w:t>
      </w:r>
      <w:r>
        <w:rPr>
          <w:rFonts w:ascii="Nirmala UI" w:hAnsi="Nirmala UI" w:eastAsia="Nirmala UI" w:cs="Nirmala UI"/>
        </w:rPr>
        <w:t>সंसারে</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অবস্থার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তাকালে</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সংকটময়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একেবারে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দোরগোড়ায়</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দৈনিক</w:t>
      </w:r>
      <w:r>
        <w:rPr>
          <w:rFonts w:ascii="Times New Roman" w:hAnsi="Times New Roman" w:eastAsia="Times New Roman" w:cs="Times New Roman"/>
        </w:rPr>
        <w:t xml:space="preserve"> </w:t>
      </w:r>
      <w:r>
        <w:rPr>
          <w:rFonts w:ascii="Nirmala UI" w:hAnsi="Nirmala UI" w:eastAsia="Nirmala UI" w:cs="Nirmala UI"/>
        </w:rPr>
        <w:t>সংবাদপত্রসমূহ</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ভবিষ্যতে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ভয়াবহ</w:t>
      </w:r>
      <w:r>
        <w:rPr>
          <w:rFonts w:ascii="Times New Roman" w:hAnsi="Times New Roman" w:eastAsia="Times New Roman" w:cs="Times New Roman"/>
        </w:rPr>
        <w:t xml:space="preserve"> </w:t>
      </w:r>
      <w:r>
        <w:rPr>
          <w:rFonts w:ascii="Nirmala UI" w:hAnsi="Nirmala UI" w:eastAsia="Nirmala UI" w:cs="Nirmala UI"/>
        </w:rPr>
        <w:t>সংঘর্ষের</w:t>
      </w:r>
      <w:r>
        <w:rPr>
          <w:rFonts w:ascii="Times New Roman" w:hAnsi="Times New Roman" w:eastAsia="Times New Roman" w:cs="Times New Roman"/>
        </w:rPr>
        <w:t xml:space="preserve"> </w:t>
      </w:r>
      <w:r>
        <w:rPr>
          <w:rFonts w:ascii="Nirmala UI" w:hAnsi="Nirmala UI" w:eastAsia="Nirmala UI" w:cs="Nirmala UI"/>
        </w:rPr>
        <w:t>ইঙ্গিতে</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দুঃসাহসিক</w:t>
      </w:r>
      <w:r>
        <w:rPr>
          <w:rFonts w:ascii="Times New Roman" w:hAnsi="Times New Roman" w:eastAsia="Times New Roman" w:cs="Times New Roman"/>
        </w:rPr>
        <w:t xml:space="preserve"> </w:t>
      </w:r>
      <w:r>
        <w:rPr>
          <w:rFonts w:ascii="Nirmala UI" w:hAnsi="Nirmala UI" w:eastAsia="Nirmala UI" w:cs="Nirmala UI"/>
        </w:rPr>
        <w:t>ডাকাতি</w:t>
      </w:r>
      <w:r>
        <w:rPr>
          <w:rFonts w:ascii="Times New Roman" w:hAnsi="Times New Roman" w:eastAsia="Times New Roman" w:cs="Times New Roman"/>
        </w:rPr>
        <w:t xml:space="preserve"> </w:t>
      </w:r>
      <w:r>
        <w:rPr>
          <w:rFonts w:ascii="Nirmala UI" w:hAnsi="Nirmala UI" w:eastAsia="Nirmala UI" w:cs="Nirmala UI"/>
        </w:rPr>
        <w:t>প্রায়ই</w:t>
      </w:r>
      <w:r>
        <w:rPr>
          <w:rFonts w:ascii="Times New Roman" w:hAnsi="Times New Roman" w:eastAsia="Times New Roman" w:cs="Times New Roman"/>
        </w:rPr>
        <w:t xml:space="preserve"> </w:t>
      </w:r>
      <w:r>
        <w:rPr>
          <w:rFonts w:ascii="Nirmala UI" w:hAnsi="Nirmala UI" w:eastAsia="Nirmala UI" w:cs="Nirmala UI"/>
        </w:rPr>
        <w:t>ঘটছে।</w:t>
      </w:r>
      <w:r>
        <w:rPr>
          <w:rFonts w:ascii="Times New Roman" w:hAnsi="Times New Roman" w:eastAsia="Times New Roman" w:cs="Times New Roman"/>
        </w:rPr>
        <w:t xml:space="preserve"> </w:t>
      </w:r>
      <w:r>
        <w:rPr>
          <w:rFonts w:ascii="Nirmala UI" w:hAnsi="Nirmala UI" w:eastAsia="Nirmala UI" w:cs="Nirmala UI"/>
        </w:rPr>
        <w:t>ধর্মঘট</w:t>
      </w:r>
      <w:r>
        <w:rPr>
          <w:rFonts w:ascii="Times New Roman" w:hAnsi="Times New Roman" w:eastAsia="Times New Roman" w:cs="Times New Roman"/>
        </w:rPr>
        <w:t xml:space="preserve"> </w:t>
      </w:r>
      <w:r>
        <w:rPr>
          <w:rFonts w:ascii="Nirmala UI" w:hAnsi="Nirmala UI" w:eastAsia="Nirmala UI" w:cs="Nirmala UI"/>
        </w:rPr>
        <w:t>সর্বত্রই</w:t>
      </w:r>
      <w:r>
        <w:rPr>
          <w:rFonts w:ascii="Times New Roman" w:hAnsi="Times New Roman" w:eastAsia="Times New Roman" w:cs="Times New Roman"/>
        </w:rPr>
        <w:t xml:space="preserve"> </w:t>
      </w:r>
      <w:r>
        <w:rPr>
          <w:rFonts w:ascii="Nirmala UI" w:hAnsi="Nirmala UI" w:eastAsia="Nirmala UI" w:cs="Nirmala UI"/>
        </w:rPr>
        <w:t>সাধারণ</w:t>
      </w:r>
      <w:r>
        <w:rPr>
          <w:rFonts w:ascii="Times New Roman" w:hAnsi="Times New Roman" w:eastAsia="Times New Roman" w:cs="Times New Roman"/>
        </w:rPr>
        <w:t xml:space="preserve"> </w:t>
      </w:r>
      <w:r>
        <w:rPr>
          <w:rFonts w:ascii="Nirmala UI" w:hAnsi="Nirmala UI" w:eastAsia="Nirmala UI" w:cs="Nirmala UI"/>
        </w:rPr>
        <w:t>ঘটনা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উঠেছে।</w:t>
      </w:r>
      <w:r>
        <w:rPr>
          <w:rFonts w:ascii="Times New Roman" w:hAnsi="Times New Roman" w:eastAsia="Times New Roman" w:cs="Times New Roman"/>
        </w:rPr>
        <w:t xml:space="preserve"> </w:t>
      </w:r>
      <w:r>
        <w:rPr>
          <w:rFonts w:ascii="Nirmala UI" w:hAnsi="Nirmala UI" w:eastAsia="Nirmala UI" w:cs="Nirmala UI"/>
        </w:rPr>
        <w:t>চারিদিকে</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হত্যা</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দুষ্টাত্মা</w:t>
      </w:r>
      <w:r>
        <w:rPr>
          <w:rFonts w:ascii="Times New Roman" w:hAnsi="Times New Roman" w:eastAsia="Times New Roman" w:cs="Times New Roman"/>
        </w:rPr>
        <w:t>-</w:t>
      </w:r>
      <w:r>
        <w:rPr>
          <w:rFonts w:ascii="Nirmala UI" w:hAnsi="Nirmala UI" w:eastAsia="Nirmala UI" w:cs="Nirmala UI"/>
        </w:rPr>
        <w:t>আবিষ্ট</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পুরুষ</w:t>
      </w:r>
      <w:r>
        <w:rPr>
          <w:rFonts w:ascii="Times New Roman" w:hAnsi="Times New Roman" w:eastAsia="Times New Roman" w:cs="Times New Roman"/>
        </w:rPr>
        <w:t xml:space="preserve">, </w:t>
      </w:r>
      <w:r>
        <w:rPr>
          <w:rFonts w:ascii="Nirmala UI" w:hAnsi="Nirmala UI" w:eastAsia="Nirmala UI" w:cs="Nirmala UI"/>
        </w:rPr>
        <w:t>নারী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ছোট</w:t>
      </w:r>
      <w:r>
        <w:rPr>
          <w:rFonts w:ascii="Times New Roman" w:hAnsi="Times New Roman" w:eastAsia="Times New Roman" w:cs="Times New Roman"/>
        </w:rPr>
        <w:t xml:space="preserve"> </w:t>
      </w:r>
      <w:r>
        <w:rPr>
          <w:rFonts w:ascii="Nirmala UI" w:hAnsi="Nirmala UI" w:eastAsia="Nirmala UI" w:cs="Nirmala UI"/>
        </w:rPr>
        <w:t>ছোট</w:t>
      </w:r>
      <w:r>
        <w:rPr>
          <w:rFonts w:ascii="Times New Roman" w:hAnsi="Times New Roman" w:eastAsia="Times New Roman" w:cs="Times New Roman"/>
        </w:rPr>
        <w:t xml:space="preserve"> </w:t>
      </w:r>
      <w:r>
        <w:rPr>
          <w:rFonts w:ascii="Nirmala UI" w:hAnsi="Nirmala UI" w:eastAsia="Nirmala UI" w:cs="Nirmala UI"/>
        </w:rPr>
        <w:t>শিশুর</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হরণ</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পাপাচারে</w:t>
      </w:r>
      <w:r>
        <w:rPr>
          <w:rFonts w:ascii="Times New Roman" w:hAnsi="Times New Roman" w:eastAsia="Times New Roman" w:cs="Times New Roman"/>
        </w:rPr>
        <w:t xml:space="preserve"> </w:t>
      </w:r>
      <w:r>
        <w:rPr>
          <w:rFonts w:ascii="Nirmala UI" w:hAnsi="Nirmala UI" w:eastAsia="Nirmala UI" w:cs="Nirmala UI"/>
        </w:rPr>
        <w:t>মোহাবিষ্ট</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পড়েছে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সর্বপ্রকার</w:t>
      </w:r>
      <w:r>
        <w:rPr>
          <w:rFonts w:ascii="Times New Roman" w:hAnsi="Times New Roman" w:eastAsia="Times New Roman" w:cs="Times New Roman"/>
        </w:rPr>
        <w:t xml:space="preserve"> </w:t>
      </w:r>
      <w:r>
        <w:rPr>
          <w:rFonts w:ascii="Nirmala UI" w:hAnsi="Nirmala UI" w:eastAsia="Nirmala UI" w:cs="Nirmala UI"/>
        </w:rPr>
        <w:t>অনিষ্টই</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উঠেছে।</w:t>
      </w:r>
      <w:r>
        <w:rPr>
          <w:rFonts w:ascii="Times New Roman" w:hAnsi="Times New Roman" w:eastAsia="Times New Roman" w:cs="Times New Roman"/>
        </w:rPr>
        <w:t xml:space="preserve"> </w:t>
      </w:r>
      <w:r>
        <w:rPr>
          <w:rFonts w:ascii="Nirmala UI" w:hAnsi="Nirmala UI" w:eastAsia="Nirmala UI" w:cs="Nirmala UI"/>
        </w:rPr>
        <w:t>শত্রু</w:t>
      </w:r>
      <w:r>
        <w:rPr>
          <w:rFonts w:ascii="Times New Roman" w:hAnsi="Times New Roman" w:eastAsia="Times New Roman" w:cs="Times New Roman"/>
        </w:rPr>
        <w:t xml:space="preserve"> </w:t>
      </w:r>
      <w:r>
        <w:rPr>
          <w:rFonts w:ascii="Nirmala UI" w:hAnsi="Nirmala UI" w:eastAsia="Nirmala UI" w:cs="Nirmala UI"/>
        </w:rPr>
        <w:t>ন্যায়বিচারকে</w:t>
      </w:r>
      <w:r>
        <w:rPr>
          <w:rFonts w:ascii="Times New Roman" w:hAnsi="Times New Roman" w:eastAsia="Times New Roman" w:cs="Times New Roman"/>
        </w:rPr>
        <w:t xml:space="preserve"> </w:t>
      </w:r>
      <w:r>
        <w:rPr>
          <w:rFonts w:ascii="Nirmala UI" w:hAnsi="Nirmala UI" w:eastAsia="Nirmala UI" w:cs="Nirmala UI"/>
        </w:rPr>
        <w:t>বিকৃত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হৃদয়কে</w:t>
      </w:r>
      <w:r>
        <w:rPr>
          <w:rFonts w:ascii="Times New Roman" w:hAnsi="Times New Roman" w:eastAsia="Times New Roman" w:cs="Times New Roman"/>
        </w:rPr>
        <w:t xml:space="preserve"> </w:t>
      </w:r>
      <w:r>
        <w:rPr>
          <w:rFonts w:ascii="Nirmala UI" w:hAnsi="Nirmala UI" w:eastAsia="Nirmala UI" w:cs="Nirmala UI"/>
        </w:rPr>
        <w:t>স্বার্থপর</w:t>
      </w:r>
      <w:r>
        <w:rPr>
          <w:rFonts w:ascii="Times New Roman" w:hAnsi="Times New Roman" w:eastAsia="Times New Roman" w:cs="Times New Roman"/>
        </w:rPr>
        <w:t xml:space="preserve"> </w:t>
      </w:r>
      <w:r>
        <w:rPr>
          <w:rFonts w:ascii="Nirmala UI" w:hAnsi="Nirmala UI" w:eastAsia="Nirmala UI" w:cs="Nirmala UI"/>
        </w:rPr>
        <w:t>লাভের</w:t>
      </w:r>
      <w:r>
        <w:rPr>
          <w:rFonts w:ascii="Times New Roman" w:hAnsi="Times New Roman" w:eastAsia="Times New Roman" w:cs="Times New Roman"/>
        </w:rPr>
        <w:t xml:space="preserve"> </w:t>
      </w:r>
      <w:r>
        <w:rPr>
          <w:rFonts w:ascii="Nirmala UI" w:hAnsi="Nirmala UI" w:eastAsia="Nirmala UI" w:cs="Nirmala UI"/>
        </w:rPr>
        <w:t>আকাঙ্ক্ষায়</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সফল</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ন্যায়বিচার</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দাঁড়াইয়া</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পথের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ন্যায়পরায়ণতা</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Isaiah 59:14. </w:t>
      </w:r>
      <w:r>
        <w:rPr>
          <w:rFonts w:ascii="Nirmala UI" w:hAnsi="Nirmala UI" w:eastAsia="Nirmala UI" w:cs="Nirmala UI"/>
        </w:rPr>
        <w:t>বৃহৎ</w:t>
      </w:r>
      <w:r>
        <w:rPr>
          <w:rFonts w:ascii="Times New Roman" w:hAnsi="Times New Roman" w:eastAsia="Times New Roman" w:cs="Times New Roman"/>
        </w:rPr>
        <w:t xml:space="preserve"> </w:t>
      </w:r>
      <w:r>
        <w:rPr>
          <w:rFonts w:ascii="Nirmala UI" w:hAnsi="Nirmala UI" w:eastAsia="Nirmala UI" w:cs="Nirmala UI"/>
        </w:rPr>
        <w:t>নগরসমূহে</w:t>
      </w:r>
      <w:r>
        <w:rPr>
          <w:rFonts w:ascii="Times New Roman" w:hAnsi="Times New Roman" w:eastAsia="Times New Roman" w:cs="Times New Roman"/>
        </w:rPr>
        <w:t xml:space="preserve"> </w:t>
      </w:r>
      <w:r>
        <w:rPr>
          <w:rFonts w:ascii="Nirmala UI" w:hAnsi="Nirmala UI" w:eastAsia="Nirmala UI" w:cs="Nirmala UI"/>
        </w:rPr>
        <w:t>অসংখ্য</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দারিদ্র্য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দুর্দশার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জীবনযাপন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খাদ্য</w:t>
      </w:r>
      <w:r>
        <w:rPr>
          <w:rFonts w:ascii="Times New Roman" w:hAnsi="Times New Roman" w:eastAsia="Times New Roman" w:cs="Times New Roman"/>
        </w:rPr>
        <w:t xml:space="preserve">, </w:t>
      </w:r>
      <w:r>
        <w:rPr>
          <w:rFonts w:ascii="Nirmala UI" w:hAnsi="Nirmala UI" w:eastAsia="Nirmala UI" w:cs="Nirmala UI"/>
        </w:rPr>
        <w:t>আশ্রয়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বস্ত্রহীন</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অথচ</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নগরগুলোতে</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লোকও</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কামনা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তারও</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সম্পদ</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বিলাসে</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কাটায়</w:t>
      </w:r>
      <w:r>
        <w:rPr>
          <w:rFonts w:ascii="Times New Roman" w:hAnsi="Times New Roman" w:eastAsia="Times New Roman" w:cs="Times New Roman"/>
        </w:rPr>
        <w:t xml:space="preserve">, </w:t>
      </w:r>
      <w:r>
        <w:rPr>
          <w:rFonts w:ascii="Nirmala UI" w:hAnsi="Nirmala UI" w:eastAsia="Nirmala UI" w:cs="Nirmala UI"/>
        </w:rPr>
        <w:t>সমৃদ্ধরূপে</w:t>
      </w:r>
      <w:r>
        <w:rPr>
          <w:rFonts w:ascii="Times New Roman" w:hAnsi="Times New Roman" w:eastAsia="Times New Roman" w:cs="Times New Roman"/>
        </w:rPr>
        <w:t xml:space="preserve"> </w:t>
      </w:r>
      <w:r>
        <w:rPr>
          <w:rFonts w:ascii="Nirmala UI" w:hAnsi="Nirmala UI" w:eastAsia="Nirmala UI" w:cs="Nirmala UI"/>
        </w:rPr>
        <w:t>সজ্জিত</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ব্যক্তিগত</w:t>
      </w:r>
      <w:r>
        <w:rPr>
          <w:rFonts w:ascii="Times New Roman" w:hAnsi="Times New Roman" w:eastAsia="Times New Roman" w:cs="Times New Roman"/>
        </w:rPr>
        <w:t xml:space="preserve"> </w:t>
      </w:r>
      <w:r>
        <w:rPr>
          <w:rFonts w:ascii="Nirmala UI" w:hAnsi="Nirmala UI" w:eastAsia="Nirmala UI" w:cs="Nirmala UI"/>
        </w:rPr>
        <w:t>অলংকরণে</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তারও</w:t>
      </w:r>
      <w:r>
        <w:rPr>
          <w:rFonts w:ascii="Times New Roman" w:hAnsi="Times New Roman" w:eastAsia="Times New Roman" w:cs="Times New Roman"/>
        </w:rPr>
        <w:t xml:space="preserve"> </w:t>
      </w:r>
      <w:r>
        <w:rPr>
          <w:rFonts w:ascii="Nirmala UI" w:hAnsi="Nirmala UI" w:eastAsia="Nirmala UI" w:cs="Nirmala UI"/>
        </w:rPr>
        <w:t>চেয়েও</w:t>
      </w:r>
      <w:r>
        <w:rPr>
          <w:rFonts w:ascii="Times New Roman" w:hAnsi="Times New Roman" w:eastAsia="Times New Roman" w:cs="Times New Roman"/>
        </w:rPr>
        <w:t xml:space="preserve"> </w:t>
      </w:r>
      <w:r>
        <w:rPr>
          <w:rFonts w:ascii="Nirmala UI" w:hAnsi="Nirmala UI" w:eastAsia="Nirmala UI" w:cs="Nirmala UI"/>
        </w:rPr>
        <w:t>মন্দভাবে</w:t>
      </w:r>
      <w:r>
        <w:rPr>
          <w:rFonts w:ascii="Times New Roman" w:hAnsi="Times New Roman" w:eastAsia="Times New Roman" w:cs="Times New Roman"/>
        </w:rPr>
        <w:t xml:space="preserve">, </w:t>
      </w:r>
      <w:r>
        <w:rPr>
          <w:rFonts w:ascii="Nirmala UI" w:hAnsi="Nirmala UI" w:eastAsia="Nirmala UI" w:cs="Nirmala UI"/>
        </w:rPr>
        <w:t>ইন্দ্রিয়পরায়ণ</w:t>
      </w:r>
      <w:r>
        <w:rPr>
          <w:rFonts w:ascii="Times New Roman" w:hAnsi="Times New Roman" w:eastAsia="Times New Roman" w:cs="Times New Roman"/>
        </w:rPr>
        <w:t xml:space="preserve"> </w:t>
      </w:r>
      <w:r>
        <w:rPr>
          <w:rFonts w:ascii="Nirmala UI" w:hAnsi="Nirmala UI" w:eastAsia="Nirmala UI" w:cs="Nirmala UI"/>
        </w:rPr>
        <w:t>বাসনার</w:t>
      </w:r>
      <w:r>
        <w:rPr>
          <w:rFonts w:ascii="Times New Roman" w:hAnsi="Times New Roman" w:eastAsia="Times New Roman" w:cs="Times New Roman"/>
        </w:rPr>
        <w:t xml:space="preserve"> </w:t>
      </w:r>
      <w:r>
        <w:rPr>
          <w:rFonts w:ascii="Nirmala UI" w:hAnsi="Nirmala UI" w:eastAsia="Nirmala UI" w:cs="Nirmala UI"/>
        </w:rPr>
        <w:t>পরিতৃপ্তিতে</w:t>
      </w:r>
      <w:r>
        <w:rPr>
          <w:rFonts w:ascii="Times New Roman" w:hAnsi="Times New Roman" w:eastAsia="Times New Roman" w:cs="Times New Roman"/>
        </w:rPr>
        <w:t xml:space="preserve">, </w:t>
      </w:r>
      <w:r>
        <w:rPr>
          <w:rFonts w:ascii="Nirmala UI" w:hAnsi="Nirmala UI" w:eastAsia="Nirmala UI" w:cs="Nirmala UI"/>
        </w:rPr>
        <w:t>মদ্যপান</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মস্তিষ্কের</w:t>
      </w:r>
      <w:r>
        <w:rPr>
          <w:rFonts w:ascii="Times New Roman" w:hAnsi="Times New Roman" w:eastAsia="Times New Roman" w:cs="Times New Roman"/>
        </w:rPr>
        <w:t xml:space="preserve"> </w:t>
      </w:r>
      <w:r>
        <w:rPr>
          <w:rFonts w:ascii="Nirmala UI" w:hAnsi="Nirmala UI" w:eastAsia="Nirmala UI" w:cs="Nirmala UI"/>
        </w:rPr>
        <w:t>শক্তিকে</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মনকে</w:t>
      </w:r>
      <w:r>
        <w:rPr>
          <w:rFonts w:ascii="Times New Roman" w:hAnsi="Times New Roman" w:eastAsia="Times New Roman" w:cs="Times New Roman"/>
        </w:rPr>
        <w:t xml:space="preserve"> </w:t>
      </w:r>
      <w:r>
        <w:rPr>
          <w:rFonts w:ascii="Nirmala UI" w:hAnsi="Nirmala UI" w:eastAsia="Nirmala UI" w:cs="Nirmala UI"/>
        </w:rPr>
        <w:t>ভারসাম্যহীন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অধঃপতিত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ব্যয়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ক্ষুধার্ত</w:t>
      </w:r>
      <w:r>
        <w:rPr>
          <w:rFonts w:ascii="Times New Roman" w:hAnsi="Times New Roman" w:eastAsia="Times New Roman" w:cs="Times New Roman"/>
        </w:rPr>
        <w:t xml:space="preserve"> </w:t>
      </w:r>
      <w:r>
        <w:rPr>
          <w:rFonts w:ascii="Nirmala UI" w:hAnsi="Nirmala UI" w:eastAsia="Nirmala UI" w:cs="Nirmala UI"/>
        </w:rPr>
        <w:t>মানবতার</w:t>
      </w:r>
      <w:r>
        <w:rPr>
          <w:rFonts w:ascii="Times New Roman" w:hAnsi="Times New Roman" w:eastAsia="Times New Roman" w:cs="Times New Roman"/>
        </w:rPr>
        <w:t xml:space="preserve"> </w:t>
      </w:r>
      <w:r>
        <w:rPr>
          <w:rFonts w:ascii="Nirmala UI" w:hAnsi="Nirmala UI" w:eastAsia="Nirmala UI" w:cs="Nirmala UI"/>
        </w:rPr>
        <w:t>আর্তনাদ</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উঠিতেছে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এদিকে</w:t>
      </w:r>
      <w:r>
        <w:rPr>
          <w:rFonts w:ascii="Times New Roman" w:hAnsi="Times New Roman" w:eastAsia="Times New Roman" w:cs="Times New Roman"/>
        </w:rPr>
        <w:t xml:space="preserve"> </w:t>
      </w:r>
      <w:r>
        <w:rPr>
          <w:rFonts w:ascii="Nirmala UI" w:hAnsi="Nirmala UI" w:eastAsia="Nirmala UI" w:cs="Nirmala UI"/>
        </w:rPr>
        <w:t>সর্বপ্রকার</w:t>
      </w:r>
      <w:r>
        <w:rPr>
          <w:rFonts w:ascii="Times New Roman" w:hAnsi="Times New Roman" w:eastAsia="Times New Roman" w:cs="Times New Roman"/>
        </w:rPr>
        <w:t xml:space="preserve"> </w:t>
      </w:r>
      <w:r>
        <w:rPr>
          <w:rFonts w:ascii="Nirmala UI" w:hAnsi="Nirmala UI" w:eastAsia="Nirmala UI" w:cs="Nirmala UI"/>
        </w:rPr>
        <w:t>অত্যাচার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শোষণের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বিপুলাকায়</w:t>
      </w:r>
      <w:r>
        <w:rPr>
          <w:rFonts w:ascii="Times New Roman" w:hAnsi="Times New Roman" w:eastAsia="Times New Roman" w:cs="Times New Roman"/>
        </w:rPr>
        <w:t xml:space="preserve"> </w:t>
      </w:r>
      <w:r>
        <w:rPr>
          <w:rFonts w:ascii="Nirmala UI" w:hAnsi="Nirmala UI" w:eastAsia="Nirmala UI" w:cs="Nirmala UI"/>
        </w:rPr>
        <w:t>সম্পদের</w:t>
      </w:r>
      <w:r>
        <w:rPr>
          <w:rFonts w:ascii="Times New Roman" w:hAnsi="Times New Roman" w:eastAsia="Times New Roman" w:cs="Times New Roman"/>
        </w:rPr>
        <w:t xml:space="preserve"> </w:t>
      </w:r>
      <w:r>
        <w:rPr>
          <w:rFonts w:ascii="Nirmala UI" w:hAnsi="Nirmala UI" w:eastAsia="Nirmala UI" w:cs="Nirmala UI"/>
        </w:rPr>
        <w:t>সঞ্চয়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চলেছে।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“Bangsana bilbil ko iti rabii a panawen a kitaen dagiti bilding a tumakder, estoria kalpasan ti estoria, nga agpangato agingga iti langit. Naipaneknek kadagitoy a bilding a saan a madarup iti apuy, ket naipatakderda tapno maidaydayaw dagiti akin-kuada ken dagiti nangbangon kadakuada. Nagpangato pay laeng, ken nangato pay laeng dagitoy a bilding, ket iti unegda naaramat dagiti kagatangan unay a materiales. Dagidiay a kukuada dagitoy a bilding saan a dinamag dagiti bagbagida: ‘Kasano ti kasayaatan a panangidaydayawtayo iti Dios?’ Ti Apo awan idi iti pampanunotda.</w:t>
      </w:r>
    </w:p>
    <w:p>
      <w:pPr>
        <w:pStyle w:val="ArticleScripture"/>
        <w:jc w:val="left"/>
      </w:pPr>
      <w:r>
        <w:rPr>
          <w:rFonts w:ascii="Times New Roman" w:hAnsi="Times New Roman" w:eastAsia="Times New Roman" w:cs="Times New Roman"/>
        </w:rPr>
        <w:t>“Gidait dagiti nangato nga edificio, nagrag-o dagiti makinkukua babaen iti mapukaw a kinatangsit, gapu ta adda kuartada a mausar a mangparagsak iti bagbagida ken a mangpukaw iti imon dagiti kaarrubaanda. Adu iti kuarta a kasta ti ininvestarda ket naala babaen iti panangpilit, babaen iti napigsa a panangirurumen kadagiti napanglaw. Nabay-annda a iti langit maipateg ti kuenta ti tunggal pannakilanglang iti negosyo; tunggal saan a nalinteg a tulag, tunggal allilaw a aramid, ket nairekord sadiay. Umay ti tiempo a iti panagallilawda ken kinatapangda dagiti tattao dumtengda iti maysa a ponto a saanen a palubosan ti Apo a labusanda, ket maammoda a adda patingga ti kinaanus ni Jehova.”</w:t>
      </w:r>
    </w:p>
    <w:p>
      <w:pPr>
        <w:pStyle w:val="ArticleScripture"/>
        <w:jc w:val="left"/>
      </w:pPr>
      <w:r>
        <w:rPr>
          <w:rFonts w:ascii="Times New Roman" w:hAnsi="Times New Roman" w:eastAsia="Times New Roman" w:cs="Times New Roman"/>
        </w:rPr>
        <w:t>« La scène qui passa ensuite devant moi fut celle d’une alerte au feu. Des hommes regardaient les bâtiments élevés et prétendument à l’épreuve du feu, et disaient : “Ils sont parfaitement en sécurité.” Mais ces bâtiments furent consumés comme s’ils eussent été faits de poix. Les pompes à incendie ne purent rien faire pour arrêter la destruction. Les pompiers furent incapables de faire fonctionner les pompes. »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чилу сеюм</dc:title>
  <dc:subject>Dévoilement des schémas prophétiques : le dernier président et l’image de la bête</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