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quarante-neuf</w:t>
      </w:r>
    </w:p>
    <w:p>
      <w:pPr>
        <w:pStyle w:val="ArticleSubtitle"/>
        <w:jc w:val="left"/>
      </w:pPr>
      <w:r>
        <w:rPr>
          <w:rFonts w:ascii="Nirmala UI" w:hAnsi="Nirmala UI" w:eastAsia="Nirmala UI" w:cs="Nirmala UI"/>
        </w:rPr>
        <w:t>सर्वेश्वरस्य</w:t>
      </w:r>
      <w:r>
        <w:rPr>
          <w:rFonts w:ascii="Arial" w:hAnsi="Arial" w:eastAsia="Arial" w:cs="Arial"/>
        </w:rPr>
        <w:t xml:space="preserve"> </w:t>
      </w:r>
      <w:r>
        <w:rPr>
          <w:rFonts w:ascii="Nirmala UI" w:hAnsi="Nirmala UI" w:eastAsia="Nirmala UI" w:cs="Nirmala UI"/>
        </w:rPr>
        <w:t>रहस्यस्य</w:t>
      </w:r>
      <w:r>
        <w:rPr>
          <w:rFonts w:ascii="Arial" w:hAnsi="Arial" w:eastAsia="Arial" w:cs="Arial"/>
        </w:rPr>
        <w:t xml:space="preserve"> </w:t>
      </w:r>
      <w:r>
        <w:rPr>
          <w:rFonts w:ascii="Nirmala UI" w:hAnsi="Nirmala UI" w:eastAsia="Nirmala UI" w:cs="Nirmala UI"/>
        </w:rPr>
        <w:t>प्रकाशनम्</w:t>
      </w:r>
      <w:r>
        <w:rPr>
          <w:rFonts w:ascii="Arial" w:hAnsi="Arial" w:eastAsia="Arial" w:cs="Arial"/>
        </w:rPr>
        <w:t xml:space="preserve">: </w:t>
      </w:r>
      <w:r>
        <w:rPr>
          <w:rFonts w:ascii="Nirmala UI" w:hAnsi="Nirmala UI" w:eastAsia="Nirmala UI" w:cs="Nirmala UI"/>
        </w:rPr>
        <w:t>दिव्यता</w:t>
      </w:r>
      <w:r>
        <w:rPr>
          <w:rFonts w:ascii="Arial" w:hAnsi="Arial" w:eastAsia="Arial" w:cs="Arial"/>
        </w:rPr>
        <w:t>-</w:t>
      </w:r>
      <w:r>
        <w:rPr>
          <w:rFonts w:ascii="Nirmala UI" w:hAnsi="Nirmala UI" w:eastAsia="Nirmala UI" w:cs="Nirmala UI"/>
        </w:rPr>
        <w:t>मानवत्वयोः</w:t>
      </w:r>
      <w:r>
        <w:rPr>
          <w:rFonts w:ascii="Arial" w:hAnsi="Arial" w:eastAsia="Arial" w:cs="Arial"/>
        </w:rPr>
        <w:t xml:space="preserve"> </w:t>
      </w:r>
      <w:r>
        <w:rPr>
          <w:rFonts w:ascii="Nirmala UI" w:hAnsi="Nirmala UI" w:eastAsia="Nirmala UI" w:cs="Nirmala UI"/>
        </w:rPr>
        <w:t>ऐक्यकरणम्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Mí hò fọ́n súsú awẹklẹ tọn he wá zọ́n do vẹsì fọ́tì tọn Dáníẹ́lì orí kọkànlá mẹ. Yẹ̀ wá yí gblọ́n nù nukúnmẹ tọn awẹklẹ he sẹ̀ dó vẹsì enẹ mẹ, ehe nọ ṣàlàyé awẹklẹ tọn ìlà inú he nọ ṣojú awẹklẹ tọn ìwo Pọtẹsítáǹtì tọn ẹranko ilẹ̀. Mí nọ lò ìsọ̀kan tọn òpá méjì Éṣékíẹ́lì mẹ orí kẹtàdínlọ́gbọ̀n gẹ́gẹ́ bí ibi ìtọ́kasí láti mọ ìjìnlẹ̀-ìkọ̀kọ̀ Ọlọ́run, nípa Kristi nínú ìṣọ̀kan ìwà-Ọlọ́run Rẹ̀ pẹ̀lú ènìyàn, nígbà tí angẹli kẹta dé. Ìlà lórí ìlà, ìhìn iṣẹ́ ìjìnlẹ̀-ìkọ̀kọ̀ Ọlọ́run tí Jòhánù dá mọ̀ gẹ́gẹ́ bí ohun tí yóò parí nígbà ìlù kíkàn ti ipè keje, ni a rán ní pàtó sí Láodíkíà nípasẹ̀ aposteli Pọ́ọ̀lù. Ẹ̀rí Éṣékíẹ́lì, Jòhánù àti Pọ́ọ̀lù bá ara wọn mu pẹ̀lú ìjìnlẹ̀-ìkọ̀kọ̀ Ọlọ́run kan náà tí a ṣojú rẹ̀ nínú ìhìn iṣẹ́ Jones àti Waggoner ní ọdún 1888, èyí tí í ṣe ìhìn iṣẹ́ sí Láodíkíà.</w:t>
      </w:r>
    </w:p>
    <w:p>
      <w:pPr>
        <w:pStyle w:val="ArticleScripture"/>
        <w:jc w:val="left"/>
      </w:pPr>
      <w:r>
        <w:rPr>
          <w:rFonts w:ascii="Times New Roman" w:hAnsi="Times New Roman" w:eastAsia="Times New Roman" w:cs="Times New Roman"/>
        </w:rPr>
        <w:t>Car je voudrais que vous sachiez quel grand combat je soutiens pour vous, pour ceux de Laodicée, et pour tous ceux qui n’ont pas vu mon visage selon la chair, afin que leurs cœurs soient consolés, étant unis dans l’amour, et parviennent à toutes les richesses de la pleine certitude de l’intelligence, pour la connaissance du mystère de Dieu, et du Père, et de Christ, en qui sont cachés tous les trésors de la sagesse et de la connaissance. Colossiens 2:1–3.</w:t>
      </w:r>
    </w:p>
    <w:p>
      <w:pPr>
        <w:pStyle w:val="ArticleBody"/>
        <w:jc w:val="left"/>
      </w:pPr>
      <w:r>
        <w:rPr>
          <w:rFonts w:ascii="Times New Roman" w:hAnsi="Times New Roman" w:eastAsia="Times New Roman" w:cs="Times New Roman"/>
        </w:rPr>
        <w:t>L’œuvre d’expiation, consistant à unir les deux bâtons de la divinité et de l’humanité, commença lorsque le troisième ange arriva ; mais Paul traite de l’accomplissement final et parfait de l’union des deux bâtons, lequel est le mystère de Dieu. Il identifie donc ce message comme étant le message à Laodicée, qui parvint d’abord en 1856, puis fut répété en 1888, et trouva ensuite son accomplissement parfait le 11 septembre 2001. Paul présente le temple sous une nature double lorsqu’il exposa le mystère de Dieu, qui devait s’achever au son de la septième trompette. Il divise ce mystère en une tête et un corps.</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उठनेवालों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परिपूर्णता</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बहाए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निष्कलंक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कुलुस्सियों</w:t>
      </w:r>
      <w:r>
        <w:rPr>
          <w:rFonts w:ascii="Times New Roman" w:hAnsi="Times New Roman" w:eastAsia="Times New Roman" w:cs="Times New Roman"/>
        </w:rPr>
        <w:t xml:space="preserve"> 1:18–25</w:t>
      </w:r>
      <w:r>
        <w:rPr>
          <w:rFonts w:ascii="Nirmala UI" w:hAnsi="Nirmala UI" w:eastAsia="Nirmala UI" w:cs="Nirmala UI"/>
        </w:rPr>
        <w:t>।</w:t>
      </w:r>
    </w:p>
    <w:p>
      <w:pPr>
        <w:pStyle w:val="ArticleBody"/>
        <w:jc w:val="left"/>
      </w:pPr>
      <w:r>
        <w:rPr>
          <w:rFonts w:ascii="Times New Roman" w:hAnsi="Times New Roman" w:eastAsia="Times New Roman" w:cs="Times New Roman"/>
        </w:rPr>
        <w:t>Christ est la tête, qui doit avoir la prééminence en toutes choses, et son Église est le corps. Ensemble, la tête et le corps représentent l’union de la divinité avec l’humanité, et un autre fait important s’y trouve également mis en évidence. Le rapport de la tête et du corps est tel que la tête doit avoir la prééminence sur le corps. Chez l’humanité, créée à l’image de Dieu, les facultés supérieures (la tête) doivent exercer la domination sur les facultés inférieures (le corps). Ensemble, elles forment un seul être, ou, selon la terminologie du temple que Jean devait mesurer, elles représentent le lieu saint (l’humanité, le corps) et le lieu très saint (la divinité, la tête). La manière dont ces deux sont unis en « un seul bâton », ou en un seul corps, est l’œuvre de l’« expiement ». Paul poursuit :</w:t>
      </w:r>
    </w:p>
    <w:p>
      <w:pPr>
        <w:pStyle w:val="ArticleScripture"/>
        <w:jc w:val="left"/>
      </w:pPr>
      <w:r>
        <w:rPr>
          <w:rFonts w:ascii="Leelawadee UI" w:hAnsi="Leelawadee UI" w:eastAsia="Leelawadee UI" w:cs="Leelawadee UI"/>
        </w:rPr>
        <w:t>ซึ่งข้าพเจ้าได้ถูกตั้งให้เป็นผู้ปรนนิบัติ</w:t>
      </w:r>
      <w:r>
        <w:rPr>
          <w:rFonts w:ascii="Times New Roman" w:hAnsi="Times New Roman" w:eastAsia="Times New Roman" w:cs="Times New Roman"/>
        </w:rPr>
        <w:t xml:space="preserve"> </w:t>
      </w:r>
      <w:r>
        <w:rPr>
          <w:rFonts w:ascii="Leelawadee UI" w:hAnsi="Leelawadee UI" w:eastAsia="Leelawadee UI" w:cs="Leelawadee UI"/>
        </w:rPr>
        <w:t>ตามการทรงมอบหมายของพระเจ้า</w:t>
      </w:r>
      <w:r>
        <w:rPr>
          <w:rFonts w:ascii="Times New Roman" w:hAnsi="Times New Roman" w:eastAsia="Times New Roman" w:cs="Times New Roman"/>
        </w:rPr>
        <w:t xml:space="preserve"> </w:t>
      </w:r>
      <w:r>
        <w:rPr>
          <w:rFonts w:ascii="Leelawadee UI" w:hAnsi="Leelawadee UI" w:eastAsia="Leelawadee UI" w:cs="Leelawadee UI"/>
        </w:rPr>
        <w:t>ซึ่งได้ประทานแก่ข้าพเจ้าเพื่อท่านทั้งหลาย</w:t>
      </w:r>
      <w:r>
        <w:rPr>
          <w:rFonts w:ascii="Times New Roman" w:hAnsi="Times New Roman" w:eastAsia="Times New Roman" w:cs="Times New Roman"/>
        </w:rPr>
        <w:t xml:space="preserve"> </w:t>
      </w:r>
      <w:r>
        <w:rPr>
          <w:rFonts w:ascii="Leelawadee UI" w:hAnsi="Leelawadee UI" w:eastAsia="Leelawadee UI" w:cs="Leelawadee UI"/>
        </w:rPr>
        <w:t>ให้กระทำพระวจนะของพระเจ้าให้สำเร็จครบถ้วน</w:t>
      </w:r>
      <w:r>
        <w:rPr>
          <w:rFonts w:ascii="Times New Roman" w:hAnsi="Times New Roman" w:eastAsia="Times New Roman" w:cs="Times New Roman"/>
        </w:rPr>
        <w:t xml:space="preserve"> </w:t>
      </w:r>
      <w:r>
        <w:rPr>
          <w:rFonts w:ascii="Leelawadee UI" w:hAnsi="Leelawadee UI" w:eastAsia="Leelawadee UI" w:cs="Leelawadee UI"/>
        </w:rPr>
        <w:t>คือความล้ำลึกที่ได้ถูกซ่อนไว้ตั้งแต่บรรดายุคทั้งหลายและบรรดาชั่วอายุคน</w:t>
      </w:r>
      <w:r>
        <w:rPr>
          <w:rFonts w:ascii="Times New Roman" w:hAnsi="Times New Roman" w:eastAsia="Times New Roman" w:cs="Times New Roman"/>
        </w:rPr>
        <w:t xml:space="preserve"> </w:t>
      </w:r>
      <w:r>
        <w:rPr>
          <w:rFonts w:ascii="Leelawadee UI" w:hAnsi="Leelawadee UI" w:eastAsia="Leelawadee UI" w:cs="Leelawadee UI"/>
        </w:rPr>
        <w:t>แต่บัดนี้ได้ทรงสำแดงแก่ธรรมิกชนของพระองค์แล้ว</w:t>
      </w:r>
      <w:r>
        <w:rPr>
          <w:rFonts w:ascii="Times New Roman" w:hAnsi="Times New Roman" w:eastAsia="Times New Roman" w:cs="Times New Roman"/>
        </w:rPr>
        <w:t xml:space="preserve"> </w:t>
      </w:r>
      <w:r>
        <w:rPr>
          <w:rFonts w:ascii="Leelawadee UI" w:hAnsi="Leelawadee UI" w:eastAsia="Leelawadee UI" w:cs="Leelawadee UI"/>
        </w:rPr>
        <w:t>แก่คนเหล่านั้นพระเจ้าทรงประสงค์จะให้รู้ว่า</w:t>
      </w:r>
      <w:r>
        <w:rPr>
          <w:rFonts w:ascii="Times New Roman" w:hAnsi="Times New Roman" w:eastAsia="Times New Roman" w:cs="Times New Roman"/>
        </w:rPr>
        <w:t xml:space="preserve"> </w:t>
      </w:r>
      <w:r>
        <w:rPr>
          <w:rFonts w:ascii="Leelawadee UI" w:hAnsi="Leelawadee UI" w:eastAsia="Leelawadee UI" w:cs="Leelawadee UI"/>
        </w:rPr>
        <w:t>พระสิริอันมั่งคั่งแห่งความล้ำลึกนี้ท่ามกลางพวกต่างชาตินั้นคืออะไร</w:t>
      </w:r>
      <w:r>
        <w:rPr>
          <w:rFonts w:ascii="Times New Roman" w:hAnsi="Times New Roman" w:eastAsia="Times New Roman" w:cs="Times New Roman"/>
        </w:rPr>
        <w:t xml:space="preserve"> </w:t>
      </w:r>
      <w:r>
        <w:rPr>
          <w:rFonts w:ascii="Leelawadee UI" w:hAnsi="Leelawadee UI" w:eastAsia="Leelawadee UI" w:cs="Leelawadee UI"/>
        </w:rPr>
        <w:t>ซึ่งก็คือพระคริสต์ในท่านทั้งหลาย</w:t>
      </w:r>
      <w:r>
        <w:rPr>
          <w:rFonts w:ascii="Times New Roman" w:hAnsi="Times New Roman" w:eastAsia="Times New Roman" w:cs="Times New Roman"/>
        </w:rPr>
        <w:t xml:space="preserve"> </w:t>
      </w:r>
      <w:r>
        <w:rPr>
          <w:rFonts w:ascii="Leelawadee UI" w:hAnsi="Leelawadee UI" w:eastAsia="Leelawadee UI" w:cs="Leelawadee UI"/>
        </w:rPr>
        <w:t>อันเป็นความหวังแห่งพระสิริ</w:t>
      </w:r>
      <w:r>
        <w:rPr>
          <w:rFonts w:ascii="Times New Roman" w:hAnsi="Times New Roman" w:eastAsia="Times New Roman" w:cs="Times New Roman"/>
        </w:rPr>
        <w:t xml:space="preserve"> </w:t>
      </w:r>
      <w:r>
        <w:rPr>
          <w:rFonts w:ascii="Leelawadee UI" w:hAnsi="Leelawadee UI" w:eastAsia="Leelawadee UI" w:cs="Leelawadee UI"/>
        </w:rPr>
        <w:t>ผู้ซึ่งเราประกาศอยู่</w:t>
      </w:r>
      <w:r>
        <w:rPr>
          <w:rFonts w:ascii="Times New Roman" w:hAnsi="Times New Roman" w:eastAsia="Times New Roman" w:cs="Times New Roman"/>
        </w:rPr>
        <w:t xml:space="preserve"> </w:t>
      </w:r>
      <w:r>
        <w:rPr>
          <w:rFonts w:ascii="Leelawadee UI" w:hAnsi="Leelawadee UI" w:eastAsia="Leelawadee UI" w:cs="Leelawadee UI"/>
        </w:rPr>
        <w:t>โดยตักเตือนทุกคน</w:t>
      </w:r>
      <w:r>
        <w:rPr>
          <w:rFonts w:ascii="Times New Roman" w:hAnsi="Times New Roman" w:eastAsia="Times New Roman" w:cs="Times New Roman"/>
        </w:rPr>
        <w:t xml:space="preserve"> </w:t>
      </w:r>
      <w:r>
        <w:rPr>
          <w:rFonts w:ascii="Leelawadee UI" w:hAnsi="Leelawadee UI" w:eastAsia="Leelawadee UI" w:cs="Leelawadee UI"/>
        </w:rPr>
        <w:t>และสั่งสอนทุกคนด้วยปัญญาทุกอย่าง</w:t>
      </w:r>
      <w:r>
        <w:rPr>
          <w:rFonts w:ascii="Times New Roman" w:hAnsi="Times New Roman" w:eastAsia="Times New Roman" w:cs="Times New Roman"/>
        </w:rPr>
        <w:t xml:space="preserve"> </w:t>
      </w:r>
      <w:r>
        <w:rPr>
          <w:rFonts w:ascii="Leelawadee UI" w:hAnsi="Leelawadee UI" w:eastAsia="Leelawadee UI" w:cs="Leelawadee UI"/>
        </w:rPr>
        <w:t>เพื่อเราจะได้ถวายทุกคนไว้เป็นคนที่ถึงพร้อมแล้วในพระเยซูคริสต์</w:t>
      </w:r>
      <w:r>
        <w:rPr>
          <w:rFonts w:ascii="Times New Roman" w:hAnsi="Times New Roman" w:eastAsia="Times New Roman" w:cs="Times New Roman"/>
        </w:rPr>
        <w:t xml:space="preserve"> </w:t>
      </w:r>
      <w:r>
        <w:rPr>
          <w:rFonts w:ascii="Leelawadee UI" w:hAnsi="Leelawadee UI" w:eastAsia="Leelawadee UI" w:cs="Leelawadee UI"/>
        </w:rPr>
        <w:t>เพื่อการนี้ข้าพเจ้าจึงตรากตรำด้วย</w:t>
      </w:r>
      <w:r>
        <w:rPr>
          <w:rFonts w:ascii="Times New Roman" w:hAnsi="Times New Roman" w:eastAsia="Times New Roman" w:cs="Times New Roman"/>
        </w:rPr>
        <w:t xml:space="preserve"> </w:t>
      </w:r>
      <w:r>
        <w:rPr>
          <w:rFonts w:ascii="Leelawadee UI" w:hAnsi="Leelawadee UI" w:eastAsia="Leelawadee UI" w:cs="Leelawadee UI"/>
        </w:rPr>
        <w:t>โดยต่อสู้อย่างสุดกำลังตามการทรงกระทำของพระองค์</w:t>
      </w:r>
      <w:r>
        <w:rPr>
          <w:rFonts w:ascii="Times New Roman" w:hAnsi="Times New Roman" w:eastAsia="Times New Roman" w:cs="Times New Roman"/>
        </w:rPr>
        <w:t xml:space="preserve"> </w:t>
      </w:r>
      <w:r>
        <w:rPr>
          <w:rFonts w:ascii="Leelawadee UI" w:hAnsi="Leelawadee UI" w:eastAsia="Leelawadee UI" w:cs="Leelawadee UI"/>
        </w:rPr>
        <w:t>ซึ่งทรงกระทำอยู่ในข้าพเจ้าอย่างทรงฤทธิ์ยิ่ง</w:t>
      </w:r>
      <w:r>
        <w:rPr>
          <w:rFonts w:ascii="Times New Roman" w:hAnsi="Times New Roman" w:eastAsia="Times New Roman" w:cs="Times New Roman"/>
        </w:rPr>
        <w:t xml:space="preserve"> </w:t>
      </w:r>
      <w:r>
        <w:rPr>
          <w:rFonts w:ascii="Leelawadee UI" w:hAnsi="Leelawadee UI" w:eastAsia="Leelawadee UI" w:cs="Leelawadee UI"/>
        </w:rPr>
        <w:t>โคโลสี</w:t>
      </w:r>
      <w:r>
        <w:rPr>
          <w:rFonts w:ascii="Times New Roman" w:hAnsi="Times New Roman" w:eastAsia="Times New Roman" w:cs="Times New Roman"/>
        </w:rPr>
        <w:t xml:space="preserve"> 1:25–29</w:t>
      </w:r>
    </w:p>
    <w:p>
      <w:pPr>
        <w:pStyle w:val="ArticleBody"/>
        <w:jc w:val="left"/>
      </w:pPr>
      <w:r>
        <w:rPr>
          <w:rFonts w:ascii="Times New Roman" w:hAnsi="Times New Roman" w:eastAsia="Times New Roman" w:cs="Times New Roman"/>
        </w:rPr>
        <w:t>La perfection des cent quarante-quatre mille, qui présente « tout homme parfait en Christ », est le « mystère de Dieu », lequel est l’union de la divinité avec l’humanité, ou, comme Paul l’exprime, « Christ en » l’humanité, « l’espérance de la gloire ». Aux jours où retentit la Septième Trompette, ce mystère s’accomplit. Lorsque Ézéchiel identifie cette jonction, il emploie deux bâtons, l’un pour le royaume du nord et l’autre pour le royaume du sud, afin d’indiquer le lien symbolique, lequel représente le temple par le nombre « quarante-six ». Le bâton du lien symbolique de « quarante-six » doit être joint au lien symbolique de « deux cent vingt ».</w:t>
      </w:r>
    </w:p>
    <w:p>
      <w:pPr>
        <w:pStyle w:val="ArticleBody"/>
        <w:jc w:val="left"/>
      </w:pPr>
      <w:r>
        <w:rPr>
          <w:rFonts w:ascii="Times New Roman" w:hAnsi="Times New Roman" w:eastAsia="Times New Roman" w:cs="Times New Roman"/>
        </w:rPr>
        <w:t>Deux cent vingt est le symbole de la divinité unie à l’humanité. Depuis la publication de la Bible du roi Jacques en 1611 jusqu’à la première présentation du message de Miller en 1831, puis à la publication de ce message en 1833 dans le Vermont Telegraph, il s’est écoulé deux cent vingt ans. Le message de Miller fut la formalisation de l’augmentation de la connaissance tirée de la Bible, lorsque le livre de Daniel fut descellé en 1798. À la date initiale de 1611, un document divin fut publié, et à la date finale de 1831 il y eut une publication humaine fondée sur la vérité divine qui avait été descellée en 1798.</w:t>
      </w:r>
    </w:p>
    <w:p>
      <w:pPr>
        <w:pStyle w:val="ArticleBody"/>
        <w:jc w:val="left"/>
      </w:pPr>
      <w:r>
        <w:rPr>
          <w:rFonts w:ascii="Times New Roman" w:hAnsi="Times New Roman" w:eastAsia="Times New Roman" w:cs="Times New Roman"/>
        </w:rPr>
        <w:t>Ces trois dates représentent non seulement deux cent vingt années, mais aussi la structure du mot hébreu « Vérité », formé par la combinaison de la première, de la treizième et de la dernière lettres de l’alphabet hébreu pour constituer le mot « Vérité ». Une publication divine au commencement et une publication humaine à la fin, et 1798 représente un accroissement de la connaissance qui manifesterait une catégorie de personnes méchantes ayant rejeté cette connaissance, représentant ainsi la treizième lettre, symbole de rébellion. Ce lien de deux cent vingt ans fut établi dans le mouvement du premier ange, et le mouvement du troisième ange en fournit un second témoin.</w:t>
      </w:r>
    </w:p>
    <w:p>
      <w:pPr>
        <w:pStyle w:val="ArticleBody"/>
        <w:jc w:val="left"/>
      </w:pPr>
      <w:r>
        <w:rPr>
          <w:rFonts w:ascii="Times New Roman" w:hAnsi="Times New Roman" w:eastAsia="Times New Roman" w:cs="Times New Roman"/>
        </w:rPr>
        <w:t>1776-umiki, nimvo xwegale ŋkekea, Declaration of Independence, wotsɔe afia, eye le ƒe alafa eve kple bla etɔ vɔ megbe, le 1996-umiki, agbɔgbɔme ameŋkplea ƒe nuŋlɔla, The Time of the End magazine, hã wotsɔe afia. Ameŋkplea ƒe nuŋlɔla sia tso sidzedze si le nusɔsrɔ ƒe tsitsi me, si va dzɔ le nuwuwu ƒe ga me le 1989-umiki, eye esia, abe alesi wòle le 1798 me ene la, wɔ asiɖuɖu ɖe mawunyawo ƒe message si Declaration of Independence la tsɔ nɔvinyenye na la ŋu. Nusɔsrɔ ƒe tsitsi le 1996 me la, fia America ƒe etsɔtsɔme si le ŋgɔ, esi wòle ablɔm le ablɔɖe kple tɔxɛnyenye si wòɖe gbe le 1776 me la ŋu, le Sunday law si gbɔna kaba la me. Esia na seɖase evelia be xexeme eve kple bla etɔ la nafia mawunyenye kple ameŋkplen­yenye ƒe kadodo, eye seɖase evelia ma wòɖe fia to dzesiɖoɖo “Truth” me, eye seɖase gbãtɔe nɔ anyi le gbedeasi ƒe dɔwɔwɔwo me le mɔnudɔla gbãtɔa ƒe ŋutinya me (gbãtɔ), eye seɖase evelia nɔ anyi le mɔnudɔla etɔlia ƒe ŋutinya me (mamlea).</w:t>
      </w:r>
    </w:p>
    <w:p>
      <w:pPr>
        <w:pStyle w:val="ArticleBody"/>
        <w:jc w:val="left"/>
      </w:pPr>
      <w:r>
        <w:rPr>
          <w:rFonts w:ascii="Times New Roman" w:hAnsi="Times New Roman" w:eastAsia="Times New Roman" w:cs="Times New Roman"/>
        </w:rPr>
        <w:t>1776 maray ni paset ti pannawen a nangipangulo iti pudno a pannakairugi ti animal ti daga kas maikkanem a pagarian iti padto ti Biblia. Iti dayta a panawen ti panagsagana, ti pirma ti kinapudno ket manen a naipakdaar babaen iti 1776, a mangtanda iti pannakairugi ti Estados Unidos, ken iti 1798, a mangtanda iti pannakairugi ti Estados Unidos kas maikkanem a pagarian iti padto ti Biblia. Iti tengnga dayta a kasaysayan ti pannakairugi ken pannagpatingga, ti 1789 ket nangtanda iti sentro a letra bayat nga dagiti sangapulo ket tallo a kolonya ket pinaneknekan da ti Konstitusyon. Tunggal maysa kadagiti tallo a petsa ket itrepresentar na ti “panagsao” ti Estados Unidos; babaen iti Deklarasyon ti Panagwayawaya idi 1776, ti Konstitusyon idi 1789, ken dagiti Alien and Sedition Acts idi 1798. Dayta a kasaysayan ket itrepresentar na ti duapulo ket dua a tawen, nga isu ti apagkapullo wenno maysa a sangapulo iti dua gasut ket duapulo, isu a mangitakder met iti simbolo ti pannakikombina ti Kinalaing a Nadiosan iti kinatao.</w:t>
      </w:r>
    </w:p>
    <w:p>
      <w:pPr>
        <w:pStyle w:val="ArticleBody"/>
        <w:jc w:val="left"/>
      </w:pPr>
      <w:r>
        <w:rPr>
          <w:rFonts w:ascii="Times New Roman" w:hAnsi="Times New Roman" w:eastAsia="Times New Roman" w:cs="Times New Roman"/>
        </w:rPr>
        <w:t>Sa représentation concerne l’histoire de la bête de la terre, décrite comme commençant en tant qu’agneau (divinité) et s’achevant en tant que dragon (humanité). L’année 1776 commence avec la Déclaration d’Indépendance, marquant la divinité, et les Alien and Sedition Acts représentent l’humanité ; et, durant ces vingt-deux années qui ont précédé le commencement du règne de la bête de la terre comme sixième royaume de la prophétie biblique, la transition de l’agneau au dragon est typifiée.</w:t>
      </w:r>
    </w:p>
    <w:p>
      <w:pPr>
        <w:pStyle w:val="ArticleBody"/>
        <w:jc w:val="left"/>
      </w:pPr>
      <w:r>
        <w:rPr>
          <w:rFonts w:ascii="Times New Roman" w:hAnsi="Times New Roman" w:eastAsia="Times New Roman" w:cs="Times New Roman"/>
        </w:rPr>
        <w:t>Ang pasimula ng dalawang libo at limang daan at dalawampung taon ng paghuhukom laban sa timog na kaharian ng Juda ay kaugnay ng pasimula ng dalawang libo at tatlong daang taon ng Daniel kabanata walo, talata labing-apat. Ang pagyurak sa santuwaryo at sa hukbo sa Juda ay nagsimula noong 677 BC, at ang propesiya ng dalawang libo at tatlong daang taon ay nagsimula makalipas ang dalawang daan at dalawampung taon, noong 457 BC. Ang patpat ng timog na kaharian ng Juda ay iniuugnay sa simbolo ng apatnapu’t anim sa hilagang kaharian, at iniuugnay rin sa dalawang libo at tatlong daang taon sa pamamagitan ng ugnayang dalawang daan at dalawampu.</w:t>
      </w:r>
    </w:p>
    <w:p>
      <w:pPr>
        <w:pStyle w:val="ArticleBody"/>
        <w:jc w:val="left"/>
      </w:pPr>
      <w:r>
        <w:rPr>
          <w:rFonts w:ascii="Times New Roman" w:hAnsi="Times New Roman" w:eastAsia="Times New Roman" w:cs="Times New Roman"/>
        </w:rPr>
        <w:t>بولۇس ئۆزىنى خۇدانىڭ ئىقتىسادىنىڭ خىزمەتچىسى، دەپ جاكارلىدى؛ ئاندىن ئۆزى خىزمەت قىلىۋاتقان شۇ ئىقتىسادنى خۇدانىڭ سىرى، يەنى ئىچىڭلاردىكى مەسىھ—شان-شەرەپنىڭ ئۈمىدى، دەپ بېكىتتى. ئۇ تىموتىيغا يازغاندا بۇ ھەقىقەتنى يەنە تېخىمۇ بايان قىلىدۇ.</w:t>
      </w:r>
    </w:p>
    <w:p>
      <w:pPr>
        <w:pStyle w:val="ArticleScripture"/>
        <w:jc w:val="left"/>
      </w:pPr>
      <w:r>
        <w:rPr>
          <w:rFonts w:ascii="Times New Roman" w:hAnsi="Times New Roman" w:eastAsia="Times New Roman" w:cs="Times New Roman"/>
        </w:rPr>
        <w:t>Oo, walang pagtatalo, dakila ang hiwaga ng kabanalan: Ang Dios ay nahayag sa laman, pinawalang-sala sa Espiritu, nakita ng mga anghel, ipinangaral sa mga Gentil, sinampalatayanan sa sanglibutan, tinanggap sa itaas sa kaluwalhatian. 1 Timoteo 3:16.</w:t>
      </w:r>
    </w:p>
    <w:p>
      <w:pPr>
        <w:pStyle w:val="ArticleBody"/>
        <w:jc w:val="left"/>
      </w:pPr>
      <w:r>
        <w:rPr>
          <w:rFonts w:ascii="Times New Roman" w:hAnsi="Times New Roman" w:eastAsia="Times New Roman" w:cs="Times New Roman"/>
        </w:rPr>
        <w:t>Hapa Paulo anasema kwamba siri ya utauwa ni Mungu kudhihirishwa katika mwili. Mungu ni Kichwa, na mwili ni ule mwili. Siri ya utauwa ni Kristo ndani ya mwamini; ni kuunganishwa kwa Uungu na ubinadamu. Paulo pia anatumia fumbo la ndoa, kama alivyofanya Hosea.</w:t>
      </w:r>
    </w:p>
    <w:p>
      <w:pPr>
        <w:pStyle w:val="ArticleScripture"/>
        <w:jc w:val="left"/>
      </w:pPr>
      <w:r>
        <w:rPr>
          <w:rFonts w:ascii="Times New Roman" w:hAnsi="Times New Roman" w:eastAsia="Times New Roman" w:cs="Times New Roman"/>
        </w:rPr>
        <w:t>Car nous sommes membres de son corps, de sa chair et de ses os. C’est pourquoi l’homme quittera son père et sa mère, et s’attachera à sa femme, et tous deux seront une seule chair. Ce mystère est grand ; mais je parle, moi, relativement à Christ et à l’Église. Éphésiens 5:30–32.</w:t>
      </w:r>
    </w:p>
    <w:p>
      <w:pPr>
        <w:pStyle w:val="ArticleBody"/>
        <w:jc w:val="left"/>
      </w:pPr>
      <w:r>
        <w:rPr>
          <w:rFonts w:ascii="Times New Roman" w:hAnsi="Times New Roman" w:eastAsia="Times New Roman" w:cs="Times New Roman"/>
        </w:rPr>
        <w:t>Na mokapo ya tuku misato na sambo, ntango Ezekiele azali koyeba boyokani ya mikolo ya suka, oyo ezali boyokani oyo ezongisami sika elongo na bato oyo bayebani lokola nkama moko na ntuku minei na minei na nkoto, apesi ndakisa ya kosangisama ya mabaya mibale. Mabaya wana mibale, molongo likolo ya molongo, ezali na ndakisa ya libala ya Hosea mpe ya Paulo. Ntango basangisamaki esika moko, basengelaki kozala lisusu bikólo mibale te, kasi ekólo moko, libela na libela.</w:t>
      </w:r>
    </w:p>
    <w:p>
      <w:pPr>
        <w:pStyle w:val="ArticleScripture"/>
        <w:jc w:val="left"/>
      </w:pP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పర్వతములమీదనున్న</w:t>
      </w:r>
      <w:r>
        <w:rPr>
          <w:rFonts w:ascii="Times New Roman" w:hAnsi="Times New Roman" w:eastAsia="Times New Roman" w:cs="Times New Roman"/>
        </w:rPr>
        <w:t xml:space="preserve"> </w:t>
      </w:r>
      <w:r>
        <w:rPr>
          <w:rFonts w:ascii="Nirmala UI" w:hAnsi="Nirmala UI" w:eastAsia="Nirmala UI" w:cs="Nirmala UI"/>
        </w:rPr>
        <w:t>దేశమందు</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జనముగా</w:t>
      </w:r>
      <w:r>
        <w:rPr>
          <w:rFonts w:ascii="Times New Roman" w:hAnsi="Times New Roman" w:eastAsia="Times New Roman" w:cs="Times New Roman"/>
        </w:rPr>
        <w:t xml:space="preserve"> </w:t>
      </w:r>
      <w:r>
        <w:rPr>
          <w:rFonts w:ascii="Nirmala UI" w:hAnsi="Nirmala UI" w:eastAsia="Nirmala UI" w:cs="Nirmala UI"/>
        </w:rPr>
        <w:t>చేయుదును</w:t>
      </w:r>
      <w:r>
        <w:rPr>
          <w:rFonts w:ascii="Times New Roman" w:hAnsi="Times New Roman" w:eastAsia="Times New Roman" w:cs="Times New Roman"/>
        </w:rPr>
        <w:t xml:space="preserve">; </w:t>
      </w:r>
      <w:r>
        <w:rPr>
          <w:rFonts w:ascii="Nirmala UI" w:hAnsi="Nirmala UI" w:eastAsia="Nirmala UI" w:cs="Nirmala UI"/>
        </w:rPr>
        <w:t>వారందరికీ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రాజుగా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ఇకపై</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జనములు</w:t>
      </w:r>
      <w:r>
        <w:rPr>
          <w:rFonts w:ascii="Times New Roman" w:hAnsi="Times New Roman" w:eastAsia="Times New Roman" w:cs="Times New Roman"/>
        </w:rPr>
        <w:t xml:space="preserve"> </w:t>
      </w:r>
      <w:r>
        <w:rPr>
          <w:rFonts w:ascii="Nirmala UI" w:hAnsi="Nirmala UI" w:eastAsia="Nirmala UI" w:cs="Nirmala UI"/>
        </w:rPr>
        <w:t>కానేరు</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రాజ్యములుగా</w:t>
      </w:r>
      <w:r>
        <w:rPr>
          <w:rFonts w:ascii="Times New Roman" w:hAnsi="Times New Roman" w:eastAsia="Times New Roman" w:cs="Times New Roman"/>
        </w:rPr>
        <w:t xml:space="preserve"> </w:t>
      </w:r>
      <w:r>
        <w:rPr>
          <w:rFonts w:ascii="Nirmala UI" w:hAnsi="Nirmala UI" w:eastAsia="Nirmala UI" w:cs="Nirmala UI"/>
        </w:rPr>
        <w:t>ఎట్టిపరిస్థితులలోను</w:t>
      </w:r>
      <w:r>
        <w:rPr>
          <w:rFonts w:ascii="Times New Roman" w:hAnsi="Times New Roman" w:eastAsia="Times New Roman" w:cs="Times New Roman"/>
        </w:rPr>
        <w:t xml:space="preserve"> </w:t>
      </w:r>
      <w:r>
        <w:rPr>
          <w:rFonts w:ascii="Nirmala UI" w:hAnsi="Nirmala UI" w:eastAsia="Nirmala UI" w:cs="Nirmala UI"/>
        </w:rPr>
        <w:t>విభజింపబడరు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ఇకపై</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విగ్రహములచేతనైనను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అసహ్యకరమైన</w:t>
      </w:r>
      <w:r>
        <w:rPr>
          <w:rFonts w:ascii="Times New Roman" w:hAnsi="Times New Roman" w:eastAsia="Times New Roman" w:cs="Times New Roman"/>
        </w:rPr>
        <w:t xml:space="preserve"> </w:t>
      </w:r>
      <w:r>
        <w:rPr>
          <w:rFonts w:ascii="Nirmala UI" w:hAnsi="Nirmala UI" w:eastAsia="Nirmala UI" w:cs="Nirmala UI"/>
        </w:rPr>
        <w:t>విషయములచేతనైనను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అతిక్రమములలో</w:t>
      </w:r>
      <w:r>
        <w:rPr>
          <w:rFonts w:ascii="Times New Roman" w:hAnsi="Times New Roman" w:eastAsia="Times New Roman" w:cs="Times New Roman"/>
        </w:rPr>
        <w:t xml:space="preserve"> </w:t>
      </w:r>
      <w:r>
        <w:rPr>
          <w:rFonts w:ascii="Nirmala UI" w:hAnsi="Nirmala UI" w:eastAsia="Nirmala UI" w:cs="Nirmala UI"/>
        </w:rPr>
        <w:t>ఏదైనచేతనైనను</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అపవిత్రపరచుకొనరు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పాపము</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నివాసస్థలములనుండి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రక్షించి</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శుద్ధిపరచుదును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యుందురు</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దేవుడనై</w:t>
      </w:r>
      <w:r>
        <w:rPr>
          <w:rFonts w:ascii="Times New Roman" w:hAnsi="Times New Roman" w:eastAsia="Times New Roman" w:cs="Times New Roman"/>
        </w:rPr>
        <w:t xml:space="preserve"> </w:t>
      </w:r>
      <w:r>
        <w:rPr>
          <w:rFonts w:ascii="Nirmala UI" w:hAnsi="Nirmala UI" w:eastAsia="Nirmala UI" w:cs="Nirmala UI"/>
        </w:rPr>
        <w:t>యుందును</w:t>
      </w:r>
      <w:r>
        <w:rPr>
          <w:rFonts w:ascii="Times New Roman" w:hAnsi="Times New Roman" w:eastAsia="Times New Roman" w:cs="Times New Roman"/>
        </w:rPr>
        <w:t xml:space="preserve">. </w:t>
      </w:r>
      <w:r>
        <w:rPr>
          <w:rFonts w:ascii="Nirmala UI" w:hAnsi="Nirmala UI" w:eastAsia="Nirmala UI" w:cs="Nirmala UI"/>
        </w:rPr>
        <w:t>యెహెజ్కేలు</w:t>
      </w:r>
      <w:r>
        <w:rPr>
          <w:rFonts w:ascii="Times New Roman" w:hAnsi="Times New Roman" w:eastAsia="Times New Roman" w:cs="Times New Roman"/>
        </w:rPr>
        <w:t xml:space="preserve"> 37:22, 23.</w:t>
      </w:r>
    </w:p>
    <w:p>
      <w:pPr>
        <w:pStyle w:val="ArticleBody"/>
        <w:jc w:val="left"/>
      </w:pPr>
      <w:r>
        <w:rPr>
          <w:rFonts w:ascii="Times New Roman" w:hAnsi="Times New Roman" w:eastAsia="Times New Roman" w:cs="Times New Roman"/>
        </w:rPr>
        <w:t>L’union annoncée par Ézéchiel indique le moment où ils ne seront plus divisés, où ils ne pécheront plus, lorsqu’ils seront purifiés, et où Dieu sera leur seul Dieu, et ils n’auront qu’un seul roi. Le 22 octobre, le Messager de l’Alliance vint soudain à son temple pour « purifier » son peuple. Il vint pour recevoir un royaume, dont le peuple, selon Pierre, devait alors être un royaume de prêtres et de rois. À cette date, l’époux vint aussi aux noces, lesquelles constituent le mystère que Paul et Osée désignent, et qui représente l’union de la divinité avec l’humanité. Jean indique que ce mystère, que Paul désigne comme « Christ en vous, l’espérance de la gloire », devait s’accomplir aux jours où retentirait la voix du septième ange.</w:t>
      </w:r>
    </w:p>
    <w:p>
      <w:pPr>
        <w:pStyle w:val="ArticleScripture"/>
        <w:jc w:val="left"/>
      </w:pPr>
      <w:r>
        <w:rPr>
          <w:rFonts w:ascii="Times New Roman" w:hAnsi="Times New Roman" w:eastAsia="Times New Roman" w:cs="Times New Roman"/>
        </w:rPr>
        <w:t>Lakini katika siku za sauti ya malaika wa saba, atakapoanza kupiga tarumbeta, siri ya Mungu itakamilika, kama alivyowatangazia watumishi wake manabii. Ufunuo 10:7.</w:t>
      </w:r>
    </w:p>
    <w:p>
      <w:pPr>
        <w:pStyle w:val="ArticleBody"/>
        <w:jc w:val="left"/>
      </w:pPr>
      <w:r>
        <w:rPr>
          <w:rFonts w:ascii="Microsoft YaHei" w:hAnsi="Microsoft YaHei" w:eastAsia="Microsoft YaHei" w:cs="Microsoft YaHei"/>
        </w:rPr>
        <w:t>天使</w:t>
      </w:r>
      <w:r>
        <w:rPr>
          <w:rFonts w:ascii="MS Gothic" w:hAnsi="MS Gothic" w:eastAsia="MS Gothic" w:cs="MS Gothic"/>
        </w:rPr>
        <w:t>の</w:t>
      </w:r>
      <w:r>
        <w:rPr>
          <w:rFonts w:ascii="Microsoft YaHei" w:hAnsi="Microsoft YaHei" w:eastAsia="Microsoft YaHei" w:cs="Microsoft YaHei"/>
        </w:rPr>
        <w:t>第七</w:t>
      </w:r>
      <w:r>
        <w:rPr>
          <w:rFonts w:ascii="MS Gothic" w:hAnsi="MS Gothic" w:eastAsia="MS Gothic" w:cs="MS Gothic"/>
        </w:rPr>
        <w:t>のものは</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災</w:t>
      </w:r>
      <w:r>
        <w:rPr>
          <w:rFonts w:ascii="MS Gothic" w:hAnsi="MS Gothic" w:eastAsia="MS Gothic" w:cs="MS Gothic"/>
        </w:rPr>
        <w:t>いであり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二〇〇一年九月十一日</w:t>
      </w:r>
      <w:r>
        <w:rPr>
          <w:rFonts w:ascii="MS Gothic" w:hAnsi="MS Gothic" w:eastAsia="MS Gothic" w:cs="MS Gothic"/>
        </w:rPr>
        <w:t>に</w:t>
      </w:r>
      <w:r>
        <w:rPr>
          <w:rFonts w:ascii="Microsoft YaHei" w:hAnsi="Microsoft YaHei" w:eastAsia="Microsoft YaHei" w:cs="Microsoft YaHei"/>
        </w:rPr>
        <w:t>到来</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第七</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が</w:t>
      </w:r>
      <w:r>
        <w:rPr>
          <w:rFonts w:ascii="Microsoft YaHei" w:hAnsi="Microsoft YaHei" w:eastAsia="Microsoft YaHei" w:cs="Microsoft YaHei"/>
        </w:rPr>
        <w:t>一八四四年</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到来</w:t>
      </w:r>
      <w:r>
        <w:rPr>
          <w:rFonts w:ascii="MS Gothic" w:hAnsi="MS Gothic" w:eastAsia="MS Gothic" w:cs="MS Gothic"/>
        </w:rPr>
        <w:t>した</w:t>
      </w:r>
      <w:r>
        <w:rPr>
          <w:rFonts w:ascii="Microsoft YaHei" w:hAnsi="Microsoft YaHei" w:eastAsia="Microsoft YaHei" w:cs="Microsoft YaHei"/>
        </w:rPr>
        <w:t>時</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w:t>
      </w:r>
      <w:r>
        <w:rPr>
          <w:rFonts w:ascii="MS Gothic" w:hAnsi="MS Gothic" w:eastAsia="MS Gothic" w:cs="MS Gothic"/>
        </w:rPr>
        <w:t>も</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鳴</w:t>
      </w:r>
      <w:r>
        <w:rPr>
          <w:rFonts w:ascii="MS Gothic" w:hAnsi="MS Gothic" w:eastAsia="MS Gothic" w:cs="MS Gothic"/>
        </w:rPr>
        <w:t>らし</w:t>
      </w:r>
      <w:r>
        <w:rPr>
          <w:rFonts w:ascii="Microsoft YaHei" w:hAnsi="Microsoft YaHei" w:eastAsia="Microsoft YaHei" w:cs="Microsoft YaHei"/>
        </w:rPr>
        <w:t>始</w:t>
      </w:r>
      <w:r>
        <w:rPr>
          <w:rFonts w:ascii="MS Gothic" w:hAnsi="MS Gothic" w:eastAsia="MS Gothic" w:cs="MS Gothic"/>
        </w:rPr>
        <w:t>めていたが</w:t>
      </w:r>
      <w:r>
        <w:rPr>
          <w:rFonts w:ascii="Microsoft YaHei" w:hAnsi="Microsoft YaHei" w:eastAsia="Microsoft YaHei" w:cs="Microsoft YaHei"/>
        </w:rPr>
        <w:t>、一八六三年</w:t>
      </w:r>
      <w:r>
        <w:rPr>
          <w:rFonts w:ascii="MS Gothic" w:hAnsi="MS Gothic" w:eastAsia="MS Gothic" w:cs="MS Gothic"/>
        </w:rPr>
        <w:t>の</w:t>
      </w:r>
      <w:r>
        <w:rPr>
          <w:rFonts w:ascii="Microsoft YaHei" w:hAnsi="Microsoft YaHei" w:eastAsia="Microsoft YaHei" w:cs="Microsoft YaHei"/>
        </w:rPr>
        <w:t>反逆</w:t>
      </w:r>
      <w:r>
        <w:rPr>
          <w:rFonts w:ascii="MS Gothic" w:hAnsi="MS Gothic" w:eastAsia="MS Gothic" w:cs="MS Gothic"/>
        </w:rPr>
        <w:t>がその</w:t>
      </w:r>
      <w:r>
        <w:rPr>
          <w:rFonts w:ascii="Microsoft YaHei" w:hAnsi="Microsoft YaHei" w:eastAsia="Microsoft YaHei" w:cs="Microsoft YaHei"/>
        </w:rPr>
        <w:t>働</w:t>
      </w:r>
      <w:r>
        <w:rPr>
          <w:rFonts w:ascii="MS Gothic" w:hAnsi="MS Gothic" w:eastAsia="MS Gothic" w:cs="MS Gothic"/>
        </w:rPr>
        <w:t>きの</w:t>
      </w:r>
      <w:r>
        <w:rPr>
          <w:rFonts w:ascii="Microsoft YaHei" w:hAnsi="Microsoft YaHei" w:eastAsia="Microsoft YaHei" w:cs="Microsoft YaHei"/>
        </w:rPr>
        <w:t>完成</w:t>
      </w:r>
      <w:r>
        <w:rPr>
          <w:rFonts w:ascii="MS Gothic" w:hAnsi="MS Gothic" w:eastAsia="MS Gothic" w:cs="MS Gothic"/>
        </w:rPr>
        <w:t>を</w:t>
      </w:r>
      <w:r>
        <w:rPr>
          <w:rFonts w:ascii="Microsoft YaHei" w:hAnsi="Microsoft YaHei" w:eastAsia="Microsoft YaHei" w:cs="Microsoft YaHei"/>
        </w:rPr>
        <w:t>妨</w:t>
      </w:r>
      <w:r>
        <w:rPr>
          <w:rFonts w:ascii="MS Gothic" w:hAnsi="MS Gothic" w:eastAsia="MS Gothic" w:cs="MS Gothic"/>
        </w:rPr>
        <w:t>げた</w:t>
      </w:r>
      <w:r>
        <w:rPr>
          <w:rFonts w:ascii="Times New Roman" w:hAnsi="Times New Roman" w:eastAsia="Times New Roman" w:cs="Times New Roman"/>
        </w:rPr>
        <w:t>.</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二〇〇一年九月十一日</w:t>
      </w:r>
      <w:r>
        <w:rPr>
          <w:rFonts w:ascii="MS Gothic" w:hAnsi="MS Gothic" w:eastAsia="MS Gothic" w:cs="MS Gothic"/>
        </w:rPr>
        <w:t>に</w:t>
      </w:r>
      <w:r>
        <w:rPr>
          <w:rFonts w:ascii="Microsoft YaHei" w:hAnsi="Microsoft YaHei" w:eastAsia="Microsoft YaHei" w:cs="Microsoft YaHei"/>
        </w:rPr>
        <w:t>到来</w:t>
      </w:r>
      <w:r>
        <w:rPr>
          <w:rFonts w:ascii="MS Gothic" w:hAnsi="MS Gothic" w:eastAsia="MS Gothic" w:cs="MS Gothic"/>
        </w:rPr>
        <w:t>し</w:t>
      </w:r>
      <w:r>
        <w:rPr>
          <w:rFonts w:ascii="Microsoft YaHei" w:hAnsi="Microsoft YaHei" w:eastAsia="Microsoft YaHei" w:cs="Microsoft YaHei"/>
        </w:rPr>
        <w:t>、第七</w:t>
      </w:r>
      <w:r>
        <w:rPr>
          <w:rFonts w:ascii="MS Gothic" w:hAnsi="MS Gothic" w:eastAsia="MS Gothic" w:cs="MS Gothic"/>
        </w:rPr>
        <w:t>のラッパも</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鳴</w:t>
      </w:r>
      <w:r>
        <w:rPr>
          <w:rFonts w:ascii="MS Gothic" w:hAnsi="MS Gothic" w:eastAsia="MS Gothic" w:cs="MS Gothic"/>
        </w:rPr>
        <w:t>り</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今回</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奥義」</w:t>
      </w:r>
      <w:r>
        <w:rPr>
          <w:rFonts w:ascii="MS Gothic" w:hAnsi="MS Gothic" w:eastAsia="MS Gothic" w:cs="MS Gothic"/>
        </w:rPr>
        <w:t>が</w:t>
      </w:r>
      <w:r>
        <w:rPr>
          <w:rFonts w:ascii="Microsoft YaHei" w:hAnsi="Microsoft YaHei" w:eastAsia="Microsoft YaHei" w:cs="Microsoft YaHei"/>
        </w:rPr>
        <w:t>「成就</w:t>
      </w:r>
      <w:r>
        <w:rPr>
          <w:rFonts w:ascii="MS Gothic" w:hAnsi="MS Gothic" w:eastAsia="MS Gothic" w:cs="MS Gothic"/>
        </w:rPr>
        <w:t>される</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「奥義」</w:t>
      </w:r>
      <w:r>
        <w:rPr>
          <w:rFonts w:ascii="MS Gothic" w:hAnsi="MS Gothic" w:eastAsia="MS Gothic" w:cs="MS Gothic"/>
        </w:rPr>
        <w:t>とは</w:t>
      </w:r>
      <w:r>
        <w:rPr>
          <w:rFonts w:ascii="Microsoft YaHei" w:hAnsi="Microsoft YaHei" w:eastAsia="Microsoft YaHei" w:cs="Microsoft YaHei"/>
        </w:rPr>
        <w:t>、神性</w:t>
      </w:r>
      <w:r>
        <w:rPr>
          <w:rFonts w:ascii="MS Gothic" w:hAnsi="MS Gothic" w:eastAsia="MS Gothic" w:cs="MS Gothic"/>
        </w:rPr>
        <w:t>と</w:t>
      </w:r>
      <w:r>
        <w:rPr>
          <w:rFonts w:ascii="Microsoft YaHei" w:hAnsi="Microsoft YaHei" w:eastAsia="Microsoft YaHei" w:cs="Microsoft YaHei"/>
        </w:rPr>
        <w:t>人性</w:t>
      </w:r>
      <w:r>
        <w:rPr>
          <w:rFonts w:ascii="MS Gothic" w:hAnsi="MS Gothic" w:eastAsia="MS Gothic" w:cs="MS Gothic"/>
        </w:rPr>
        <w:t>との</w:t>
      </w:r>
      <w:r>
        <w:rPr>
          <w:rFonts w:ascii="Microsoft YaHei" w:hAnsi="Microsoft YaHei" w:eastAsia="Microsoft YaHei" w:cs="Microsoft YaHei"/>
        </w:rPr>
        <w:t>結合</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十四万四千人</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し</w:t>
      </w:r>
      <w:r>
        <w:rPr>
          <w:rFonts w:ascii="Microsoft YaHei" w:hAnsi="Microsoft YaHei" w:eastAsia="Microsoft YaHei" w:cs="Microsoft YaHei"/>
        </w:rPr>
        <w:t>、彼</w:t>
      </w:r>
      <w:r>
        <w:rPr>
          <w:rFonts w:ascii="MS Gothic" w:hAnsi="MS Gothic" w:eastAsia="MS Gothic" w:cs="MS Gothic"/>
        </w:rPr>
        <w:t>らはその</w:t>
      </w:r>
      <w:r>
        <w:rPr>
          <w:rFonts w:ascii="Microsoft YaHei" w:hAnsi="Microsoft YaHei" w:eastAsia="Microsoft YaHei" w:cs="Microsoft YaHei"/>
        </w:rPr>
        <w:t>後、神</w:t>
      </w:r>
      <w:r>
        <w:rPr>
          <w:rFonts w:ascii="MS Gothic" w:hAnsi="MS Gothic" w:eastAsia="MS Gothic" w:cs="MS Gothic"/>
        </w:rPr>
        <w:t>の</w:t>
      </w:r>
      <w:r>
        <w:rPr>
          <w:rFonts w:ascii="Microsoft YaHei" w:hAnsi="Microsoft YaHei" w:eastAsia="Microsoft YaHei" w:cs="Microsoft YaHei"/>
        </w:rPr>
        <w:t>旗印、</w:t>
      </w:r>
      <w:r>
        <w:rPr>
          <w:rFonts w:ascii="MS Gothic" w:hAnsi="MS Gothic" w:eastAsia="MS Gothic" w:cs="MS Gothic"/>
        </w:rPr>
        <w:t>また</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軍勢</w:t>
      </w:r>
      <w:r>
        <w:rPr>
          <w:rFonts w:ascii="MS Gothic" w:hAnsi="MS Gothic" w:eastAsia="MS Gothic" w:cs="MS Gothic"/>
        </w:rPr>
        <w:t>となる</w:t>
      </w:r>
      <w:r>
        <w:rPr>
          <w:rFonts w:ascii="Times New Roman" w:hAnsi="Times New Roman" w:eastAsia="Times New Roman" w:cs="Times New Roman"/>
        </w:rPr>
        <w:t>.</w:t>
      </w:r>
      <w:r>
        <w:rPr>
          <w:rFonts w:ascii="MS Gothic" w:hAnsi="MS Gothic" w:eastAsia="MS Gothic" w:cs="MS Gothic"/>
        </w:rPr>
        <w:t>このゆえに</w:t>
      </w:r>
      <w:r>
        <w:rPr>
          <w:rFonts w:ascii="Microsoft YaHei" w:hAnsi="Microsoft YaHei" w:eastAsia="Microsoft YaHei" w:cs="Microsoft YaHei"/>
        </w:rPr>
        <w:t>、</w:t>
      </w:r>
      <w:r>
        <w:rPr>
          <w:rFonts w:ascii="MS Gothic" w:hAnsi="MS Gothic" w:eastAsia="MS Gothic" w:cs="MS Gothic"/>
        </w:rPr>
        <w:t>エゼキエル</w:t>
      </w:r>
      <w:r>
        <w:rPr>
          <w:rFonts w:ascii="Microsoft YaHei" w:hAnsi="Microsoft YaHei" w:eastAsia="Microsoft YaHei" w:cs="Microsoft YaHei"/>
        </w:rPr>
        <w:t>書第三十七章</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エゼキエルが</w:t>
      </w:r>
      <w:r>
        <w:rPr>
          <w:rFonts w:ascii="Microsoft YaHei" w:hAnsi="Microsoft YaHei" w:eastAsia="Microsoft YaHei" w:cs="Microsoft YaHei"/>
        </w:rPr>
        <w:t>死</w:t>
      </w:r>
      <w:r>
        <w:rPr>
          <w:rFonts w:ascii="MS Gothic" w:hAnsi="MS Gothic" w:eastAsia="MS Gothic" w:cs="MS Gothic"/>
        </w:rPr>
        <w:t>んだ</w:t>
      </w:r>
      <w:r>
        <w:rPr>
          <w:rFonts w:ascii="Microsoft YaHei" w:hAnsi="Microsoft YaHei" w:eastAsia="Microsoft YaHei" w:cs="Microsoft YaHei"/>
        </w:rPr>
        <w:t>枯</w:t>
      </w:r>
      <w:r>
        <w:rPr>
          <w:rFonts w:ascii="MS Gothic" w:hAnsi="MS Gothic" w:eastAsia="MS Gothic" w:cs="MS Gothic"/>
        </w:rPr>
        <w:t>れた</w:t>
      </w:r>
      <w:r>
        <w:rPr>
          <w:rFonts w:ascii="Microsoft YaHei" w:hAnsi="Microsoft YaHei" w:eastAsia="Microsoft YaHei" w:cs="Microsoft YaHei"/>
        </w:rPr>
        <w:t>骨</w:t>
      </w:r>
      <w:r>
        <w:rPr>
          <w:rFonts w:ascii="MS Gothic" w:hAnsi="MS Gothic" w:eastAsia="MS Gothic" w:cs="MS Gothic"/>
        </w:rPr>
        <w:t>の</w:t>
      </w:r>
      <w:r>
        <w:rPr>
          <w:rFonts w:ascii="Microsoft YaHei" w:hAnsi="Microsoft YaHei" w:eastAsia="Microsoft YaHei" w:cs="Microsoft YaHei"/>
        </w:rPr>
        <w:t>谷</w:t>
      </w:r>
      <w:r>
        <w:rPr>
          <w:rFonts w:ascii="MS Gothic" w:hAnsi="MS Gothic" w:eastAsia="MS Gothic" w:cs="MS Gothic"/>
        </w:rPr>
        <w:t>へ</w:t>
      </w:r>
      <w:r>
        <w:rPr>
          <w:rFonts w:ascii="Microsoft YaHei" w:hAnsi="Microsoft YaHei" w:eastAsia="Microsoft YaHei" w:cs="Microsoft YaHei"/>
        </w:rPr>
        <w:t>連</w:t>
      </w:r>
      <w:r>
        <w:rPr>
          <w:rFonts w:ascii="MS Gothic" w:hAnsi="MS Gothic" w:eastAsia="MS Gothic" w:cs="MS Gothic"/>
        </w:rPr>
        <w:t>れて</w:t>
      </w:r>
      <w:r>
        <w:rPr>
          <w:rFonts w:ascii="Microsoft YaHei" w:hAnsi="Microsoft YaHei" w:eastAsia="Microsoft YaHei" w:cs="Microsoft YaHei"/>
        </w:rPr>
        <w:t>行</w:t>
      </w:r>
      <w:r>
        <w:rPr>
          <w:rFonts w:ascii="MS Gothic" w:hAnsi="MS Gothic" w:eastAsia="MS Gothic" w:cs="MS Gothic"/>
        </w:rPr>
        <w:t>かれることから</w:t>
      </w:r>
      <w:r>
        <w:rPr>
          <w:rFonts w:ascii="Microsoft YaHei" w:hAnsi="Microsoft YaHei" w:eastAsia="Microsoft YaHei" w:cs="Microsoft YaHei"/>
        </w:rPr>
        <w:t>始</w:t>
      </w:r>
      <w:r>
        <w:rPr>
          <w:rFonts w:ascii="MS Gothic" w:hAnsi="MS Gothic" w:eastAsia="MS Gothic" w:cs="MS Gothic"/>
        </w:rPr>
        <w:t>まる</w:t>
      </w:r>
      <w:r>
        <w:rPr>
          <w:rFonts w:ascii="Times New Roman" w:hAnsi="Times New Roman" w:eastAsia="Times New Roman" w:cs="Times New Roman"/>
        </w:rPr>
        <w:t>.</w:t>
      </w:r>
      <w:r>
        <w:rPr>
          <w:rFonts w:ascii="MS Gothic" w:hAnsi="MS Gothic" w:eastAsia="MS Gothic" w:cs="MS Gothic"/>
        </w:rPr>
        <w:t>これらの</w:t>
      </w:r>
      <w:r>
        <w:rPr>
          <w:rFonts w:ascii="Microsoft YaHei" w:hAnsi="Microsoft YaHei" w:eastAsia="Microsoft YaHei" w:cs="Microsoft YaHei"/>
        </w:rPr>
        <w:t>骨</w:t>
      </w:r>
      <w:r>
        <w:rPr>
          <w:rFonts w:ascii="MS Gothic" w:hAnsi="MS Gothic" w:eastAsia="MS Gothic" w:cs="MS Gothic"/>
        </w:rPr>
        <w:t>は</w:t>
      </w:r>
      <w:r>
        <w:rPr>
          <w:rFonts w:ascii="Microsoft YaHei" w:hAnsi="Microsoft YaHei" w:eastAsia="Microsoft YaHei" w:cs="Microsoft YaHei"/>
        </w:rPr>
        <w:t>、二〇〇一年九月十一日</w:t>
      </w:r>
      <w:r>
        <w:rPr>
          <w:rFonts w:ascii="MS Gothic" w:hAnsi="MS Gothic" w:eastAsia="MS Gothic" w:cs="MS Gothic"/>
        </w:rPr>
        <w:t>におけるラオディキヤ</w:t>
      </w:r>
      <w:r>
        <w:rPr>
          <w:rFonts w:ascii="Microsoft YaHei" w:hAnsi="Microsoft YaHei" w:eastAsia="Microsoft YaHei" w:cs="Microsoft YaHei"/>
        </w:rPr>
        <w:t>的</w:t>
      </w:r>
      <w:r>
        <w:rPr>
          <w:rFonts w:ascii="MS Gothic" w:hAnsi="MS Gothic" w:eastAsia="MS Gothic" w:cs="MS Gothic"/>
        </w:rPr>
        <w:t>アドベンチズムを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このゆえにパウロは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奥義</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福音</w:t>
      </w:r>
      <w:r>
        <w:rPr>
          <w:rFonts w:ascii="MS Gothic" w:hAnsi="MS Gothic" w:eastAsia="MS Gothic" w:cs="MS Gothic"/>
        </w:rPr>
        <w:t>をラオディキヤ</w:t>
      </w:r>
      <w:r>
        <w:rPr>
          <w:rFonts w:ascii="Microsoft YaHei" w:hAnsi="Microsoft YaHei" w:eastAsia="Microsoft YaHei" w:cs="Microsoft YaHei"/>
        </w:rPr>
        <w:t>人</w:t>
      </w:r>
      <w:r>
        <w:rPr>
          <w:rFonts w:ascii="MS Gothic" w:hAnsi="MS Gothic" w:eastAsia="MS Gothic" w:cs="MS Gothic"/>
        </w:rPr>
        <w:t>たちに</w:t>
      </w:r>
      <w:r>
        <w:rPr>
          <w:rFonts w:ascii="Microsoft YaHei" w:hAnsi="Microsoft YaHei" w:eastAsia="Microsoft YaHei" w:cs="Microsoft YaHei"/>
        </w:rPr>
        <w:t>宛</w:t>
      </w:r>
      <w:r>
        <w:rPr>
          <w:rFonts w:ascii="MS Gothic" w:hAnsi="MS Gothic" w:eastAsia="MS Gothic" w:cs="MS Gothic"/>
        </w:rPr>
        <w:t>てている</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我愿意你们知道</w:t>
      </w:r>
      <w:r>
        <w:rPr>
          <w:rFonts w:ascii="Times New Roman" w:hAnsi="Times New Roman" w:eastAsia="Times New Roman" w:cs="Times New Roman"/>
        </w:rPr>
        <w:t>,</w:t>
      </w:r>
      <w:r>
        <w:rPr>
          <w:rFonts w:ascii="Microsoft YaHei" w:hAnsi="Microsoft YaHei" w:eastAsia="Microsoft YaHei" w:cs="Microsoft YaHei"/>
        </w:rPr>
        <w:t>我为你们和老底嘉的人</w:t>
      </w:r>
      <w:r>
        <w:rPr>
          <w:rFonts w:ascii="Times New Roman" w:hAnsi="Times New Roman" w:eastAsia="Times New Roman" w:cs="Times New Roman"/>
        </w:rPr>
        <w:t>,</w:t>
      </w:r>
      <w:r>
        <w:rPr>
          <w:rFonts w:ascii="Microsoft YaHei" w:hAnsi="Microsoft YaHei" w:eastAsia="Microsoft YaHei" w:cs="Microsoft YaHei"/>
        </w:rPr>
        <w:t>并一切未曾在肉身中见过我面的人</w:t>
      </w:r>
      <w:r>
        <w:rPr>
          <w:rFonts w:ascii="Times New Roman" w:hAnsi="Times New Roman" w:eastAsia="Times New Roman" w:cs="Times New Roman"/>
        </w:rPr>
        <w:t>,</w:t>
      </w:r>
      <w:r>
        <w:rPr>
          <w:rFonts w:ascii="Microsoft YaHei" w:hAnsi="Microsoft YaHei" w:eastAsia="Microsoft YaHei" w:cs="Microsoft YaHei"/>
        </w:rPr>
        <w:t>是何等竭力争战</w:t>
      </w:r>
      <w:r>
        <w:rPr>
          <w:rFonts w:ascii="Times New Roman" w:hAnsi="Times New Roman" w:eastAsia="Times New Roman" w:cs="Times New Roman"/>
        </w:rPr>
        <w:t>;</w:t>
      </w:r>
      <w:r>
        <w:rPr>
          <w:rFonts w:ascii="Microsoft YaHei" w:hAnsi="Microsoft YaHei" w:eastAsia="Microsoft YaHei" w:cs="Microsoft YaHei"/>
        </w:rPr>
        <w:t>要叫他们的心得着安慰</w:t>
      </w:r>
      <w:r>
        <w:rPr>
          <w:rFonts w:ascii="Times New Roman" w:hAnsi="Times New Roman" w:eastAsia="Times New Roman" w:cs="Times New Roman"/>
        </w:rPr>
        <w:t>,</w:t>
      </w:r>
      <w:r>
        <w:rPr>
          <w:rFonts w:ascii="Microsoft YaHei" w:hAnsi="Microsoft YaHei" w:eastAsia="Microsoft YaHei" w:cs="Microsoft YaHei"/>
        </w:rPr>
        <w:t>在爱中联络在一起</w:t>
      </w:r>
      <w:r>
        <w:rPr>
          <w:rFonts w:ascii="Times New Roman" w:hAnsi="Times New Roman" w:eastAsia="Times New Roman" w:cs="Times New Roman"/>
        </w:rPr>
        <w:t>,</w:t>
      </w:r>
      <w:r>
        <w:rPr>
          <w:rFonts w:ascii="Microsoft YaHei" w:hAnsi="Microsoft YaHei" w:eastAsia="Microsoft YaHei" w:cs="Microsoft YaHei"/>
        </w:rPr>
        <w:t>以致得着充足的悟性所带来一切丰盛的确据</w:t>
      </w:r>
      <w:r>
        <w:rPr>
          <w:rFonts w:ascii="Times New Roman" w:hAnsi="Times New Roman" w:eastAsia="Times New Roman" w:cs="Times New Roman"/>
        </w:rPr>
        <w:t>,</w:t>
      </w:r>
      <w:r>
        <w:rPr>
          <w:rFonts w:ascii="Microsoft YaHei" w:hAnsi="Microsoft YaHei" w:eastAsia="Microsoft YaHei" w:cs="Microsoft YaHei"/>
        </w:rPr>
        <w:t>好真正认识神的奥秘</w:t>
      </w:r>
      <w:r>
        <w:rPr>
          <w:rFonts w:ascii="Times New Roman" w:hAnsi="Times New Roman" w:eastAsia="Times New Roman" w:cs="Times New Roman"/>
        </w:rPr>
        <w:t>,</w:t>
      </w:r>
      <w:r>
        <w:rPr>
          <w:rFonts w:ascii="Microsoft YaHei" w:hAnsi="Microsoft YaHei" w:eastAsia="Microsoft YaHei" w:cs="Microsoft YaHei"/>
        </w:rPr>
        <w:t>就是父与基督</w:t>
      </w:r>
      <w:r>
        <w:rPr>
          <w:rFonts w:ascii="Times New Roman" w:hAnsi="Times New Roman" w:eastAsia="Times New Roman" w:cs="Times New Roman"/>
        </w:rPr>
        <w:t>;</w:t>
      </w:r>
      <w:r>
        <w:rPr>
          <w:rFonts w:ascii="Microsoft YaHei" w:hAnsi="Microsoft YaHei" w:eastAsia="Microsoft YaHei" w:cs="Microsoft YaHei"/>
        </w:rPr>
        <w:t>一切智慧和知识的宝藏</w:t>
      </w:r>
      <w:r>
        <w:rPr>
          <w:rFonts w:ascii="Times New Roman" w:hAnsi="Times New Roman" w:eastAsia="Times New Roman" w:cs="Times New Roman"/>
        </w:rPr>
        <w:t>,</w:t>
      </w:r>
      <w:r>
        <w:rPr>
          <w:rFonts w:ascii="Microsoft YaHei" w:hAnsi="Microsoft YaHei" w:eastAsia="Microsoft YaHei" w:cs="Microsoft YaHei"/>
        </w:rPr>
        <w:t>都藏在他里面</w:t>
      </w:r>
      <w:r>
        <w:rPr>
          <w:rFonts w:ascii="Times New Roman" w:hAnsi="Times New Roman" w:eastAsia="Times New Roman" w:cs="Times New Roman"/>
        </w:rPr>
        <w:t>.</w:t>
      </w:r>
      <w:r>
        <w:rPr>
          <w:rFonts w:ascii="Microsoft YaHei" w:hAnsi="Microsoft YaHei" w:eastAsia="Microsoft YaHei" w:cs="Microsoft YaHei"/>
        </w:rPr>
        <w:t>歌罗西书</w:t>
      </w:r>
      <w:r>
        <w:rPr>
          <w:rFonts w:ascii="Times New Roman" w:hAnsi="Times New Roman" w:eastAsia="Times New Roman" w:cs="Times New Roman"/>
        </w:rPr>
        <w:t xml:space="preserve"> 2:1–3.</w:t>
      </w:r>
    </w:p>
    <w:p>
      <w:pPr>
        <w:pStyle w:val="ArticleBody"/>
        <w:jc w:val="left"/>
      </w:pPr>
      <w:r>
        <w:rPr>
          <w:rFonts w:ascii="Times New Roman" w:hAnsi="Times New Roman" w:eastAsia="Times New Roman" w:cs="Times New Roman"/>
        </w:rPr>
        <w:t>Ceci est aussi la description que Sœur White associe aux ossements desséchés d’Ézéchiel.</w:t>
      </w:r>
    </w:p>
    <w:p>
      <w:pPr>
        <w:pStyle w:val="ArticleScripture"/>
        <w:jc w:val="left"/>
      </w:pPr>
      <w:r>
        <w:rPr>
          <w:rFonts w:ascii="Times New Roman" w:hAnsi="Times New Roman" w:eastAsia="Times New Roman" w:cs="Times New Roman"/>
        </w:rPr>
        <w:t>«Mais cette comparaison des ossements desséchés ne s’applique pas seulement au monde; elle s’applique aussi à ceux qui ont été favorisés d’une grande lumière; car eux aussi sont semblables aux squelettes de la vallée. Ils ont la forme des hommes, l’ossature du corps; mais ils n’ont pas la vie spirituelle. Mais la parabole ne laisse pas les ossements desséchés simplement assemblés en des formes humaines; car il ne suffit pas qu’il y ait symétrie des membres et des traits. Il faut que le souffle de vie vivifie les corps, afin qu’ils se tiennent debout et entrent en activité. Ces ossements représentent la maison d’Israël, l’Église de Dieu, et l’espérance de l’Église, c’est l’influence vivifiante du Saint-Esprit. Le Seigneur doit souffler sur les ossements desséchés, afin qu’ils vivent. »</w:t>
      </w:r>
    </w:p>
    <w:p>
      <w:pPr>
        <w:pStyle w:val="ArticleScripture"/>
        <w:jc w:val="left"/>
      </w:pPr>
      <w:r>
        <w:rPr>
          <w:rFonts w:ascii="Times New Roman" w:hAnsi="Times New Roman" w:eastAsia="Times New Roman" w:cs="Times New Roman"/>
        </w:rPr>
        <w:t>“Kulenga kwa Xikwembu, hi matimba ya kona lama hanyisaka, ku fanele ku va eka muendli un’wana ni un’wana wa vumunhu, leswaku nhlonge yin’wana ni yin’wana ni misiha yin’wana ni yin’wana ya moya swi tirha. Handle ka Moya lowo Kwetsima, handle ka ku hefemula ka Xikwembu, ku va ni ku honoka ka ripfalo ni ku lahlekeriwa hi vutomi bya moya. Vo tala lava nga riki na vutomi bya moya va ni mavito ya vona etibukwini ta kereke, kambe a va tsariwanga ebukwini ya vutomi ya Xinyimpfana. Va nga ha va va hlanganisiwe ni kereke, kambe a va hlanganisiwanga ni Hosi. Va nga ha va va hiseka eku endleni ka ntlawa wo karhi wa mintirho, naswona va nga tekiwa tanihi vanhu lava hanyaka; kambe vo tala va le xikarhi ka lava va nga ni ‘vito ra leswaku wa hanya, kambe u file.’”</w:t>
      </w:r>
    </w:p>
    <w:p>
      <w:pPr>
        <w:pStyle w:val="ArticleScripture"/>
        <w:jc w:val="left"/>
      </w:pPr>
      <w:r>
        <w:rPr>
          <w:rFonts w:ascii="Times New Roman" w:hAnsi="Times New Roman" w:eastAsia="Times New Roman" w:cs="Times New Roman"/>
        </w:rPr>
        <w:t>“Isipokuwa kuwe na uongofu wa kweli wa nafsi kwa Mungu; isipokuwa pumzi iliyo hai ya Mungu ihuishie nafsi kwa uzima wa kiroho; isipokuwa wanaodai kuishika kweli waongozwe na kanuni iliyozaliwa mbinguni, hawajazaliwa kwa ile mbegu isiyoharibika, iliyo hai na idumuyo milele. Isipokuwa wakiitumainia haki ya Kristo kuwa ndiyo usalama wao wa pekee; isipokuwa waige tabia Yake, wafanye kazi katika roho Yake, wako uchi, hawajavaa vazi la haki Yake. Mara nyingi wafu hufanywa waonekane kuwa hai; kwa maana wale wanaotenda kile wanachokiita wokovu kulingana na mawazo yao wenyewe, hawana Mungu akitenda kazi ndani yao kutaka na kutenda kwa mapenzi Yake mema.”</w:t>
      </w:r>
    </w:p>
    <w:p>
      <w:pPr>
        <w:pStyle w:val="ArticleScripture"/>
        <w:jc w:val="left"/>
      </w:pPr>
      <w:r>
        <w:rPr>
          <w:rFonts w:ascii="Times New Roman" w:hAnsi="Times New Roman" w:eastAsia="Times New Roman" w:cs="Times New Roman"/>
        </w:rPr>
        <w:t>«Ce groupe est fidèlement représenté par la vallée d’ossements desséchés qu’Ézéchiel vit en vision.» Review and Herald, 17 janvier 1893.</w:t>
      </w:r>
    </w:p>
    <w:p>
      <w:pPr>
        <w:pStyle w:val="ArticleBody"/>
        <w:jc w:val="left"/>
      </w:pPr>
      <w:r>
        <w:rPr>
          <w:rFonts w:ascii="Times New Roman" w:hAnsi="Times New Roman" w:eastAsia="Times New Roman" w:cs="Times New Roman"/>
        </w:rPr>
        <w:t>Lajodicejská zvesť bola adventizmu prvýkrát predložená v roku 1856, práve v tom roku, keď Pán otvoril rozvíjajúce sa svetlo o „siedmich časoch“ z dvadsiatej šiestej kapitoly Levitika. Posolstvo roku 1856, pozostávajúce z vnútorného posolstva vyzývajúceho k pokániu a z vonkajšieho prorockého posolstva, bolo v roku 1863 odmietnuté. Lajodicejská zvesť o tajomstve „Kristus vo vás, nádej slávy“, bola zopakovaná v roku 1888 staršími Jonesom a Waggonerom, a aj toto posolstvo bolo sestrou Whiteovou označené za zvesť pre Lajodiceu.</w:t>
      </w:r>
    </w:p>
    <w:p>
      <w:pPr>
        <w:pStyle w:val="ArticleBody"/>
        <w:jc w:val="left"/>
      </w:pPr>
      <w:r>
        <w:rPr>
          <w:rFonts w:ascii="Times New Roman" w:hAnsi="Times New Roman" w:eastAsia="Times New Roman" w:cs="Times New Roman"/>
        </w:rPr>
        <w:t>Satır satır, Hezekiel otuz yedinci bölüm, Hezekiel’in ruhen 11 Eylül 2001 tarihine taşınmasıyla başlar; orada kendisine suçlar ve günahlar içinde ölü olan Laodikya Adventizmi’nin bir görünümü verilir. Ona birbirinden ayrı iki belirgin peygamberlik mesajı vermesi söylenir. Birincisi bir araya geliş meydana getirir, fakat bedenler hâlâ ölüdür. İkinci peygamberlik ise “dört rüzgâr” mesajının kemiklere hayat üflemesini talep eder. Dört rüzgâr mesajı, dört meleğin dört rüzgârı tuttuğunu tanımlayan yüz kırk dört binin mühürlenme mesajıdır. White Kardeş, bu dört rüzgârı, zaptedilmekte olduğu için çözülüp kurtulmaya çalışan “kızgın bir at” olarak tanımlar. İslâm’ın kızgın atı çözülüp kurtulmaya, geçtiği yol boyunca ölüm ve yıkım getirmeye çalışmaktadır; 11 Eylül 2001’de yaptığı gibi, yakında gelecek Pazar yasasında da yeniden salıverilecektir.</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মৃতদেহগুলিকে</w:t>
      </w:r>
      <w:r>
        <w:rPr>
          <w:rFonts w:ascii="Times New Roman" w:hAnsi="Times New Roman" w:eastAsia="Times New Roman" w:cs="Times New Roman"/>
        </w:rPr>
        <w:t xml:space="preserve"> </w:t>
      </w:r>
      <w:r>
        <w:rPr>
          <w:rFonts w:ascii="Nirmala UI" w:hAnsi="Nirmala UI" w:eastAsia="Nirmala UI" w:cs="Nirmala UI"/>
        </w:rPr>
        <w:t>একতাবদ্ধ</w:t>
      </w:r>
      <w:r>
        <w:rPr>
          <w:rFonts w:ascii="Times New Roman" w:hAnsi="Times New Roman" w:eastAsia="Times New Roman" w:cs="Times New Roman"/>
        </w:rPr>
        <w:t xml:space="preserve"> </w:t>
      </w:r>
      <w:r>
        <w:rPr>
          <w:rFonts w:ascii="Nirmala UI" w:hAnsi="Nirmala UI" w:eastAsia="Nirmala UI" w:cs="Nirmala UI"/>
        </w:rPr>
        <w:t>সৈন্যবাহিনীতে</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একতাবদ্ধ</w:t>
      </w:r>
      <w:r>
        <w:rPr>
          <w:rFonts w:ascii="Times New Roman" w:hAnsi="Times New Roman" w:eastAsia="Times New Roman" w:cs="Times New Roman"/>
        </w:rPr>
        <w:t xml:space="preserve"> </w:t>
      </w:r>
      <w:r>
        <w:rPr>
          <w:rFonts w:ascii="Nirmala UI" w:hAnsi="Nirmala UI" w:eastAsia="Nirmala UI" w:cs="Nirmala UI"/>
        </w:rPr>
        <w:t>সৈন্যবাহিনী</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প্রতিক্রিয়ায়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দাঁড়</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দিনগুলিতে</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বিবাহের</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Puis Ézéchiel reçoit la vision de l’assemblage de deux bâtons qui deviennent une seule nation. Ces deux bâtons sont le royaume du nord d’Israël et le royaume du sud de Juda, lesquels sont réunis en une seule nation à l’achèvement de leurs périodes mutuelles de dispersion de deux mille cinq cent vingt ans. Leur achèvement commun produit un temple spirituel, représenté par les quarante-six années au commencement et à la fin des temps de dispersion mutuelle.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 Et ils se levèrent de bon matin, et sortirent vers le désert de Tekoa ; et comme ils sortaient, Josaphat se tint là et dit : Écoutez-moi, Juda, et vous, habitants de Jérusalem ; croyez en l’Éternel, votre Dieu, et vous serez affermis ; croyez en ses prophètes, et vous prospérerez. 2 Chroniques 20:20. »</w:t>
      </w:r>
    </w:p>
    <w:p>
      <w:pPr>
        <w:pStyle w:val="ArticleScripture"/>
        <w:jc w:val="left"/>
      </w:pPr>
      <w:r>
        <w:rPr>
          <w:rFonts w:ascii="Times New Roman" w:hAnsi="Times New Roman" w:eastAsia="Times New Roman" w:cs="Times New Roman"/>
        </w:rPr>
        <w:t>« Croyez en l’Éternel, votre Dieu, et vous serez affermis ; croyez en ses prophètes, et vous prospérerez. »</w:t>
      </w:r>
    </w:p>
    <w:p>
      <w:pPr>
        <w:pStyle w:val="ArticleScripture"/>
        <w:jc w:val="left"/>
      </w:pPr>
      <w:r>
        <w:rPr>
          <w:rFonts w:ascii="Times New Roman" w:hAnsi="Times New Roman" w:eastAsia="Times New Roman" w:cs="Times New Roman"/>
        </w:rPr>
        <w:t>“Isaiah 8:20. ‘Kwa sheria na kwa ushuhuda; ikiwa hawasemi sawasawa na neno hili, ni kwa sababu hamna nuru ndani yao.’”</w:t>
      </w:r>
    </w:p>
    <w:p>
      <w:pPr>
        <w:pStyle w:val="ArticleScripture"/>
        <w:jc w:val="left"/>
      </w:pPr>
      <w:r>
        <w:rPr>
          <w:rFonts w:ascii="Times New Roman" w:hAnsi="Times New Roman" w:eastAsia="Times New Roman" w:cs="Times New Roman"/>
        </w:rPr>
        <w:t>« Deux textes sont ici placés devant le peuple de Dieu : deux conditions de réussite. La loi prononcée par Jéhovah lui-même, et l’esprit de prophétie, sont les deux sources de sagesse destinées à guider son peuple dans toute expérience. Deutéronome 4:6. “C’est là votre sagesse et votre intelligence aux yeux des nations, qui diront : Certainement, cette grande nation est un peuple sage et intelligent.” »</w:t>
      </w:r>
    </w:p>
    <w:p>
      <w:pPr>
        <w:pStyle w:val="ArticleScripture"/>
        <w:jc w:val="left"/>
      </w:pPr>
      <w:r>
        <w:rPr>
          <w:rFonts w:ascii="Times New Roman" w:hAnsi="Times New Roman" w:eastAsia="Times New Roman" w:cs="Times New Roman"/>
        </w:rPr>
        <w:t>“Законът Божий и Духът на пророчеството вървят ръка за ръка, за да ръководят и наставляват църквата; и винаги, когато църквата е признавала това, като е била послушна на Неговия закон, духът на пророчеството е бил изпращан, за да я води в пътя на истината.</w:t>
      </w:r>
    </w:p>
    <w:p>
      <w:pPr>
        <w:pStyle w:val="ArticleScripture"/>
        <w:jc w:val="left"/>
      </w:pPr>
      <w:r>
        <w:rPr>
          <w:rFonts w:ascii="Times New Roman" w:hAnsi="Times New Roman" w:eastAsia="Times New Roman" w:cs="Times New Roman"/>
        </w:rPr>
        <w:t>“Apocalypse 12:17. « Et le dragon fut irrité contre la femme, et il s’en alla faire la guerre au reste de sa postérité, à ceux qui gardent les commandements de Dieu et qui ont le témoignage de Jésus-Christ. » Cette prophétie indique clairement que l’Église du reste reconnaîtra Dieu dans sa loi et possédera le don prophétique. L’obéissance à la loi de Dieu et l’esprit de prophétie ont toujours distingué le véritable peuple de Dieu, et l’épreuve est généralement donnée à partir des manifestations présentes.</w:t>
      </w:r>
    </w:p>
    <w:p>
      <w:pPr>
        <w:pStyle w:val="ArticleScripture"/>
        <w:jc w:val="left"/>
      </w:pPr>
      <w:r>
        <w:rPr>
          <w:rFonts w:ascii="Times New Roman" w:hAnsi="Times New Roman" w:eastAsia="Times New Roman" w:cs="Times New Roman"/>
        </w:rPr>
        <w:t>“Au temps de Jérémie, le peuple ne mettait nullement en question le message de Moïse, d’Élie ou d’Élisée; mais il mit en question et écarta le message que Dieu avait envoyé à Jérémie, jusqu’à ce que sa force et sa puissance fussent épuisées, et qu’il n’y eût plus de remède, sinon que Dieu les emmenât en captivité.</w:t>
      </w:r>
    </w:p>
    <w:p>
      <w:pPr>
        <w:pStyle w:val="ArticleScripture"/>
        <w:jc w:val="left"/>
      </w:pPr>
      <w:r>
        <w:rPr>
          <w:rFonts w:ascii="Times New Roman" w:hAnsi="Times New Roman" w:eastAsia="Times New Roman" w:cs="Times New Roman"/>
        </w:rPr>
        <w:t>“Enne nokkota Kiristoosa baraatti sabni Ermiyaas ergaan isaa dhugaa akka ture baratanii turan; akkasumas, utuu isaan bara abbootii isaanii keessa jiraatanii ergamaa isaa fudhatanii ni turan jedhanii of amansiisan; yeroo walfakkaatutti garuu, isaan ergaa Kiristoos, kan waa’ee isaa raajonni hundinuu barreessanii turan, didaa turan.”</w:t>
      </w:r>
    </w:p>
    <w:p>
      <w:pPr>
        <w:pStyle w:val="ArticleScripture"/>
        <w:jc w:val="left"/>
      </w:pPr>
      <w:r>
        <w:rPr>
          <w:rFonts w:ascii="Times New Roman" w:hAnsi="Times New Roman" w:eastAsia="Times New Roman" w:cs="Times New Roman"/>
        </w:rPr>
        <w:t>«Когда в мире возникла весть третьего ангела, призванная открыть Церкви закон Божий во всей его полноте и силе, тогда же был немедленно восстановлен и пророческий дар. Этот дар играл весьма выдающуюся роль в развитии и дальнейшем продвижении этой вести. »</w:t>
      </w:r>
    </w:p>
    <w:p>
      <w:pPr>
        <w:pStyle w:val="ArticleScripture"/>
        <w:jc w:val="left"/>
      </w:pPr>
      <w:r>
        <w:rPr>
          <w:rFonts w:ascii="Times New Roman" w:hAnsi="Times New Roman" w:eastAsia="Times New Roman" w:cs="Times New Roman"/>
        </w:rPr>
        <w:t>“</w:t>
      </w:r>
      <w:r>
        <w:rPr>
          <w:rFonts w:ascii="Nirmala UI" w:hAnsi="Nirmala UI" w:eastAsia="Nirmala UI" w:cs="Nirmala UI"/>
        </w:rPr>
        <w:t>ଦୈବବାଣୀର</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କାର୍ଯ୍ୟପଦ୍ଧତି</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ମତଭେଦ</w:t>
      </w:r>
      <w:r>
        <w:rPr>
          <w:rFonts w:ascii="Times New Roman" w:hAnsi="Times New Roman" w:eastAsia="Times New Roman" w:cs="Times New Roman"/>
        </w:rPr>
        <w:t xml:space="preserve"> </w:t>
      </w:r>
      <w:r>
        <w:rPr>
          <w:rFonts w:ascii="Nirmala UI" w:hAnsi="Nirmala UI" w:eastAsia="Nirmala UI" w:cs="Nirmala UI"/>
        </w:rPr>
        <w:t>ଉଦ୍ଭବିତ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ବିଶ୍ୱାସୀମାନଙ୍କର</w:t>
      </w:r>
      <w:r>
        <w:rPr>
          <w:rFonts w:ascii="Times New Roman" w:hAnsi="Times New Roman" w:eastAsia="Times New Roman" w:cs="Times New Roman"/>
        </w:rPr>
        <w:t xml:space="preserve"> </w:t>
      </w:r>
      <w:r>
        <w:rPr>
          <w:rFonts w:ascii="Nirmala UI" w:hAnsi="Nirmala UI" w:eastAsia="Nirmala UI" w:cs="Nirmala UI"/>
        </w:rPr>
        <w:t>ଆସ୍ଥାକୁ</w:t>
      </w:r>
      <w:r>
        <w:rPr>
          <w:rFonts w:ascii="Times New Roman" w:hAnsi="Times New Roman" w:eastAsia="Times New Roman" w:cs="Times New Roman"/>
        </w:rPr>
        <w:t xml:space="preserve"> </w:t>
      </w:r>
      <w:r>
        <w:rPr>
          <w:rFonts w:ascii="Nirmala UI" w:hAnsi="Nirmala UI" w:eastAsia="Nirmala UI" w:cs="Nirmala UI"/>
        </w:rPr>
        <w:t>ଅସ୍ଥିର</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ବିଭେଦ</w:t>
      </w:r>
      <w:r>
        <w:rPr>
          <w:rFonts w:ascii="Times New Roman" w:hAnsi="Times New Roman" w:eastAsia="Times New Roman" w:cs="Times New Roman"/>
        </w:rPr>
        <w:t xml:space="preserve"> </w:t>
      </w:r>
      <w:r>
        <w:rPr>
          <w:rFonts w:ascii="Nirmala UI" w:hAnsi="Nirmala UI" w:eastAsia="Nirmala UI" w:cs="Nirmala UI"/>
        </w:rPr>
        <w:t>ସୃଷ୍ଟି</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ଉଦ୍ଦିଷ୍ଟ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ପରିସ୍ଥିତିରେ</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ସଦା</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ସ୍ଥିତି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ସଦା</w:t>
      </w:r>
      <w:r>
        <w:rPr>
          <w:rFonts w:ascii="Times New Roman" w:hAnsi="Times New Roman" w:eastAsia="Times New Roman" w:cs="Times New Roman"/>
        </w:rPr>
        <w:t xml:space="preserve"> </w:t>
      </w:r>
      <w:r>
        <w:rPr>
          <w:rFonts w:ascii="Nirmala UI" w:hAnsi="Nirmala UI" w:eastAsia="Nirmala UI" w:cs="Nirmala UI"/>
        </w:rPr>
        <w:t>ବିଶ୍ୱାସୀମାନଙ୍କର</w:t>
      </w:r>
      <w:r>
        <w:rPr>
          <w:rFonts w:ascii="Times New Roman" w:hAnsi="Times New Roman" w:eastAsia="Times New Roman" w:cs="Times New Roman"/>
        </w:rPr>
        <w:t xml:space="preserve"> </w:t>
      </w:r>
      <w:r>
        <w:rPr>
          <w:rFonts w:ascii="Nirmala UI" w:hAnsi="Nirmala UI" w:eastAsia="Nirmala UI" w:cs="Nirmala UI"/>
        </w:rPr>
        <w:t>ସମୁଦାୟରେ</w:t>
      </w:r>
      <w:r>
        <w:rPr>
          <w:rFonts w:ascii="Times New Roman" w:hAnsi="Times New Roman" w:eastAsia="Times New Roman" w:cs="Times New Roman"/>
        </w:rPr>
        <w:t xml:space="preserve"> </w:t>
      </w:r>
      <w:r>
        <w:rPr>
          <w:rFonts w:ascii="Nirmala UI" w:hAnsi="Nirmala UI" w:eastAsia="Nirmala UI" w:cs="Nirmala UI"/>
        </w:rPr>
        <w:t>ଚିନ୍ତାର</w:t>
      </w:r>
      <w:r>
        <w:rPr>
          <w:rFonts w:ascii="Times New Roman" w:hAnsi="Times New Roman" w:eastAsia="Times New Roman" w:cs="Times New Roman"/>
        </w:rPr>
        <w:t xml:space="preserve"> </w:t>
      </w:r>
      <w:r>
        <w:rPr>
          <w:rFonts w:ascii="Nirmala UI" w:hAnsi="Nirmala UI" w:eastAsia="Nirmala UI" w:cs="Nirmala UI"/>
        </w:rPr>
        <w:t>ଏକତା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ସାମଞ୍ଜସ୍ୟ</w:t>
      </w:r>
      <w:r>
        <w:rPr>
          <w:rFonts w:ascii="Times New Roman" w:hAnsi="Times New Roman" w:eastAsia="Times New Roman" w:cs="Times New Roman"/>
        </w:rPr>
        <w:t xml:space="preserve"> </w:t>
      </w:r>
      <w:r>
        <w:rPr>
          <w:rFonts w:ascii="Nirmala UI" w:hAnsi="Nirmala UI" w:eastAsia="Nirmala UI" w:cs="Nirmala UI"/>
        </w:rPr>
        <w:t>ଆଣିଛି।</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ବିକାଶ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ବୃଦ୍ଧି</w:t>
      </w:r>
      <w:r>
        <w:rPr>
          <w:rFonts w:ascii="Times New Roman" w:hAnsi="Times New Roman" w:eastAsia="Times New Roman" w:cs="Times New Roman"/>
        </w:rPr>
        <w:t xml:space="preserve"> </w:t>
      </w:r>
      <w:r>
        <w:rPr>
          <w:rFonts w:ascii="Nirmala UI" w:hAnsi="Nirmala UI" w:eastAsia="Nirmala UI" w:cs="Nirmala UI"/>
        </w:rPr>
        <w:t>ପରିପ୍ରେକ୍ଷ୍ୟରେ</w:t>
      </w:r>
      <w:r>
        <w:rPr>
          <w:rFonts w:ascii="Times New Roman" w:hAnsi="Times New Roman" w:eastAsia="Times New Roman" w:cs="Times New Roman"/>
        </w:rPr>
        <w:t xml:space="preserve"> </w:t>
      </w:r>
      <w:r>
        <w:rPr>
          <w:rFonts w:ascii="Nirmala UI" w:hAnsi="Nirmala UI" w:eastAsia="Nirmala UI" w:cs="Nirmala UI"/>
        </w:rPr>
        <w:t>ଯେପ୍ରତ୍ୟେକ</w:t>
      </w:r>
      <w:r>
        <w:rPr>
          <w:rFonts w:ascii="Times New Roman" w:hAnsi="Times New Roman" w:eastAsia="Times New Roman" w:cs="Times New Roman"/>
        </w:rPr>
        <w:t xml:space="preserve"> </w:t>
      </w:r>
      <w:r>
        <w:rPr>
          <w:rFonts w:ascii="Nirmala UI" w:hAnsi="Nirmala UI" w:eastAsia="Nirmala UI" w:cs="Nirmala UI"/>
        </w:rPr>
        <w:t>ସଙ୍କଟ</w:t>
      </w:r>
      <w:r>
        <w:rPr>
          <w:rFonts w:ascii="Times New Roman" w:hAnsi="Times New Roman" w:eastAsia="Times New Roman" w:cs="Times New Roman"/>
        </w:rPr>
        <w:t xml:space="preserve"> </w:t>
      </w:r>
      <w:r>
        <w:rPr>
          <w:rFonts w:ascii="Nirmala UI" w:hAnsi="Nirmala UI" w:eastAsia="Nirmala UI" w:cs="Nirmala UI"/>
        </w:rPr>
        <w:t>ଉଦ୍ଭବିତ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ସମସ୍ତରେ</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ଦେବଙ୍କର</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ଆତ୍ମାର</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ଦୃଢ଼ଭାବେ</w:t>
      </w:r>
      <w:r>
        <w:rPr>
          <w:rFonts w:ascii="Times New Roman" w:hAnsi="Times New Roman" w:eastAsia="Times New Roman" w:cs="Times New Roman"/>
        </w:rPr>
        <w:t xml:space="preserve"> </w:t>
      </w:r>
      <w:r>
        <w:rPr>
          <w:rFonts w:ascii="Nirmala UI" w:hAnsi="Nirmala UI" w:eastAsia="Nirmala UI" w:cs="Nirmala UI"/>
        </w:rPr>
        <w:t>ଅଟଳ</w:t>
      </w:r>
      <w:r>
        <w:rPr>
          <w:rFonts w:ascii="Times New Roman" w:hAnsi="Times New Roman" w:eastAsia="Times New Roman" w:cs="Times New Roman"/>
        </w:rPr>
        <w:t xml:space="preserve"> </w:t>
      </w:r>
      <w:r>
        <w:rPr>
          <w:rFonts w:ascii="Nirmala UI" w:hAnsi="Nirmala UI" w:eastAsia="Nirmala UI" w:cs="Nirmala UI"/>
        </w:rPr>
        <w:t>ରହିଛନ୍ତି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ହୋଇଛନ୍ତି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ହସ୍ତରେ</w:t>
      </w:r>
      <w:r>
        <w:rPr>
          <w:rFonts w:ascii="Times New Roman" w:hAnsi="Times New Roman" w:eastAsia="Times New Roman" w:cs="Times New Roman"/>
        </w:rPr>
        <w:t xml:space="preserve"> </w:t>
      </w:r>
      <w:r>
        <w:rPr>
          <w:rFonts w:ascii="Nirmala UI" w:hAnsi="Nirmala UI" w:eastAsia="Nirmala UI" w:cs="Nirmala UI"/>
        </w:rPr>
        <w:t>ସମୃଦ୍ଧି</w:t>
      </w:r>
      <w:r>
        <w:rPr>
          <w:rFonts w:ascii="Times New Roman" w:hAnsi="Times New Roman" w:eastAsia="Times New Roman" w:cs="Times New Roman"/>
        </w:rPr>
        <w:t xml:space="preserve"> </w:t>
      </w:r>
      <w:r>
        <w:rPr>
          <w:rFonts w:ascii="Nirmala UI" w:hAnsi="Nirmala UI" w:eastAsia="Nirmala UI" w:cs="Nirmala UI"/>
        </w:rPr>
        <w:t>ପାଇଛି।</w:t>
      </w:r>
      <w:r>
        <w:rPr>
          <w:rFonts w:ascii="Times New Roman" w:hAnsi="Times New Roman" w:eastAsia="Times New Roman" w:cs="Times New Roman"/>
        </w:rPr>
        <w:t>”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quarante-neuf</dc:title>
  <dc:subject>सर्वेश्वरस्य रहस्यस्य प्रकाशनम्: दिव्यता-मानवत्वयोः ऐक्यकरणम्</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