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Lima Puluh Satu</w:t>
      </w:r>
    </w:p>
    <w:p>
      <w:pPr>
        <w:pStyle w:val="ArticleSubtitle"/>
        <w:jc w:val="left"/>
      </w:pPr>
      <w:r>
        <w:rPr>
          <w:rFonts w:ascii="Arial" w:hAnsi="Arial" w:eastAsia="Arial" w:cs="Arial"/>
        </w:rPr>
        <w:t>Le Symbolisme du Temple : dévoiler les mystères de la relation entre le divin et l’humain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Ebrima" w:hAnsi="Ebrima" w:eastAsia="Ebrima" w:cs="Ebrima"/>
        </w:rPr>
        <w:t>ዚህ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የሰሜኑን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ምርኮኝነት</w:t>
      </w:r>
      <w:r>
        <w:rPr>
          <w:rFonts w:ascii="Times New Roman" w:hAnsi="Times New Roman" w:eastAsia="Times New Roman" w:cs="Times New Roman"/>
        </w:rPr>
        <w:t xml:space="preserve"> </w:t>
      </w:r>
      <w:r>
        <w:rPr>
          <w:rFonts w:ascii="Ebrima" w:hAnsi="Ebrima" w:eastAsia="Ebrima" w:cs="Ebrima"/>
        </w:rPr>
        <w:t>ከደቡቡ</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ምርኮኝነት</w:t>
      </w:r>
      <w:r>
        <w:rPr>
          <w:rFonts w:ascii="Times New Roman" w:hAnsi="Times New Roman" w:eastAsia="Times New Roman" w:cs="Times New Roman"/>
        </w:rPr>
        <w:t xml:space="preserve"> </w:t>
      </w:r>
      <w:r>
        <w:rPr>
          <w:rFonts w:ascii="Ebrima" w:hAnsi="Ebrima" w:eastAsia="Ebrima" w:cs="Ebrima"/>
        </w:rPr>
        <w:t>የሚለየውም</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የመቅደሱና</w:t>
      </w:r>
      <w:r>
        <w:rPr>
          <w:rFonts w:ascii="Times New Roman" w:hAnsi="Times New Roman" w:eastAsia="Times New Roman" w:cs="Times New Roman"/>
        </w:rPr>
        <w:t xml:space="preserve"> </w:t>
      </w:r>
      <w:r>
        <w:rPr>
          <w:rFonts w:ascii="Ebrima" w:hAnsi="Ebrima" w:eastAsia="Ebrima" w:cs="Ebrima"/>
        </w:rPr>
        <w:t>የሠራዊቱ</w:t>
      </w:r>
      <w:r>
        <w:rPr>
          <w:rFonts w:ascii="Times New Roman" w:hAnsi="Times New Roman" w:eastAsia="Times New Roman" w:cs="Times New Roman"/>
        </w:rPr>
        <w:t xml:space="preserve"> </w:t>
      </w:r>
      <w:r>
        <w:rPr>
          <w:rFonts w:ascii="Ebrima" w:hAnsi="Ebrima" w:eastAsia="Ebrima" w:cs="Ebrima"/>
        </w:rPr>
        <w:t>መረገጥ</w:t>
      </w:r>
      <w:r>
        <w:rPr>
          <w:rFonts w:ascii="Times New Roman" w:hAnsi="Times New Roman" w:eastAsia="Times New Roman" w:cs="Times New Roman"/>
        </w:rPr>
        <w:t xml:space="preserve"> </w:t>
      </w:r>
      <w:r>
        <w:rPr>
          <w:rFonts w:ascii="Ebrima" w:hAnsi="Ebrima" w:eastAsia="Ebrima" w:cs="Ebrima"/>
        </w:rPr>
        <w:t>በተፈጸመ</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የሚያገናኘው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723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677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ፈርሶ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ተረግጦ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መረገጡ</w:t>
      </w:r>
      <w:r>
        <w:rPr>
          <w:rFonts w:ascii="Times New Roman" w:hAnsi="Times New Roman" w:eastAsia="Times New Roman" w:cs="Times New Roman"/>
        </w:rPr>
        <w:t xml:space="preserve"> </w:t>
      </w:r>
      <w:r>
        <w:rPr>
          <w:rFonts w:ascii="Ebrima" w:hAnsi="Ebrima" w:eastAsia="Ebrima" w:cs="Ebrima"/>
        </w:rPr>
        <w:t>ተወደቀ፣</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ተቋቁሞ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ንጉሥም</w:t>
      </w:r>
      <w:r>
        <w:rPr>
          <w:rFonts w:ascii="Times New Roman" w:hAnsi="Times New Roman" w:eastAsia="Times New Roman" w:cs="Times New Roman"/>
        </w:rPr>
        <w:t xml:space="preserve"> </w:t>
      </w:r>
      <w:r>
        <w:rPr>
          <w:rFonts w:ascii="Ebrima" w:hAnsi="Ebrima" w:eastAsia="Ebrima" w:cs="Ebrima"/>
        </w:rPr>
        <w:t>ሊኖራቸው፣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ሊያቆሙ</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ዕቅድ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1863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ዕቅዱን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2001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ገፋው።</w:t>
      </w:r>
    </w:p>
    <w:p>
      <w:pPr>
        <w:pStyle w:val="ArticleBody"/>
        <w:jc w:val="left"/>
      </w:pPr>
      <w:r>
        <w:rPr>
          <w:rFonts w:ascii="Times New Roman" w:hAnsi="Times New Roman" w:eastAsia="Times New Roman" w:cs="Times New Roman"/>
        </w:rPr>
        <w:t>I cannot translate into “ff” because the target language is not specified. Please tell me what language “ff” refers to.</w:t>
      </w:r>
    </w:p>
    <w:p>
      <w:pPr>
        <w:pStyle w:val="ArticleScripture"/>
        <w:jc w:val="left"/>
      </w:pPr>
      <w:r>
        <w:rPr>
          <w:rFonts w:ascii="Times New Roman" w:hAnsi="Times New Roman" w:eastAsia="Times New Roman" w:cs="Times New Roman"/>
        </w:rPr>
        <w:t>Car si vous vivez selon la chair, vous mourrez; mais si, par l’Esprit, vous faites mourir les actions du corps, vous vivrez. Romains 8:13.</w:t>
      </w:r>
    </w:p>
    <w:p>
      <w:pPr>
        <w:pStyle w:val="ArticleBody"/>
        <w:jc w:val="left"/>
      </w:pPr>
      <w:r>
        <w:rPr>
          <w:rFonts w:ascii="Times New Roman" w:hAnsi="Times New Roman" w:eastAsia="Times New Roman" w:cs="Times New Roman"/>
        </w:rPr>
        <w:t>Le modèle du temple humain est fondé sur le modèle du temple de Dieu. Le corps, qui est l’Église, correspond à la chair dans le temple de l’individu. Dans le temple de l’individu, l’esprit est la tête, et le corps est la chair.</w:t>
      </w:r>
    </w:p>
    <w:p>
      <w:pPr>
        <w:pStyle w:val="ArticleScripture"/>
        <w:jc w:val="left"/>
      </w:pPr>
      <w:r>
        <w:rPr>
          <w:rFonts w:ascii="Times New Roman" w:hAnsi="Times New Roman" w:eastAsia="Times New Roman" w:cs="Times New Roman"/>
        </w:rPr>
        <w:t>Car nous sommes membres de son corps, de sa chair et de ses os. C’est pourquoi l’homme quittera son père et sa mère, et s’attachera à sa femme, et les deux deviendront une seule chair. Ce mystère est grand ; mais je parle relativement à Christ et à l’Église. Éphésiens 5:30–32.</w:t>
      </w:r>
    </w:p>
    <w:p>
      <w:pPr>
        <w:pStyle w:val="ArticleBody"/>
        <w:jc w:val="left"/>
      </w:pPr>
      <w:r>
        <w:rPr>
          <w:rFonts w:ascii="Times New Roman" w:hAnsi="Times New Roman" w:eastAsia="Times New Roman" w:cs="Times New Roman"/>
        </w:rPr>
        <w:t>וְהַהֵיכָל אֲשֶׁר יוֹחָנָן נִצְטַוָּה לָמֹד, כַּאֲשֶׁר תְּקִיעַת הַמַּלְאָךְ הַשְּׁבִיעִי צִיְּנָה אֶת תְּחִלַּת מְלֶאכֶת הַשְׁלָמַת סוֹד הָאֱלֹהִים, הָיָה הֵיכַל הָאֱלֹהִים; אַךְ הֵיכַל הָאָדָם נִבְרָא בְּצֶלֶם הֵיכַל הָאֱלֹהִים. סְמָלִים בְּנֵי־חִלּוּף הֵם. מֹשֶׁה הָיָה בָּהָר אַרְבָּעִים וְשִׁשָּׁה יָמִים בְּשָׁעָה שֶׁהָרְאָה לוֹ הַתַּבְנִית אֲשֶׁר לְפִיהָ הָיָה עָלָיו לְהָקִים אֶת הַמִּשְׁכָּן הָאָרְצִי. הַתַּבְנִית נִלְקְחָה מִן הַהֵיכָל הַשָּׁמַיִם.</w:t>
      </w:r>
    </w:p>
    <w:p>
      <w:pPr>
        <w:pStyle w:val="ArticleBody"/>
        <w:jc w:val="left"/>
      </w:pPr>
      <w:r>
        <w:rPr>
          <w:rFonts w:ascii="Times New Roman" w:hAnsi="Times New Roman" w:eastAsia="Times New Roman" w:cs="Times New Roman"/>
        </w:rPr>
        <w:t>Kristo e bile tempele ya legodimong, e bonagaditswe mo nameng, mme O emela sekao sa tempele ya motho, gonne batho ba ne ba bopiwa mo setshwanong sa Gagwe. Ka lebaka leo, sekao sa tempele ya motho se emelwa ka di-chromosome di le masome a mane le borataro.</w:t>
      </w:r>
    </w:p>
    <w:p>
      <w:pPr>
        <w:pStyle w:val="ArticleBody"/>
        <w:jc w:val="left"/>
      </w:pPr>
      <w:r>
        <w:rPr>
          <w:rFonts w:ascii="Times New Roman" w:hAnsi="Times New Roman" w:eastAsia="Times New Roman" w:cs="Times New Roman"/>
        </w:rPr>
        <w:t>Le templi sono profeticamente intercambiabili. Così, il tempio che a Giovanni fu detto di misurare consisteva soltanto di due appartamenti, senza alcun cortile. Il primo appartamento rappresenta il tempio umano, la chiesa (la sposa), la nazione, il corpo, che è la carne. Il secondo appartamento rappresenta il tempio divino, lo sposo, il re, il capo, che è la mente. La promessa del patto eterno, che si compie per i centoquarantaquattromila negli ultimi giorni, è stata illustrata dai due bastoni di Ezechiele capitolo trentasette. È stata illustrata dal tempio di Giovanni, che consiste di due appartamenti. È stata illustrata dalle definizioni specifiche di Paolo del mistero di Cristo nel credente, speranza di gloria.</w:t>
      </w:r>
    </w:p>
    <w:p>
      <w:pPr>
        <w:pStyle w:val="ArticleBody"/>
        <w:jc w:val="left"/>
      </w:pPr>
      <w:r>
        <w:rPr>
          <w:rFonts w:ascii="Times New Roman" w:hAnsi="Times New Roman" w:eastAsia="Times New Roman" w:cs="Times New Roman"/>
        </w:rPr>
        <w:t>Le ministère du scellement des cent quarante-quatre mille est l’œuvre qui consiste à unir de manière permanente la Divinité à l’humanité. Cette œuvre s’accomplit pendant que retentit la Septième Trompette. Cette union est représentée, ligne sur ligne, de diverses manières dans les Écritures. L’œuvre de la justification et celle de la sanctification sont les termes théologiques désignant cette œuvre. La justification est l’œuvre du Christ en tant que notre Substitut, et l’œuvre de la sanctification est l’œuvre du Christ en tant que notre Exemple. La justification représente notre titre pour le ciel, et la sanctification représente notre aptitude pour le ciel. Ces deux œuvres sont apportées au croyant par la présence du Saint-Esprit. Cette œuvre est représentée comme l’inscription de la loi de Dieu dans les cœurs et les esprits de ceux qui sont admis dans l’alliance éternelle.</w:t>
      </w:r>
    </w:p>
    <w:p>
      <w:pPr>
        <w:pStyle w:val="ArticleBody"/>
        <w:jc w:val="left"/>
      </w:pPr>
      <w:r>
        <w:rPr>
          <w:rFonts w:ascii="Times New Roman" w:hAnsi="Times New Roman" w:eastAsia="Times New Roman" w:cs="Times New Roman"/>
        </w:rPr>
        <w:t>Le « mental » représente l’appartement du temple où réside la tête. Le mental est ce que l’on appelle la nature supérieure, par opposition à la chair, qui est la nature inférieure. Le mental est représenté par nos pensées ; la chair est représentée par nos sentiments.</w:t>
      </w:r>
    </w:p>
    <w:p>
      <w:pPr>
        <w:pStyle w:val="ArticleScripture"/>
        <w:jc w:val="left"/>
      </w:pPr>
      <w:r>
        <w:rPr>
          <w:rFonts w:ascii="Times New Roman" w:hAnsi="Times New Roman" w:eastAsia="Times New Roman" w:cs="Times New Roman"/>
        </w:rPr>
        <w:t>«Banyak orang mengalami kesengsaraan yang tidak perlu. Mereka mengalihkan pikiran mereka dari Yesus, dan terlalu memusatkannya pada diri sendiri. Mereka membesar-besarkan kesulitan-kesulitan kecil, dan membicarakan hal-hal yang mematahkan semangat. Mereka bersalah atas dosa besar berupa keluh-kesah yang tidak perlu terhadap penyelenggaraan Allah. Sebab untuk segala sesuatu yang kita miliki dan yang kita ada, kita berutang kepada Allah. Ia telah mengaruniakan kepada kita kuasa-kuasa yang, sampai pada batas tertentu, serupa dengan yang dimiliki-Nya sendiri; dan kita harus bekerja dengan sungguh-sungguh untuk mengembangkan kuasa-kuasa ini, bukan untuk menyenangkan dan meninggikan diri, melainkan untuk memuliakan Dia. »</w:t>
      </w:r>
    </w:p>
    <w:p>
      <w:pPr>
        <w:pStyle w:val="ArticleScripture"/>
        <w:jc w:val="left"/>
      </w:pPr>
      <w:r>
        <w:rPr>
          <w:rFonts w:ascii="Times New Roman" w:hAnsi="Times New Roman" w:eastAsia="Times New Roman" w:cs="Times New Roman"/>
        </w:rPr>
        <w:t>“Dolemus, ne mente nostra a fidelitate erga Deum avertatur. Per Christum beati esse possumus ac debemus, atque consuetudines continentiae comparare. Etiam cogitationes ipsae in subiectionem voluntati Dei redigendae sunt, et affectus sub moderatione rationis ac religionis continendi. Imaginatio nobis non data est ut effrenate vagari sinatur ac viam suam propriam teneat, nullo conatu coercitionis atque disciplinae adhibito. Si cogitationes pravae sunt, pravi erunt affectus; cogitationes autem et affectus coniuncti moralem indolem constituunt. Cum statuimus nos, ut Christiani, cogitationes et affectus nostros coercere non teneri, sub influxum angelorum malorum adducimur, atque eorum praesentiam et dominationem invitamus. Si impressionibus nostris cedimus et sinimus cogitationes nostras in alveum suspicionis, dubitationis, atque querelae decurrere, infelices erimus, et vita nostra defectum praestabit.” Review and Herald, April 21, 1885.</w:t>
      </w:r>
    </w:p>
    <w:p>
      <w:pPr>
        <w:pStyle w:val="ArticleBody"/>
        <w:jc w:val="left"/>
      </w:pPr>
      <w:r>
        <w:rPr>
          <w:rFonts w:ascii="Times New Roman" w:hAnsi="Times New Roman" w:eastAsia="Times New Roman" w:cs="Times New Roman"/>
        </w:rPr>
        <w:t>Bitekerezo n’ibyiyumvo bihurije hamwe bigize imico mboneragihugu. Imico yacu igizwe n’akaremangingo ko hasi n’akaremangingo ko hejuru; ubwenge ni bwo kamere ko hejuru, kandi niba ibitekerezo by’ubwenge byejejwe, ibyiyumvo byacu na byo bizahinduka byejejwe. Ibi ni ko bimeze kuko ubwenge ari bwo kamere ko hejuru gagenzura iyo miterere yombi igize ubumuntu bwacu. “Ubushobozi” bwagenewe kuba igice cy’imibereho yacu, “ku rugero runaka,” “busa n’ubwo” Kristo “afite,” kuko twaremanywe ishusho ye, kandi “dukwiye gukora tubigiranye umwete” kugira ngo duteze imbere ubwo “bushobozi.”</w:t>
      </w:r>
    </w:p>
    <w:p>
      <w:pPr>
        <w:pStyle w:val="ArticleBody"/>
        <w:jc w:val="left"/>
      </w:pPr>
      <w:r>
        <w:rPr>
          <w:rFonts w:ascii="Times New Roman" w:hAnsi="Times New Roman" w:eastAsia="Times New Roman" w:cs="Times New Roman"/>
        </w:rPr>
        <w:t>Les facultés qui appartiennent à la nature supérieure, ou à l’esprit de l’être humain, sont le jugement, la mémoire, la conscience et surtout la volonté.</w:t>
      </w:r>
    </w:p>
    <w:p>
      <w:pPr>
        <w:pStyle w:val="ArticleScripture"/>
        <w:jc w:val="left"/>
      </w:pPr>
      <w:r>
        <w:rPr>
          <w:rFonts w:ascii="Times New Roman" w:hAnsi="Times New Roman" w:eastAsia="Times New Roman" w:cs="Times New Roman"/>
        </w:rPr>
        <w:t>“Many are inquiring, ‘How am I to make the surrender of myself to God?’ “Koɔleŋle gaabu hĩi ko, ‘Mii bo yaa mi n yɛlaŋ m boi n-tɛɛ ŋma maŋ kõŋ Nɔɔn?’ A beeŋ n yɛlaŋ a maŋ kõŋ ŋma maŋ nɛ, ama a dɔɔr nɛ n-saŋaŋ wɔɔr la, a boi nɛ kɛkɛleŋ ni saale ni, la a nyɔɔr nɛ n-yɛlɛma nɛɛr n-saɣa nɛ. A nɔɔri la a yɛlɛma nɛ laa boi nɛ tɛrɛtiɛrɛ bɛŋ nɔ, nɛ yɛlɛ mɔɔr. A ka boi a yɛlɛŋ a suŋma, a nɔɔri nɛ, la a nɔɔri n-yɛlaŋ. A baŋaŋ a nɔɔri bɛɛr nɛ la a nɔɔri n-kpɛri bɔɔr nɛ yɛlɛ a nɔɔri nɛ wɔɔr a boi nɛ yɛlɛ a ŋma maŋ nɛ nɔɔri n-sɔŋaŋ, la a yɛlɛ a nɛ yɛlaŋ ko Nɔɔn ka boi a siakɛ; ama a ka bɔɔr nɛ a yɛlaŋ. A nɔɔri nɛ yɛlaŋ a baŋaŋ nɛ boi nɛ n-yɛlaŋ wɔɔr n-will nɛ saŋaŋ nɔɔr. Nɔɔr nɛ yɛlaŋ n-mii nɛ n-baŋaŋ wɔɔr nɛ boi nɛ a nɛɛr nɛ, n-yɛlaŋ n-decision, bee n-choice. Bɛɛr nɛ laa yɛlaŋ boi nɛ n-will nɛ yɛlɛma n-sɔŋaŋ. Nɔɔn nɛ yɛlaŋ n-choice nɛ maŋ nɛ nɔɔr nɛ; boi nɛ ba yɛlaŋ bɛɛr nɛ a sɛla. A ka boi a kpɛri a suŋma; a ka boi a maŋ a suŋma n-yɛlaŋ nɔɔri ko Nɔɔn nɛ a ŋma maŋ saŋaŋ nɔɔr; ama a boi a yɛlaŋ a sɛla ko a ga n-sɔŋ Nɔɔn. A boi a maŋ Nɔɔn a will nɛ; nɛɛr nɛ, ŋɔɔr yɛlaŋ nɛ ŋɔ wɔɔr a nɔɔr nɛ n-yɛlaŋ a ga n-sɔŋ la a ga n-yɛlaŋ bɛɛr nɛ ŋma ŋɔɔr nɛ nɔɔri n-sɔŋaŋ. Nɛɛr nɛ, a ŋma maŋ nɛ bɛɛr la yɛlaŋ nɛ boi nɛ n-kɛrɛ Kristo n-Spirit nɛ dɔɔr; a nɔɔri n-yɛlaŋ nɛ la yɛlaŋ nɛ boi nɛ n-tiɛrɛ ŋɔ, a suŋma la yɛlaŋ nɛ boi nɛ n-baŋaŋ ni ŋɔ.”</w:t>
      </w:r>
    </w:p>
    <w:p>
      <w:pPr>
        <w:pStyle w:val="ArticleScripture"/>
        <w:jc w:val="left"/>
      </w:pPr>
      <w:r>
        <w:rPr>
          <w:rFonts w:ascii="Times New Roman" w:hAnsi="Times New Roman" w:eastAsia="Times New Roman" w:cs="Times New Roman"/>
        </w:rPr>
        <w:t>“Les désirs de bonté et de sainteté sont justes dans la mesure où ils vont; mais si vous vous arrêtez là, ils ne serviront de rien. Beaucoup seront perdus tout en espérant et en désirant être chrétiens. Ils n’en viennent pas au point de soumettre leur volonté à Dieu. Ils ne choisissent pas maintenant d’être chrétiens.</w:t>
      </w:r>
    </w:p>
    <w:p>
      <w:pPr>
        <w:pStyle w:val="ArticleScripture"/>
        <w:jc w:val="left"/>
      </w:pPr>
      <w:r>
        <w:rPr>
          <w:rFonts w:ascii="Times New Roman" w:hAnsi="Times New Roman" w:eastAsia="Times New Roman" w:cs="Times New Roman"/>
        </w:rPr>
        <w:t>« Par l’exercice juste de la volonté, un changement complet peut s’opérer dans votre vie. En abandonnant votre volonté au Christ, vous vous unissez à la puissance qui est au-dessus de toute domination et de toute autorité. Vous recevrez d’en haut la force de vous maintenir fermes, et ainsi, par une soumission constante à Dieu, vous serez rendus capables de vivre la vie nouvelle, c’est-à-dire la vie de la foi. » Steps to Christ, 47, 48.</w:t>
      </w:r>
    </w:p>
    <w:p>
      <w:pPr>
        <w:pStyle w:val="ArticleBody"/>
        <w:jc w:val="left"/>
      </w:pPr>
      <w:r>
        <w:rPr>
          <w:rFonts w:ascii="Times New Roman" w:hAnsi="Times New Roman" w:eastAsia="Times New Roman" w:cs="Times New Roman"/>
        </w:rPr>
        <w:t>La puissance de la volonté est la « puissance dirigeante » dans la nature de l’homme, et ce pouvoir directeur est situé dans l’appartement du temple humain qui est allié « à la puissance qui est au-dessus de toutes principautés et de toutes puissances ». Le lieu où s’opère l’union de la Divinité avec l’humanité dans le temple humain est la citadelle de l’âme. Tout être humain possède une citadelle, et celle-ci est occupée soit par le Christ, soit par l’archi-ennemi du Christ.</w:t>
      </w:r>
    </w:p>
    <w:p>
      <w:pPr>
        <w:pStyle w:val="ArticleScripture"/>
        <w:jc w:val="left"/>
      </w:pPr>
      <w:r>
        <w:rPr>
          <w:rFonts w:ascii="Times New Roman" w:hAnsi="Times New Roman" w:eastAsia="Times New Roman" w:cs="Times New Roman"/>
        </w:rPr>
        <w:t>“Kristus își ia în stăpânire citadela sufletului, ființa omenească devine una cu El. Iar acela care este una cu Hristos, păstrându-și această unitate, întronându-L în inimă și ascultând de poruncile Sale, este în siguranță de cursele celui rău. Unit cu Hristos, el își însușește harurile lui Hristos și consacră Domnului tărie, eficiență și putere în câștigarea sufletelor pentru El. Prin cooperare cu Mântuitorul, el devine instrumentul prin care lucrează Dumnezeu. Atunci, când vine Satana și se străduiește să ia în stăpânire sufletul, găsește că Hristos l-a făcut mai puternic decât omul tare înarmat.” Review and Herald, 12 decembrie 1899.</w:t>
      </w:r>
    </w:p>
    <w:p>
      <w:pPr>
        <w:pStyle w:val="ArticleBody"/>
        <w:jc w:val="left"/>
      </w:pPr>
      <w:r>
        <w:rPr>
          <w:rFonts w:ascii="Nirmala UI" w:hAnsi="Nirmala UI" w:eastAsia="Nirmala UI" w:cs="Nirmala UI"/>
        </w:rPr>
        <w:t>ब्याहुत</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करेवाला</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करावेला।</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जइसे</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हव्वा</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बनावल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होखेला</w:t>
      </w:r>
      <w:r>
        <w:rPr>
          <w:rFonts w:ascii="Times New Roman" w:hAnsi="Times New Roman" w:eastAsia="Times New Roman" w:cs="Times New Roman"/>
        </w:rPr>
        <w:t xml:space="preserve"> </w:t>
      </w:r>
      <w:r>
        <w:rPr>
          <w:rFonts w:ascii="Nirmala UI" w:hAnsi="Nirmala UI" w:eastAsia="Nirmala UI" w:cs="Nirmala UI"/>
        </w:rPr>
        <w:t>जइसे</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भइलें।</w:t>
      </w:r>
    </w:p>
    <w:p>
      <w:pPr>
        <w:pStyle w:val="ArticleBody"/>
        <w:jc w:val="left"/>
      </w:pP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এদেন</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ছিন্নভিন্ন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সহস্রাব্দ</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এদেন</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পুনঃস্থাপিত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ব্যাপী</w:t>
      </w:r>
      <w:r>
        <w:rPr>
          <w:rFonts w:ascii="Times New Roman" w:hAnsi="Times New Roman" w:eastAsia="Times New Roman" w:cs="Times New Roman"/>
        </w:rPr>
        <w:t xml:space="preserve"> </w:t>
      </w:r>
      <w:r>
        <w:rPr>
          <w:rFonts w:ascii="Nirmala UI" w:hAnsi="Nirmala UI" w:eastAsia="Nirmala UI" w:cs="Nirmala UI"/>
        </w:rPr>
        <w:t>ছিন্নভিন্ন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ছিন্নভিন্ন</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পুনঃস্থাপিত</w:t>
      </w:r>
      <w:r>
        <w:rPr>
          <w:rFonts w:ascii="Times New Roman" w:hAnsi="Times New Roman" w:eastAsia="Times New Roman" w:cs="Times New Roman"/>
        </w:rPr>
        <w:t xml:space="preserve"> </w:t>
      </w:r>
      <w:r>
        <w:rPr>
          <w:rFonts w:ascii="Nirmala UI" w:hAnsi="Nirmala UI" w:eastAsia="Nirmala UI" w:cs="Nirmala UI"/>
        </w:rPr>
        <w:t>এদেনের</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ধর্মধামের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বাহিনীর</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মানবপরিবারের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ক্রমবর্ধমান</w:t>
      </w:r>
      <w:r>
        <w:rPr>
          <w:rFonts w:ascii="Times New Roman" w:hAnsi="Times New Roman" w:eastAsia="Times New Roman" w:cs="Times New Roman"/>
        </w:rPr>
        <w:t xml:space="preserve"> </w:t>
      </w:r>
      <w:r>
        <w:rPr>
          <w:rFonts w:ascii="Nirmala UI" w:hAnsi="Nirmala UI" w:eastAsia="Nirmala UI" w:cs="Nirmala UI"/>
        </w:rPr>
        <w:t>তীব্রতার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আদমের</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Dhèt ge twòt promèss nan allians-la sé ki sé moun fidèl-la kay jwenn an nouvo kò épi an nouvo lèspwi, menm lèspwi Kris-la. Kò-a sé lachay, nati pli ba-a, é an relasyon épi Kris sé légliz-la i yé. Lèspwi-a sé nati pli ho-a; sé sa Sè White idantifyé kon “sitadèl nanm-lan.” Pòl ansennyé sa klèman: nou ka resevwa lèspwi Kris-la menm lè nou aksepté sa lévanjil-la mandé, lè nou jisitifyé. I ansennyé osi ki nou pa ka resevwa an nouvo kò ki gloriifyé jis lè Dézyenm Vini-a.</w:t>
      </w:r>
    </w:p>
    <w:p>
      <w:pPr>
        <w:pStyle w:val="ArticleScripture"/>
        <w:jc w:val="left"/>
      </w:pPr>
      <w:r>
        <w:rPr>
          <w:rFonts w:ascii="Times New Roman" w:hAnsi="Times New Roman" w:eastAsia="Times New Roman" w:cs="Times New Roman"/>
        </w:rPr>
        <w:t>Voici, je vous révèle un mystère : nous ne nous endormirons pas tous, mais nous serons tous changés, en un instant, en un clin d’œil, à la dernière trompette ; car la trompette sonnera, et les morts ressusciteront incorruptibles, et nous, nous serons changés. Car il faut que ce corps corruptible revête l’incorruptibilité, et que ce corps mortel revête l’immortalité. Et lorsque ce corps corruptible aura revêtu l’incorruptibilité, et que ce corps mortel aura revêtu l’immortalité, alors s’accomplira la parole qui est écrite : La mort a été engloutie dans la victoire. Ô mort, où est ton aiguillon ? Ô sépulcre, où est ta victoire ? L’aiguillon de la mort, c’est le péché ; et la puissance du péché, c’est la loi. 1 Corinthiens 15:51–56.</w:t>
      </w:r>
    </w:p>
    <w:p>
      <w:pPr>
        <w:pStyle w:val="ArticleBody"/>
        <w:jc w:val="left"/>
      </w:pPr>
      <w:r>
        <w:rPr>
          <w:rFonts w:ascii="Times New Roman" w:hAnsi="Times New Roman" w:eastAsia="Times New Roman" w:cs="Times New Roman"/>
        </w:rPr>
        <w:t>Une doctrine, dont Jean dit qu’elle identifie comme antichrist ceux qui croient à de tels enseignements fallacieux, soutient que le Christ n’a jamais assumé un corps soumis aux effets du péché qui, depuis le péché d’Adam, avaient commencé à affecter la famille humaine.</w:t>
      </w:r>
    </w:p>
    <w:p>
      <w:pPr>
        <w:pStyle w:val="ArticleScripture"/>
        <w:jc w:val="left"/>
      </w:pPr>
      <w:r>
        <w:rPr>
          <w:rFonts w:ascii="Times New Roman" w:hAnsi="Times New Roman" w:eastAsia="Times New Roman" w:cs="Times New Roman"/>
        </w:rPr>
        <w:t>Et tout esprit qui ne confesse pas que Jésus-Christ est venu en chair n’est pas de Dieu ; et c’est là l’esprit de l’antichrist, dont vous avez appris qu’il vient, et qui maintenant déjà est dans le monde. 1 Jean 4:3.</w:t>
      </w:r>
    </w:p>
    <w:p>
      <w:pPr>
        <w:pStyle w:val="ArticleBody"/>
        <w:jc w:val="left"/>
      </w:pPr>
      <w:r>
        <w:rPr>
          <w:rFonts w:ascii="Times New Roman" w:hAnsi="Times New Roman" w:eastAsia="Times New Roman" w:cs="Times New Roman"/>
        </w:rPr>
        <w:t>Le vin de Babylone (antichrist) qui enseigne l’« Immaculée Conception » prétend que Marie fut rendue parfaite, comme Adam et Ève avant le péché, afin que la naissance de Jésus repose sur une conception de la divinité (le Saint-Esprit) avec une humanité parfaite (Marie). La fausse doctrine de l’Immaculée Conception ne traite pas du moment où Jésus fut conçu dans le sein de Marie, mais de la manière dont Marie fut conçue avec la perfection d’Adam et d’Ève. Suggérer que la chair que Christ a prise sur Lui lorsqu’Il est venu pour racheter l’homme était une chair sans péché, qui ne contenait pas les effets de l’hérédité, est un enseignement de l’antichrist.</w:t>
      </w:r>
    </w:p>
    <w:p>
      <w:pPr>
        <w:pStyle w:val="ArticleScripture"/>
        <w:jc w:val="left"/>
      </w:pPr>
      <w:r>
        <w:rPr>
          <w:rFonts w:ascii="Times New Roman" w:hAnsi="Times New Roman" w:eastAsia="Times New Roman" w:cs="Times New Roman"/>
        </w:rPr>
        <w:t>Car beaucoup de séducteurs sont entrés dans le monde, qui ne confessent point que Jésus-Christ est venu en chair. Celui-là est le séducteur et l’antichrist. 2 Jean 1:7.</w:t>
      </w:r>
    </w:p>
    <w:p>
      <w:pPr>
        <w:pStyle w:val="ArticleBody"/>
        <w:jc w:val="left"/>
      </w:pPr>
      <w:r>
        <w:rPr>
          <w:rFonts w:ascii="Times New Roman" w:hAnsi="Times New Roman" w:eastAsia="Times New Roman" w:cs="Times New Roman"/>
        </w:rPr>
        <w:t>Lorsque le Christ ressuscita, l’inspiration souligne avec soin qu’il avait alors un corps glorifié. Sa résurrection représentait la résurrection des justes lors de la Seconde Venue, et c’est alors que nous recevons la promesse de l’alliance d’un corps nouveau.</w:t>
      </w:r>
    </w:p>
    <w:p>
      <w:pPr>
        <w:pStyle w:val="ArticleScripture"/>
        <w:jc w:val="left"/>
      </w:pPr>
      <w:r>
        <w:rPr>
          <w:rFonts w:ascii="Times New Roman" w:hAnsi="Times New Roman" w:eastAsia="Times New Roman" w:cs="Times New Roman"/>
        </w:rPr>
        <w:t>“No nga tiempo alang kang Cristo sa pagsaka ngadto sa trono sa Iyang Amahan. Ingon nga usa ka balaang Mananaug, hapit na Siya mobalik uban sa mga inagaw sa kadaugan ngadto sa langitnong mga sawang. Sa wala pa ang Iyang kamatayon Siya nagpahayag sa Iyang Amahan, ‘Natuman Ko na ang buhat nga Imong gihatag Kanako aron pagabuhaton.’ Juan 17:4. Human sa Iyang pagkabanhaw Siya mipabilin sa yuta sulod sa usa ka panahon, aron ang Iyang mga tinun-an masinati Kaniya diha sa Iyang nabanhaw ug nahimayaong lawas. Karon andam na Siya alang sa panamilit. Iyang napamatud-an ang kamatuoran nga Siya usa ka buhing Manluluwas. Ang Iyang mga tinun-an dili na kinahanglan magdugtong sa hunahuna mahitungod Kaniya uban sa lubnganan. Mahimo na silang maghunahuna mahitungod Kaniya ingon nga nahimaya na sa atubangan sa langitnong uniberso.” The Desire of Ages, 829.</w:t>
      </w:r>
    </w:p>
    <w:p>
      <w:pPr>
        <w:pStyle w:val="ArticleBody"/>
        <w:jc w:val="left"/>
      </w:pPr>
      <w:r>
        <w:rPr>
          <w:rFonts w:ascii="Times New Roman" w:hAnsi="Times New Roman" w:eastAsia="Times New Roman" w:cs="Times New Roman"/>
        </w:rPr>
        <w:t>Balaybet paa na karbengan, iti maysa a daga a pagnaedan, ket matungpal iti baro a daga, inton maisubli ti Eden ken malpasen ti “pito a panawen” (pito a ribo a tawen), a pannakaisina ti kinatao ti umuna nga Adan. Ti karbengan a tulag maipapan iti maysa a baro ken napadayag a bagi ket maited iti Maikadua a Yaay, iti apagpannurayaw ti mata.</w:t>
      </w:r>
    </w:p>
    <w:p>
      <w:pPr>
        <w:pStyle w:val="ArticleScripture"/>
        <w:jc w:val="left"/>
      </w:pPr>
      <w:r>
        <w:rPr>
          <w:rFonts w:ascii="Times New Roman" w:hAnsi="Times New Roman" w:eastAsia="Times New Roman" w:cs="Times New Roman"/>
        </w:rPr>
        <w:t>“Het verhaal van Bethlehem is een onuitputtelijk thema. Daarin ligt ‘de diepte des rijkdoms, beide der wijsheid en der kennis Gods’ verborgen. Romeinen 11:33. Wij verwonderen ons over het offer van de Heiland, dat Hij de troon des hemels verwisselde voor de kribbe, en de gemeenschap van aanbiddende engelen voor de dieren van de stal. Menselijke trots en zelfgenoegzaamheid staan in Zijn tegenwoordigheid bestraft. Toch was dit slechts het begin van Zijn wonderbare vernedering. Het zou voor de Zoon van God een bijna oneindige vernedering zijn geweest de menselijke natuur aan te nemen, zelfs toen Adam nog in zijn onschuld in Eden stond. Maar Jezus aanvaardde de mensheid toen het geslacht verzwakt was door vierduizend jaren van zonde. Zoals elk kind van Adam aanvaardde Hij de gevolgen van de werking van de grote wet der erfelijkheid. Wat deze gevolgen waren, wordt getoond in de geschiedenis van Zijn aardse voorouders. Met zulk een erfelijkheid kwam Hij om onze smarten en verzoekingen te delen, en ons het voorbeeld te geven van een zondeloos leven.” The Desire of Ages, 48.</w:t>
      </w:r>
    </w:p>
    <w:p>
      <w:pPr>
        <w:pStyle w:val="ArticleBody"/>
        <w:jc w:val="left"/>
      </w:pPr>
      <w:r>
        <w:rPr>
          <w:rFonts w:ascii="Times New Roman" w:hAnsi="Times New Roman" w:eastAsia="Times New Roman" w:cs="Times New Roman"/>
        </w:rPr>
        <w:t>Nanga mwâna-mobali akokisi masɛngami ya Nsango Malamu, na ntango wana mpe wana azwaka makanisi ya sika, kutu makanisi ya Klisto; kasi nzoto, to lokola Paulo mpe abengaka yango mosuni, ebongwanaka na Boyei bwa Mibale. Bozalisi ya nse, oyo esalemi na mayoki, elongolamaka te na ntango ya kobongwana. Mayoki wana, oyo ezali eteni moko ya ezaleli ya bizaleli, etikalaka kino na Boyei bwa Mibale. Mayoki wana ezali komonisa ebongiseli ya mayoki ya motema, oyo ezali na boyokani na ebongiseli ya ba-ormone. Ezali komonisa mpe ba-sens oyo ezali na boyokani na ebongiseli ya misisa ya nzoto. Biloko nyonso ya bozalisi ya nse ya moto oyo etalelamaka lokola mayoki ekabolami na biteni mibale ya moboko. Lolenge moko ya mayoki ezali bamposa to makambo oyo tozwaki lokola libula epai ya bankoko na biso, mpe lolenge mosusu ya mayoki ezali bamposa oyo tokolisi na nzela ya maponi na biso moko.</w:t>
      </w:r>
    </w:p>
    <w:p>
      <w:pPr>
        <w:pStyle w:val="ArticleBody"/>
        <w:jc w:val="left"/>
      </w:pPr>
      <w:r>
        <w:rPr>
          <w:rFonts w:ascii="Times New Roman" w:hAnsi="Times New Roman" w:eastAsia="Times New Roman" w:cs="Times New Roman"/>
        </w:rPr>
        <w:t>عده‌اى از گرایش‌هاى موروثى صرفاً بخشى از ساختار انسانى‌اند، و برخى از انواع گرایش‌هاى موروثى به سوى شرّ هستند. انواع پرورش‌یافتهٔ احساسات، همان‌هایى هستند که ما به‌واسطهٔ انتخاب‌هاى خود برقرار مى‌سازیم، و گرایش‌هاى موروثى از طریق «قانون عظیم وراثت» انتقال مى‌یابند.</w:t>
      </w:r>
    </w:p>
    <w:p>
      <w:pPr>
        <w:pStyle w:val="ArticleBody"/>
        <w:jc w:val="left"/>
      </w:pPr>
      <w:r>
        <w:rPr>
          <w:rFonts w:ascii="Times New Roman" w:hAnsi="Times New Roman" w:eastAsia="Times New Roman" w:cs="Times New Roman"/>
        </w:rPr>
        <w:t>Yesu “alipokea ubinadamu wakati ambapo jamii ya wanadamu ilikuwa imedhoofishwa na miaka elfu nne ya dhambi. Kama kila mtoto wa Adamu, alikubali matokeo ya utendaji wa sheria kuu ya urithi. Matokeo hayo yalikuwa yapi huonyeshwa katika historia ya mababu zake wa duniani. Alikuja akiwa na urithi wa namna hiyo ili ashiriki huzuni zetu na majaribu yetu, na atupatie mfano wa maisha yasiyo na dhambi.” Akiwa na matokeo ya miaka elfu nne ya utendaji wa sheria kuu ya urithi, Yesu daima aliweka mielekeo hiyo chini ya utiifu kwa kutumia mapenzi yake, wala hakuwahi hata mara moja kushiriki katika kukuza hisia zozote za dhambi.</w:t>
      </w:r>
    </w:p>
    <w:p>
      <w:pPr>
        <w:pStyle w:val="ArticleBody"/>
        <w:jc w:val="left"/>
      </w:pPr>
      <w:r>
        <w:rPr>
          <w:rFonts w:ascii="Nirmala UI" w:hAnsi="Nirmala UI" w:eastAsia="Nirmala UI" w:cs="Nirmala UI"/>
        </w:rPr>
        <w:t>நான்காயிரம்</w:t>
      </w:r>
      <w:r>
        <w:rPr>
          <w:rFonts w:ascii="Times New Roman" w:hAnsi="Times New Roman" w:eastAsia="Times New Roman" w:cs="Times New Roman"/>
        </w:rPr>
        <w:t xml:space="preserve"> </w:t>
      </w:r>
      <w:r>
        <w:rPr>
          <w:rFonts w:ascii="Nirmala UI" w:hAnsi="Nirmala UI" w:eastAsia="Nirmala UI" w:cs="Nirmala UI"/>
        </w:rPr>
        <w:t>ஆண்டுகாலச்</w:t>
      </w:r>
      <w:r>
        <w:rPr>
          <w:rFonts w:ascii="Times New Roman" w:hAnsi="Times New Roman" w:eastAsia="Times New Roman" w:cs="Times New Roman"/>
        </w:rPr>
        <w:t xml:space="preserve"> </w:t>
      </w:r>
      <w:r>
        <w:rPr>
          <w:rFonts w:ascii="Nirmala UI" w:hAnsi="Nirmala UI" w:eastAsia="Nirmala UI" w:cs="Nirmala UI"/>
        </w:rPr>
        <w:t>சீரழிவினால்</w:t>
      </w:r>
      <w:r>
        <w:rPr>
          <w:rFonts w:ascii="Times New Roman" w:hAnsi="Times New Roman" w:eastAsia="Times New Roman" w:cs="Times New Roman"/>
        </w:rPr>
        <w:t xml:space="preserve"> </w:t>
      </w:r>
      <w:r>
        <w:rPr>
          <w:rFonts w:ascii="Nirmala UI" w:hAnsi="Nirmala UI" w:eastAsia="Nirmala UI" w:cs="Nirmala UI"/>
        </w:rPr>
        <w:t>மனிதகுலத்தில்</w:t>
      </w:r>
      <w:r>
        <w:rPr>
          <w:rFonts w:ascii="Times New Roman" w:hAnsi="Times New Roman" w:eastAsia="Times New Roman" w:cs="Times New Roman"/>
        </w:rPr>
        <w:t xml:space="preserve"> </w:t>
      </w:r>
      <w:r>
        <w:rPr>
          <w:rFonts w:ascii="Nirmala UI" w:hAnsi="Nirmala UI" w:eastAsia="Nirmala UI" w:cs="Nirmala UI"/>
        </w:rPr>
        <w:t>உண்டான</w:t>
      </w:r>
      <w:r>
        <w:rPr>
          <w:rFonts w:ascii="Times New Roman" w:hAnsi="Times New Roman" w:eastAsia="Times New Roman" w:cs="Times New Roman"/>
        </w:rPr>
        <w:t xml:space="preserve"> </w:t>
      </w:r>
      <w:r>
        <w:rPr>
          <w:rFonts w:ascii="Nirmala UI" w:hAnsi="Nirmala UI" w:eastAsia="Nirmala UI" w:cs="Nirmala UI"/>
        </w:rPr>
        <w:t>பலவீனத்தின்</w:t>
      </w:r>
      <w:r>
        <w:rPr>
          <w:rFonts w:ascii="Times New Roman" w:hAnsi="Times New Roman" w:eastAsia="Times New Roman" w:cs="Times New Roman"/>
        </w:rPr>
        <w:t xml:space="preserve"> </w:t>
      </w:r>
      <w:r>
        <w:rPr>
          <w:rFonts w:ascii="Nirmala UI" w:hAnsi="Nirmala UI" w:eastAsia="Nirmala UI" w:cs="Nirmala UI"/>
        </w:rPr>
        <w:t>விளைவுகளை</w:t>
      </w:r>
      <w:r>
        <w:rPr>
          <w:rFonts w:ascii="Times New Roman" w:hAnsi="Times New Roman" w:eastAsia="Times New Roman" w:cs="Times New Roman"/>
        </w:rPr>
        <w:t xml:space="preserve"> </w:t>
      </w:r>
      <w:r>
        <w:rPr>
          <w:rFonts w:ascii="Nirmala UI" w:hAnsi="Nirmala UI" w:eastAsia="Nirmala UI" w:cs="Nirmala UI"/>
        </w:rPr>
        <w:t>ஏற்றுக்கொள்ளாமல்</w:t>
      </w:r>
      <w:r>
        <w:rPr>
          <w:rFonts w:ascii="Times New Roman" w:hAnsi="Times New Roman" w:eastAsia="Times New Roman" w:cs="Times New Roman"/>
        </w:rPr>
        <w:t xml:space="preserve">, </w:t>
      </w:r>
      <w:r>
        <w:rPr>
          <w:rFonts w:ascii="Nirmala UI" w:hAnsi="Nirmala UI" w:eastAsia="Nirmala UI" w:cs="Nirmala UI"/>
        </w:rPr>
        <w:t>ஆதாமும்</w:t>
      </w:r>
      <w:r>
        <w:rPr>
          <w:rFonts w:ascii="Times New Roman" w:hAnsi="Times New Roman" w:eastAsia="Times New Roman" w:cs="Times New Roman"/>
        </w:rPr>
        <w:t xml:space="preserve"> </w:t>
      </w:r>
      <w:r>
        <w:rPr>
          <w:rFonts w:ascii="Nirmala UI" w:hAnsi="Nirmala UI" w:eastAsia="Nirmala UI" w:cs="Nirmala UI"/>
        </w:rPr>
        <w:t>ஏவாளும்</w:t>
      </w:r>
      <w:r>
        <w:rPr>
          <w:rFonts w:ascii="Times New Roman" w:hAnsi="Times New Roman" w:eastAsia="Times New Roman" w:cs="Times New Roman"/>
        </w:rPr>
        <w:t xml:space="preserve"> </w:t>
      </w:r>
      <w:r>
        <w:rPr>
          <w:rFonts w:ascii="Nirmala UI" w:hAnsi="Nirmala UI" w:eastAsia="Nirmala UI" w:cs="Nirmala UI"/>
        </w:rPr>
        <w:t>பாவம்</w:t>
      </w:r>
      <w:r>
        <w:rPr>
          <w:rFonts w:ascii="Times New Roman" w:hAnsi="Times New Roman" w:eastAsia="Times New Roman" w:cs="Times New Roman"/>
        </w:rPr>
        <w:t xml:space="preserve"> </w:t>
      </w:r>
      <w:r>
        <w:rPr>
          <w:rFonts w:ascii="Nirmala UI" w:hAnsi="Nirmala UI" w:eastAsia="Nirmala UI" w:cs="Nirmala UI"/>
        </w:rPr>
        <w:t>செய்யுமுன்</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நிலையைப்</w:t>
      </w:r>
      <w:r>
        <w:rPr>
          <w:rFonts w:ascii="Times New Roman" w:hAnsi="Times New Roman" w:eastAsia="Times New Roman" w:cs="Times New Roman"/>
        </w:rPr>
        <w:t xml:space="preserve"> </w:t>
      </w:r>
      <w:r>
        <w:rPr>
          <w:rFonts w:ascii="Nirmala UI" w:hAnsi="Nirmala UI" w:eastAsia="Nirmala UI" w:cs="Nirmala UI"/>
        </w:rPr>
        <w:t>பிரதிநிதித்துவப்படுத்தும்</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உடலை</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ஏற்றிருந்தாரானால்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பிள்ளையும்</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ஜெயங்கொள்ள</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என்பதற்கான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முன்மாதிரியை</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அளித்திருக்கமாட்டார்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«Բազմերը այս հակամարտությանը՝ Քրիստոսի և Սատանայի միջև, նայում են այնպես, կարծես այն իրենց անձնական կյանքի վրա որևէ առանձնահատուկ առնչություն չունենա, և նրանց համար այն քիչ հետաքրքրություն է ներկայացնում։ Բայց յուրաքանչյուր մարդկային սրտի ոլորտում այս վեճը կրկնվում է։ Ոչ ոք երբեք չարի շարքերը չի լքում՝ Աստծուն ծառայելու համար, առանց Սատանայի հարձակումներին հանդիպելու։ Այն գայթակղությունները, որոնց Քրիստոս դիմադրեց, նույնն էին, որոնց մենք այդքան դժվարությամբ ենք դիմակայում։ Դրանք Նրա վրա բերվեցին այնքան առավել մեծ աստիճանով, որքան Նրա բնավորությունը գերազանցում է մերը։ Աշխարհի մեղքերի ահավոր ծանրությունը Իր վրա կրելով՝ Քրիստոս հաղթահարեց փորձությունը ախորժակի, աշխարհի սիրո և այն ցուցամոլության հանդեպ սիրո մեջ, որը մարդուն տանում է հանդգնության։ Սրանք էին այն գայթակղությունները, որոնք հաղթահարեցին Ադամին ու Եվային, և որոնք այնքան դյուրությամբ հաղթահարում են նաև մեզ»։</w:t>
      </w:r>
    </w:p>
    <w:p>
      <w:pPr>
        <w:pStyle w:val="ArticleScripture"/>
        <w:jc w:val="left"/>
      </w:pPr>
      <w:r>
        <w:rPr>
          <w:rFonts w:ascii="Times New Roman" w:hAnsi="Times New Roman" w:eastAsia="Times New Roman" w:cs="Times New Roman"/>
        </w:rPr>
        <w:t>“سىتان ئادامنىڭ گۇناھىنى خۇدانىڭ قانۇنى ئادالەتسىز ئىكەنلىكىنىڭ ۋە ئۇنىڭغا ئىتائەت قىلىش مۇمكىن ئەمەسلىكىنىڭ دەلىلى سۈپитидә كۆرسەتكەن ئىدى. ئىنسانلىقىمىزدا مەسىھ ئادامنىڭ مەغلۇبىيىتىنى قۇتقۇزۇشى كېرەك ئىدى. بىراق ئادام سىناقتىكى ئازدۇرغۇچىنىڭ ھۇجۇمىغا ئۇچرىغاندا، گۇناھنىڭ ھېچقانداق ئاقىۋىتى ئۇنىڭ ئۈستىدە يوق ئىدى. ئۇ كامىل ئىنسانلىقنىڭ كۈچىدە تۇرۇپ، ئەقلى ۋە بەدىنىنىڭ تولۇق قۇۋۋىتىگە ئىگە ئىدى. ئۇ ئەدەننىڭ شان-شەرىپى بىلەن ئورالغان بولۇپ، ھەر كۈنى ئاسمانىي مەۋجۇداتلار بىلەن مۇناسىۋەتتە ئىدى. ئەمما ئەيسا سىتان بىلەن ئېلىشىش ئۈچۈن چۆلگە كىرگەندە، ئەھۋال بۇنداق ئەمەس ئىدى. تۆت مىڭ يىل داۋامىدا ئىنسان نەسلى جىسمانىي كۈچتە، زېھنىي قۇدرەتتە ۋە ئەخلاقىي قىممەتتە تۆۋەنلەپ كېلىۋاتقان ئىدى؛ ۋە مەسىھ ئۆز ئۈستىگە بۇزۇلغان ئىنسانىيەتنىڭ ئاجىزلىقلىرىنى ئالدى. پەقەت شۇنداق قىلغاندىلا ئۇ ئىنساننى ئۇنىڭ خارابىلىشىنىڭ ئەڭ تۆۋەن چوڭقۇرلۇقىدىن قۇتقۇزالايتتى.</w:t>
      </w:r>
    </w:p>
    <w:p>
      <w:pPr>
        <w:pStyle w:val="ArticleScripture"/>
        <w:jc w:val="left"/>
      </w:pPr>
      <w:r>
        <w:rPr>
          <w:rFonts w:ascii="Times New Roman" w:hAnsi="Times New Roman" w:eastAsia="Times New Roman" w:cs="Times New Roman"/>
        </w:rPr>
        <w:t>“Wengamannya wengi vakati zvainge zvisingagoneki kuti Kristu akundwe nomuedzo. Ipapo angadai asina kuiswa pachinzvimbo chaAdamu; angadai asina kuwana kukunda uko Adamu akatadza kuwana. Kana isu, nenzira ipi zvayo, tine kurwisana kunorema kupfuura kwaiva naKristu, ipapo Iye haangagoni kutibatsira. Asi Muponesi wedu akatora hunhu hwomunhu, pamwe chete nezvose zvinouya nahwo. Akatora chimiro chomunhu, pamwe chete nokukwanisa kukundwa nomuedzo. Hatina chinhu chokutsungirira chaasina kutsungirira.”</w:t>
      </w:r>
    </w:p>
    <w:p>
      <w:pPr>
        <w:pStyle w:val="ArticleScripture"/>
        <w:jc w:val="left"/>
      </w:pPr>
      <w:r>
        <w:rPr>
          <w:rFonts w:ascii="Times New Roman" w:hAnsi="Times New Roman" w:eastAsia="Times New Roman" w:cs="Times New Roman"/>
        </w:rPr>
        <w:t>«Тавре ки бо он ҷуфти муқаддас дар Адан буд, барои Масеҳ низ иштиҳо заминаи он аввалин васвасаи бузург гардид. Ҳамон ҷо ки харобӣ оғоз ёфт, кори наҷоти мо низ бояд аз ҳамон ҷо оғоз гардад. Чунон ки Одам бо қонеъ сохтани иштиҳо суқут кард, ҳамон тавр Масеҳ бояд бо рад кардани иштиҳо ғолиб ояд. “Ва чун Ӯ чиҳил рӯз ва чиҳил шаб рӯза дошт, баъд аз он гурусна шуд. Ва ҳангоме ки васвасакунанда назди Ӯ омад, гуфт: Агар Ту Писари Худо бошӣ, амр фармо, то ин сангҳо нон гарданд. Аммо Ӯ ҷавоб дода гуфт: Навишта шудааст: Инсон на фақат бо нон зиндагӣ мекунад, балки бо ҳар каломе ки аз даҳони Худо содир мешавад.”»</w:t>
      </w:r>
    </w:p>
    <w:p>
      <w:pPr>
        <w:pStyle w:val="ArticleScripture"/>
        <w:jc w:val="left"/>
      </w:pPr>
      <w:r>
        <w:rPr>
          <w:rFonts w:ascii="Times New Roman" w:hAnsi="Times New Roman" w:eastAsia="Times New Roman" w:cs="Times New Roman"/>
        </w:rPr>
        <w:t>“</w:t>
      </w:r>
      <w:r>
        <w:rPr>
          <w:rFonts w:ascii="Ebrima" w:hAnsi="Ebrima" w:eastAsia="Ebrima" w:cs="Ebrima"/>
        </w:rPr>
        <w:t>ከአዳም</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ራስን</w:t>
      </w:r>
      <w:r>
        <w:rPr>
          <w:rFonts w:ascii="Times New Roman" w:hAnsi="Times New Roman" w:eastAsia="Times New Roman" w:cs="Times New Roman"/>
        </w:rPr>
        <w:t xml:space="preserve"> </w:t>
      </w:r>
      <w:r>
        <w:rPr>
          <w:rFonts w:ascii="Ebrima" w:hAnsi="Ebrima" w:eastAsia="Ebrima" w:cs="Ebrima"/>
        </w:rPr>
        <w:t>ማስደሰት</w:t>
      </w:r>
      <w:r>
        <w:rPr>
          <w:rFonts w:ascii="Times New Roman" w:hAnsi="Times New Roman" w:eastAsia="Times New Roman" w:cs="Times New Roman"/>
        </w:rPr>
        <w:t xml:space="preserve"> </w:t>
      </w:r>
      <w:r>
        <w:rPr>
          <w:rFonts w:ascii="Ebrima" w:hAnsi="Ebrima" w:eastAsia="Ebrima" w:cs="Ebrima"/>
        </w:rPr>
        <w:t>የምኞቶችንና</w:t>
      </w:r>
      <w:r>
        <w:rPr>
          <w:rFonts w:ascii="Times New Roman" w:hAnsi="Times New Roman" w:eastAsia="Times New Roman" w:cs="Times New Roman"/>
        </w:rPr>
        <w:t xml:space="preserve"> </w:t>
      </w:r>
      <w:r>
        <w:rPr>
          <w:rFonts w:ascii="Ebrima" w:hAnsi="Ebrima" w:eastAsia="Ebrima" w:cs="Ebrima"/>
        </w:rPr>
        <w:t>የፍትወቶችን</w:t>
      </w:r>
      <w:r>
        <w:rPr>
          <w:rFonts w:ascii="Times New Roman" w:hAnsi="Times New Roman" w:eastAsia="Times New Roman" w:cs="Times New Roman"/>
        </w:rPr>
        <w:t xml:space="preserve"> </w:t>
      </w:r>
      <w:r>
        <w:rPr>
          <w:rFonts w:ascii="Ebrima" w:hAnsi="Ebrima" w:eastAsia="Ebrima" w:cs="Ebrima"/>
        </w:rPr>
        <w:t>ኀይል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አበረታ፥</w:t>
      </w:r>
      <w:r>
        <w:rPr>
          <w:rFonts w:ascii="Times New Roman" w:hAnsi="Times New Roman" w:eastAsia="Times New Roman" w:cs="Times New Roman"/>
        </w:rPr>
        <w:t xml:space="preserve"> </w:t>
      </w:r>
      <w:r>
        <w:rPr>
          <w:rFonts w:ascii="Ebrima" w:hAnsi="Ebrima" w:eastAsia="Ebrima" w:cs="Ebrima"/>
        </w:rPr>
        <w:t>እስኪሆንም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ይቻላል</w:t>
      </w:r>
      <w:r>
        <w:rPr>
          <w:rFonts w:ascii="Times New Roman" w:hAnsi="Times New Roman" w:eastAsia="Times New Roman" w:cs="Times New Roman"/>
        </w:rPr>
        <w:t xml:space="preserve"> </w:t>
      </w:r>
      <w:r>
        <w:rPr>
          <w:rFonts w:ascii="Ebrima" w:hAnsi="Ebrima" w:eastAsia="Ebrima" w:cs="Ebrima"/>
        </w:rPr>
        <w:t>ያልተገደበ</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አገኙ።</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ተዋረዱ</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በበሽታ</w:t>
      </w:r>
      <w:r>
        <w:rPr>
          <w:rFonts w:ascii="Times New Roman" w:hAnsi="Times New Roman" w:eastAsia="Times New Roman" w:cs="Times New Roman"/>
        </w:rPr>
        <w:t xml:space="preserve"> </w:t>
      </w:r>
      <w:r>
        <w:rPr>
          <w:rFonts w:ascii="Ebrima" w:hAnsi="Ebrima" w:eastAsia="Ebrima" w:cs="Ebrima"/>
        </w:rPr>
        <w:t>ተመቱ፤</w:t>
      </w:r>
      <w:r>
        <w:rPr>
          <w:rFonts w:ascii="Times New Roman" w:hAnsi="Times New Roman" w:eastAsia="Times New Roman" w:cs="Times New Roman"/>
        </w:rPr>
        <w:t xml:space="preserve"> </w:t>
      </w:r>
      <w:r>
        <w:rPr>
          <w:rFonts w:ascii="Ebrima" w:hAnsi="Ebrima" w:eastAsia="Ebrima" w:cs="Ebrima"/>
        </w:rPr>
        <w:t>ከራሳቸውም</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ለማሸነፍ</w:t>
      </w:r>
      <w:r>
        <w:rPr>
          <w:rFonts w:ascii="Times New Roman" w:hAnsi="Times New Roman" w:eastAsia="Times New Roman" w:cs="Times New Roman"/>
        </w:rPr>
        <w:t xml:space="preserve"> </w:t>
      </w:r>
      <w:r>
        <w:rPr>
          <w:rFonts w:ascii="Ebrima" w:hAnsi="Ebrima" w:eastAsia="Ebrima" w:cs="Ebrima"/>
        </w:rPr>
        <w:t>አይቻላቸውም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ከባዱን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በመቋቋም</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ከረሃብ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የሚበልጥ</w:t>
      </w:r>
      <w:r>
        <w:rPr>
          <w:rFonts w:ascii="Times New Roman" w:hAnsi="Times New Roman" w:eastAsia="Times New Roman" w:cs="Times New Roman"/>
        </w:rPr>
        <w:t xml:space="preserve"> </w:t>
      </w:r>
      <w:r>
        <w:rPr>
          <w:rFonts w:ascii="Ebrima" w:hAnsi="Ebrima" w:eastAsia="Ebrima" w:cs="Ebrima"/>
        </w:rPr>
        <w:t>ራስን</w:t>
      </w:r>
      <w:r>
        <w:rPr>
          <w:rFonts w:ascii="Times New Roman" w:hAnsi="Times New Roman" w:eastAsia="Times New Roman" w:cs="Times New Roman"/>
        </w:rPr>
        <w:t xml:space="preserve"> </w:t>
      </w:r>
      <w:r>
        <w:rPr>
          <w:rFonts w:ascii="Ebrima" w:hAnsi="Ebrima" w:eastAsia="Ebrima" w:cs="Ebrima"/>
        </w:rPr>
        <w:t>መግዛትን</w:t>
      </w:r>
      <w:r>
        <w:rPr>
          <w:rFonts w:ascii="Times New Roman" w:hAnsi="Times New Roman" w:eastAsia="Times New Roman" w:cs="Times New Roman"/>
        </w:rPr>
        <w:t xml:space="preserve"> </w:t>
      </w:r>
      <w:r>
        <w:rPr>
          <w:rFonts w:ascii="Ebrima" w:hAnsi="Ebrima" w:eastAsia="Ebrima" w:cs="Ebrima"/>
        </w:rPr>
        <w:t>አሳየ።</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ከጨለማ</w:t>
      </w:r>
      <w:r>
        <w:rPr>
          <w:rFonts w:ascii="Times New Roman" w:hAnsi="Times New Roman" w:eastAsia="Times New Roman" w:cs="Times New Roman"/>
        </w:rPr>
        <w:t xml:space="preserve"> </w:t>
      </w:r>
      <w:r>
        <w:rPr>
          <w:rFonts w:ascii="Ebrima" w:hAnsi="Ebrima" w:eastAsia="Ebrima" w:cs="Ebrima"/>
        </w:rPr>
        <w:t>ኀይሎች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ባሉን</w:t>
      </w:r>
      <w:r>
        <w:rPr>
          <w:rFonts w:ascii="Times New Roman" w:hAnsi="Times New Roman" w:eastAsia="Times New Roman" w:cs="Times New Roman"/>
        </w:rPr>
        <w:t xml:space="preserve"> </w:t>
      </w:r>
      <w:r>
        <w:rPr>
          <w:rFonts w:ascii="Ebrima" w:hAnsi="Ebrima" w:eastAsia="Ebrima" w:cs="Ebrima"/>
        </w:rPr>
        <w:t>ግጭቶች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የሚገቡ</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ተካተው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Lima Puluh Satu</dc:title>
  <dc:subject>Le Symbolisme du Temple : dévoiler les mystères de la relation entre le divin et l’humain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