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كتاب دانيال - المئة والرابع والخمسون</w:t>
      </w:r>
    </w:p>
    <w:p>
      <w:pPr>
        <w:pStyle w:val="ArticleSubtitle"/>
        <w:jc w:val="left"/>
      </w:pPr>
      <w:r>
        <w:rPr>
          <w:rFonts w:ascii="Arial" w:hAnsi="Arial" w:eastAsia="Arial" w:cs="Arial"/>
        </w:rPr>
        <w:t>Intelligere l’ultima visione di Daniele: il significato di Belteshazzar e il disvelamento della profezia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Le ultime tre capitoli costituiscono l’ultima visione di Daniele. Il primo di questi capitoli, come pure l’ultimo dei tre, identifica l’esperienza di Daniele, mentre il capitolo centrale espone la storia profetica che riguarda l’ascesa finale e la caduta del re del settentrione contraffatto. Il primo capitolo è come l’ultimo, e il capitolo centrale rappresenta la ribellione del re del settentrione contraffatto. L’ultima visione di Daniele, la visione del fiume Hiddekel, reca la firma dell’Alfa e dell’Omega, che è la Verità. Nel cominciare a trattare l’ultima visione di Daniele, inizieremo dal versetto uno.</w:t>
      </w:r>
    </w:p>
    <w:p>
      <w:pPr>
        <w:pStyle w:val="ArticleScripture"/>
        <w:jc w:val="left"/>
      </w:pPr>
      <w:r>
        <w:rPr>
          <w:rFonts w:ascii="Times New Roman" w:hAnsi="Times New Roman" w:eastAsia="Times New Roman" w:cs="Times New Roman"/>
        </w:rPr>
        <w:t>Sa ikatulong tuig ni Ciro, hari sa Persia, may usa ka butang nga gipadayag kang Daniel, nga ginganlan ug Belteshazzar; ug ang maong butang tinuod, apan ang panahon nga gitagana hataas pa: ug nasabtan niya ang butang, ug may pagsabot siya sa panan-awon. Daniel 10:1.</w:t>
      </w:r>
    </w:p>
    <w:p>
      <w:pPr>
        <w:pStyle w:val="ArticleBody"/>
        <w:jc w:val="left"/>
      </w:pPr>
      <w:r>
        <w:rPr>
          <w:rFonts w:ascii="Times New Roman" w:hAnsi="Times New Roman" w:eastAsia="Times New Roman" w:cs="Times New Roman"/>
        </w:rPr>
        <w:t>Kuna kweli kadhaa zilizofungamana katika aya hii. Ya kwanza ni jina la Danieli la “Belteshaza”.</w:t>
      </w:r>
    </w:p>
    <w:p>
      <w:pPr>
        <w:pStyle w:val="ArticleScripture"/>
        <w:jc w:val="left"/>
      </w:pPr>
      <w:r>
        <w:rPr>
          <w:rFonts w:ascii="Times New Roman" w:hAnsi="Times New Roman" w:eastAsia="Times New Roman" w:cs="Times New Roman"/>
        </w:rPr>
        <w:t>Ni vua wa matowashi aliwapa majina: maana Danieli alimpa jina la Belteshaza; na Hanania alimpa la Shadraki; na Mishaeli alimpa la Meshaki; na Azaria alimpa la Abednego. Danieli 1:7.</w:t>
      </w:r>
    </w:p>
    <w:p>
      <w:pPr>
        <w:pStyle w:val="ArticleBody"/>
        <w:jc w:val="left"/>
      </w:pPr>
      <w:r>
        <w:rPr>
          <w:rFonts w:ascii="Microsoft YaHei" w:hAnsi="Microsoft YaHei" w:eastAsia="Microsoft YaHei" w:cs="Microsoft YaHei"/>
        </w:rPr>
        <w:t>在第一章中</w:t>
      </w:r>
      <w:r>
        <w:rPr>
          <w:rFonts w:ascii="Times New Roman" w:hAnsi="Times New Roman" w:eastAsia="Times New Roman" w:cs="Times New Roman"/>
        </w:rPr>
        <w:t>,</w:t>
      </w:r>
      <w:r>
        <w:rPr>
          <w:rFonts w:ascii="Microsoft YaHei" w:hAnsi="Microsoft YaHei" w:eastAsia="Microsoft YaHei" w:cs="Microsoft YaHei"/>
        </w:rPr>
        <w:t>但以理被賜名為「伯提沙撒」</w:t>
      </w:r>
      <w:r>
        <w:rPr>
          <w:rFonts w:ascii="Times New Roman" w:hAnsi="Times New Roman" w:eastAsia="Times New Roman" w:cs="Times New Roman"/>
        </w:rPr>
        <w:t>;</w:t>
      </w:r>
      <w:r>
        <w:rPr>
          <w:rFonts w:ascii="Microsoft YaHei" w:hAnsi="Microsoft YaHei" w:eastAsia="Microsoft YaHei" w:cs="Microsoft YaHei"/>
        </w:rPr>
        <w:t>此後</w:t>
      </w:r>
      <w:r>
        <w:rPr>
          <w:rFonts w:ascii="Times New Roman" w:hAnsi="Times New Roman" w:eastAsia="Times New Roman" w:cs="Times New Roman"/>
        </w:rPr>
        <w:t>,</w:t>
      </w:r>
      <w:r>
        <w:rPr>
          <w:rFonts w:ascii="Microsoft YaHei" w:hAnsi="Microsoft YaHei" w:eastAsia="Microsoft YaHei" w:cs="Microsoft YaHei"/>
        </w:rPr>
        <w:t>直到他最後一個異象被引介時</w:t>
      </w:r>
      <w:r>
        <w:rPr>
          <w:rFonts w:ascii="Times New Roman" w:hAnsi="Times New Roman" w:eastAsia="Times New Roman" w:cs="Times New Roman"/>
        </w:rPr>
        <w:t>,</w:t>
      </w:r>
      <w:r>
        <w:rPr>
          <w:rFonts w:ascii="Microsoft YaHei" w:hAnsi="Microsoft YaHei" w:eastAsia="Microsoft YaHei" w:cs="Microsoft YaHei"/>
        </w:rPr>
        <w:t>才再次以「伯提沙撒」稱呼他</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在他最初與最後的見證中</w:t>
      </w:r>
      <w:r>
        <w:rPr>
          <w:rFonts w:ascii="Times New Roman" w:hAnsi="Times New Roman" w:eastAsia="Times New Roman" w:cs="Times New Roman"/>
        </w:rPr>
        <w:t>,</w:t>
      </w:r>
      <w:r>
        <w:rPr>
          <w:rFonts w:ascii="Microsoft YaHei" w:hAnsi="Microsoft YaHei" w:eastAsia="Microsoft YaHei" w:cs="Microsoft YaHei"/>
        </w:rPr>
        <w:t>他的名字都是伯提沙撒</w:t>
      </w:r>
      <w:r>
        <w:rPr>
          <w:rFonts w:ascii="Times New Roman" w:hAnsi="Times New Roman" w:eastAsia="Times New Roman" w:cs="Times New Roman"/>
        </w:rPr>
        <w:t>.</w:t>
      </w:r>
      <w:r>
        <w:rPr>
          <w:rFonts w:ascii="Microsoft YaHei" w:hAnsi="Microsoft YaHei" w:eastAsia="Microsoft YaHei" w:cs="Microsoft YaHei"/>
        </w:rPr>
        <w:t>預言中的改名</w:t>
      </w:r>
      <w:r>
        <w:rPr>
          <w:rFonts w:ascii="Times New Roman" w:hAnsi="Times New Roman" w:eastAsia="Times New Roman" w:cs="Times New Roman"/>
        </w:rPr>
        <w:t>,</w:t>
      </w:r>
      <w:r>
        <w:rPr>
          <w:rFonts w:ascii="Microsoft YaHei" w:hAnsi="Microsoft YaHei" w:eastAsia="Microsoft YaHei" w:cs="Microsoft YaHei"/>
        </w:rPr>
        <w:t>乃是上帝與祂子民立約關係之象徵</w:t>
      </w:r>
      <w:r>
        <w:rPr>
          <w:rFonts w:ascii="Times New Roman" w:hAnsi="Times New Roman" w:eastAsia="Times New Roman" w:cs="Times New Roman"/>
        </w:rPr>
        <w:t>.</w:t>
      </w:r>
      <w:r>
        <w:rPr>
          <w:rFonts w:ascii="Microsoft YaHei" w:hAnsi="Microsoft YaHei" w:eastAsia="Microsoft YaHei" w:cs="Microsoft YaHei"/>
        </w:rPr>
        <w:t>當主與亞伯蘭和撒萊立約時</w:t>
      </w:r>
      <w:r>
        <w:rPr>
          <w:rFonts w:ascii="Times New Roman" w:hAnsi="Times New Roman" w:eastAsia="Times New Roman" w:cs="Times New Roman"/>
        </w:rPr>
        <w:t>,</w:t>
      </w:r>
      <w:r>
        <w:rPr>
          <w:rFonts w:ascii="Microsoft YaHei" w:hAnsi="Microsoft YaHei" w:eastAsia="Microsoft YaHei" w:cs="Microsoft YaHei"/>
        </w:rPr>
        <w:t>祂將他們的名字改為亞伯拉罕和撒拉</w:t>
      </w:r>
      <w:r>
        <w:rPr>
          <w:rFonts w:ascii="Times New Roman" w:hAnsi="Times New Roman" w:eastAsia="Times New Roman" w:cs="Times New Roman"/>
        </w:rPr>
        <w:t>.</w:t>
      </w:r>
      <w:r>
        <w:rPr>
          <w:rFonts w:ascii="Microsoft YaHei" w:hAnsi="Microsoft YaHei" w:eastAsia="Microsoft YaHei" w:cs="Microsoft YaHei"/>
        </w:rPr>
        <w:t>祂又將雅各的名字改為以色列</w:t>
      </w:r>
      <w:r>
        <w:rPr>
          <w:rFonts w:ascii="Times New Roman" w:hAnsi="Times New Roman" w:eastAsia="Times New Roman" w:cs="Times New Roman"/>
        </w:rPr>
        <w:t>,</w:t>
      </w:r>
      <w:r>
        <w:rPr>
          <w:rFonts w:ascii="Microsoft YaHei" w:hAnsi="Microsoft YaHei" w:eastAsia="Microsoft YaHei" w:cs="Microsoft YaHei"/>
        </w:rPr>
        <w:t>並且祂應許要賜給祂末後之日的立約子民一個新名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Par amour pour Sion, je ne me tairai point, et à cause de Jérusalem, je ne prendrai point de repos, jusqu’à ce que sa justice paraisse comme la lumière, et son salut comme un flambeau qui brûle. Alors les nations verront ta justice, et tous les rois ta gloire; et l’on t’appellera d’un nom nouveau, que la bouche de l’Éternel déterminera. Ésaïe 61:1, 2.</w:t>
      </w:r>
    </w:p>
    <w:p>
      <w:pPr>
        <w:pStyle w:val="ArticleBody"/>
        <w:jc w:val="left"/>
      </w:pPr>
      <w:r>
        <w:rPr>
          <w:rFonts w:ascii="Times New Roman" w:hAnsi="Times New Roman" w:eastAsia="Times New Roman" w:cs="Times New Roman"/>
        </w:rPr>
        <w:t>Aux Philadelphiens, qui sont les cent quarante-quatre mille des derniers jours, Il fait aussi cette promesse.</w:t>
      </w:r>
    </w:p>
    <w:p>
      <w:pPr>
        <w:pStyle w:val="ArticleScripture"/>
        <w:jc w:val="left"/>
      </w:pPr>
      <w:r>
        <w:rPr>
          <w:rFonts w:ascii="Times New Roman" w:hAnsi="Times New Roman" w:eastAsia="Times New Roman" w:cs="Times New Roman"/>
        </w:rPr>
        <w:t>A celui qui vaincra, je ferai une colonne dans le temple de mon Dieu, et il n’en sortira plus; j’écrirai sur lui le nom de mon Dieu, et le nom de la cité de mon Dieu, la nouvelle Jérusalem, qui descend du ciel d’auprès de mon Dieu; et j’écrirai sur lui mon nom nouveau. Que celui qui a des oreilles entende ce que l’Esprit dit aux Églises. Apocalypse 3:12, 13.</w:t>
      </w:r>
    </w:p>
    <w:p>
      <w:pPr>
        <w:pStyle w:val="ArticleBody"/>
        <w:jc w:val="left"/>
      </w:pPr>
      <w:r>
        <w:rPr>
          <w:rFonts w:ascii="Times New Roman" w:hAnsi="Times New Roman" w:eastAsia="Times New Roman" w:cs="Times New Roman"/>
        </w:rPr>
        <w:t>Nabiyooyinku waxay sawirayaan dadka Ilaah ee maalmaha ugu dambeeya, oo ka duwan Ibraahim, Saarah, iyo Israa’iil, macnaha saxda ah ee Belteshaasar lama yaqaan. Magaca Ilaah siiyo dadkiisa maalmaha ugu dambeeya si uu u matalo xiriirka axdigiisa waa magac aan la aqoon ilaa wakhtiga uu isagu iyaga siiyo magacaas. Magaca Belteshaasar wuxuu Daniel ku tilmaamayaa sidii dadka axdiga Ilaah ee Filadelfiya maalmaha ugu dambeeya, laakiin magaca dhabta ahi waa qarsoon yahay ilaa shaabadaynta, waayo magaca waxaa lagu qoray fooddooda, taas oo ah isla meesha shaabadduna ku qoran tahay.</w:t>
      </w:r>
    </w:p>
    <w:p>
      <w:pPr>
        <w:pStyle w:val="ArticleScripture"/>
        <w:jc w:val="left"/>
      </w:pPr>
      <w:r>
        <w:rPr>
          <w:rFonts w:ascii="Times New Roman" w:hAnsi="Times New Roman" w:eastAsia="Times New Roman" w:cs="Times New Roman"/>
        </w:rPr>
        <w:t>Puis je regardai, et voici, l’Agneau se tenait sur la montagne de Sion, et avec lui cent quarante-quatre mille personnes, ayant le nom de son Père écrit sur leurs fronts. Apocalypse 14:1.</w:t>
      </w:r>
    </w:p>
    <w:p>
      <w:pPr>
        <w:pStyle w:val="ArticleBody"/>
        <w:jc w:val="left"/>
      </w:pPr>
      <w:r>
        <w:rPr>
          <w:rFonts w:ascii="Times New Roman" w:hAnsi="Times New Roman" w:eastAsia="Times New Roman" w:cs="Times New Roman"/>
        </w:rPr>
        <w:t>Daniel được gọi là Bên-tơ-sa-xa trong chương một và rồi trong chương mười, qua đó tự đồng hóa mình như một biểu tượng của phong trào thiên sứ thứ nhất, và phong trào thiên sứ thứ ba; vì chương một tượng trưng cho sứ điệp của thiên sứ thứ nhất, như đã được xác định chi tiết trước đây trong các bài viết trước. Bởi đó, chương mười tượng trưng cho phong trào của thiên sứ thứ ba, và dân giao ước trong những ngày sau rốt. Khi ấy, câu ấy xác định Bên-tơ-sa-xa như một biểu tượng của những người hiểu sự gia tăng tri thức đã được mở niêm trong phong trào cải cách bắt đầu vào năm 1989. Điều này được thể hiện qua sự nhấn mạnh vào điều mà Đa-ni-ên (Bên-tơ-sa-xa) đã biết.</w:t>
      </w:r>
    </w:p>
    <w:p>
      <w:pPr>
        <w:pStyle w:val="ArticleBody"/>
        <w:jc w:val="left"/>
      </w:pPr>
      <w:r>
        <w:rPr>
          <w:rFonts w:ascii="Nirmala UI" w:hAnsi="Nirmala UI" w:eastAsia="Nirmala UI" w:cs="Nirmala UI"/>
        </w:rPr>
        <w:t>দানিয়েলকে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জানেন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দীর্ঘ</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বুঝিয়াছিল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সম্বন্ধেও</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বুঝিয়াছিলেন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বুঝিয়াছিলেন।</w:t>
      </w:r>
      <w:r>
        <w:rPr>
          <w:rFonts w:ascii="Times New Roman" w:hAnsi="Times New Roman" w:eastAsia="Times New Roman" w:cs="Times New Roman"/>
        </w:rPr>
        <w:t xml:space="preserve"> </w:t>
      </w:r>
      <w:r>
        <w:rPr>
          <w:rFonts w:ascii="Nirmala UI" w:hAnsi="Nirmala UI" w:eastAsia="Nirmala UI" w:cs="Nirmala UI"/>
        </w:rPr>
        <w:t>উক্ত</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ইব্রীয়</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“dabar” </w:t>
      </w:r>
      <w:r>
        <w:rPr>
          <w:rFonts w:ascii="Nirmala UI" w:hAnsi="Nirmala UI" w:eastAsia="Nirmala UI" w:cs="Nirmala UI"/>
        </w:rPr>
        <w:t>অনূদিত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একদিকে</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দর্শনকে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অন্যদিকে</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খ্রীষ্টকেও</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প্রস্তর</w:t>
      </w:r>
      <w:r>
        <w:rPr>
          <w:rFonts w:ascii="Times New Roman" w:hAnsi="Times New Roman" w:eastAsia="Times New Roman" w:cs="Times New Roman"/>
        </w:rPr>
        <w:t xml:space="preserve">, </w:t>
      </w:r>
      <w:r>
        <w:rPr>
          <w:rFonts w:ascii="Nirmala UI" w:hAnsi="Nirmala UI" w:eastAsia="Nirmala UI" w:cs="Nirmala UI"/>
        </w:rPr>
        <w:t>যাহাকে</w:t>
      </w:r>
      <w:r>
        <w:rPr>
          <w:rFonts w:ascii="Times New Roman" w:hAnsi="Times New Roman" w:eastAsia="Times New Roman" w:cs="Times New Roman"/>
        </w:rPr>
        <w:t xml:space="preserve"> </w:t>
      </w:r>
      <w:r>
        <w:rPr>
          <w:rFonts w:ascii="Nirmala UI" w:hAnsi="Nirmala UI" w:eastAsia="Nirmala UI" w:cs="Nirmala UI"/>
        </w:rPr>
        <w:t>গাঁথুনিকারেরা</w:t>
      </w:r>
      <w:r>
        <w:rPr>
          <w:rFonts w:ascii="Times New Roman" w:hAnsi="Times New Roman" w:eastAsia="Times New Roman" w:cs="Times New Roman"/>
        </w:rPr>
        <w:t xml:space="preserve"> </w:t>
      </w:r>
      <w:r>
        <w:rPr>
          <w:rFonts w:ascii="Nirmala UI" w:hAnsi="Nirmala UI" w:eastAsia="Nirmala UI" w:cs="Nirmala UI"/>
        </w:rPr>
        <w:t>অগ্রাহ্য</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জনগোষ্ঠীর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প্রতীকতত্ত্বের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উপাদানই</w:t>
      </w:r>
      <w:r>
        <w:rPr>
          <w:rFonts w:ascii="Times New Roman" w:hAnsi="Times New Roman" w:eastAsia="Times New Roman" w:cs="Times New Roman"/>
        </w:rPr>
        <w:t xml:space="preserve"> </w:t>
      </w:r>
      <w:r>
        <w:rPr>
          <w:rFonts w:ascii="Nirmala UI" w:hAnsi="Nirmala UI" w:eastAsia="Nirmala UI" w:cs="Nirmala UI"/>
        </w:rPr>
        <w:t>বুঝে।</w:t>
      </w:r>
    </w:p>
    <w:p>
      <w:pPr>
        <w:pStyle w:val="ArticleBody"/>
        <w:jc w:val="left"/>
      </w:pPr>
      <w:r>
        <w:rPr>
          <w:rFonts w:ascii="Times New Roman" w:hAnsi="Times New Roman" w:eastAsia="Times New Roman" w:cs="Times New Roman"/>
        </w:rPr>
        <w:t>Dans Daniel, chapitre neuf, verset vingt-trois, nous trouvons l’un des versets les plus importants en rapport avec les prophéties de temps des deux mille trois cents ans et des deux mille cinq cent vingt ans, lesquelles sont représentées par la question de Daniel, chapitre huit, verset treize, et la réponse au verset quatorze. La question demande : « Jusqu’à quand durera la vision du “chazon”, identifiant le piétinement du sanctuaire et de l’armée, accompli d’abord par le paganisme, puis par la papauté ? » Ce piétinement a duré deux mille cinq cent vingt ans, en accomplissement des « sept temps » du Lévitique, chapitre vingt-six.</w:t>
      </w:r>
    </w:p>
    <w:p>
      <w:pPr>
        <w:pStyle w:val="ArticleBody"/>
        <w:jc w:val="left"/>
      </w:pPr>
      <w:r>
        <w:rPr>
          <w:rFonts w:ascii="Times New Roman" w:hAnsi="Times New Roman" w:eastAsia="Times New Roman" w:cs="Times New Roman"/>
        </w:rPr>
        <w:t>Réponsi a la question du verset treize fut: jusqu’à deux mille trois cents ans; puis le sanctuaire, qui a été foulé aux pieds, sera purifié; et la vision du « mareh » des deux mille trois cents ans unit les deux prophéties de temps, et, au verset vingt-trois de Daniel neuf, Gabriel conduit Daniel à comprendre le rapport entre les deux visions.</w:t>
      </w:r>
    </w:p>
    <w:p>
      <w:pPr>
        <w:pStyle w:val="ArticleScripture"/>
        <w:jc w:val="left"/>
      </w:pPr>
      <w:r>
        <w:rPr>
          <w:rFonts w:ascii="Times New Roman" w:hAnsi="Times New Roman" w:eastAsia="Times New Roman" w:cs="Times New Roman"/>
        </w:rPr>
        <w:t>Ná byrjanini av bønum tínum kom orðið út, og eg eri komin at kunngera tær tað; tí at tú ert nógv elskaður; skil tí orðið, og gev gætur at sjónini. Daniel 9:23.</w:t>
      </w:r>
    </w:p>
    <w:p>
      <w:pPr>
        <w:pStyle w:val="ArticleBody"/>
        <w:jc w:val="left"/>
      </w:pPr>
      <w:r>
        <w:rPr>
          <w:rFonts w:ascii="Times New Roman" w:hAnsi="Times New Roman" w:eastAsia="Times New Roman" w:cs="Times New Roman"/>
        </w:rPr>
        <w:t>Ny teny nadika eto ho “mahatakatra” sy “mandinika” ao amin’ilay andininy dia ny teny hebreo hoe “biyn”, ary midika hoe “manavaka ara-tsaina”. Ampahafantarin’i Gabriela an’i Daniela mba hanao fanavahana ara-tsaina eo amin’“ilay raharaha” sy “ny fahitana”. Ny “fahitana” ao amin’ilay andininy dia ny teny hebreo hoe “mareh”, ary izany no fahitan’ny telo arivo sy roanjato taona izay nifarana tamin’ny 22 Oktobra 1844. Ny teny hebreo nadika ho “raharaha” dia io ihany no teny nadika ho “zavatra” ao amin’ny andininy voalohany amin’ny toko fahafolo. Ny teny hebreo hoe “dabar” izany, ary izy no maneho ny fahitan’ny dimy arivo sy roanjato sy roapolo taona izay nifarana koa tamin’ny 22 Oktobra 1844.</w:t>
      </w:r>
    </w:p>
    <w:p>
      <w:pPr>
        <w:pStyle w:val="ArticleBody"/>
        <w:jc w:val="left"/>
      </w:pPr>
      <w:r>
        <w:rPr>
          <w:rFonts w:ascii="Times New Roman" w:hAnsi="Times New Roman" w:eastAsia="Times New Roman" w:cs="Times New Roman"/>
        </w:rPr>
        <w:t>No verso um do capítulo dez, o povo do concerto de Deus dos últimos dias é representado por Beltessazar, e eles compreenderam o aumento de conhecimento que chegou no tempo do fim em 1989, o qual lhes permitiu entender a ligação entre as duas visões, que os mileritas do movimento do primeiro anjo compreenderam apenas parcialmente. No verso, a visão representada como a “coisa” é identificada como a mais longa das duas profecias, porque, intercalada entre as duas referências no verso à “coisa”, Daniel identifica que o tempo determinado para a “coisa” (o dabar) era “longo”, em relação à visão (mareh).</w:t>
      </w:r>
    </w:p>
    <w:p>
      <w:pPr>
        <w:pStyle w:val="ArticleScripture"/>
        <w:jc w:val="left"/>
      </w:pPr>
      <w:r>
        <w:rPr>
          <w:rFonts w:ascii="Times New Roman" w:hAnsi="Times New Roman" w:eastAsia="Times New Roman" w:cs="Times New Roman"/>
        </w:rPr>
        <w:t>Ngosigodlo semnyaka wesitsatfu waKhorasi, inkhosi yasePheresiya, kwembulwa kuDanyela intfo letsite, lobitwa ngeligama lekutsi nguBhelteshatsari; naleyo ntfo beyiliciniso, kepha sikhatsi lesimisiwe sasidze; wayicondza leyo ntfo, futsi waba nekuvisisa ngalombono. Danyela 10:1.</w:t>
      </w:r>
    </w:p>
    <w:p>
      <w:pPr>
        <w:pStyle w:val="ArticleBody"/>
        <w:jc w:val="left"/>
      </w:pPr>
      <w:r>
        <w:rPr>
          <w:rFonts w:ascii="Times New Roman" w:hAnsi="Times New Roman" w:eastAsia="Times New Roman" w:cs="Times New Roman"/>
        </w:rPr>
        <w:t>Geçmişteki “yedi vakit”in, Milleritlerin ilan ettiği en uzun zaman peygamberliği olduğu şeklindeki ince hakikat, Laodikya Adventizmi tarafından, kendi yıkımlarına olacak biçimde eğip büktükleri bir parçaya dayanılarak inkâr edilmektedir. 1863 isyanında “yedi vakit”i reddederek, iki peygamberlik arasındaki ilişkiyi görmemekte ve bir sonraki parçayı yalnızca, yahut ancak, iki bin üç yüz yılı tanımlayan bir ifade olarak görebilmektedirler.</w:t>
      </w:r>
    </w:p>
    <w:p>
      <w:pPr>
        <w:pStyle w:val="ArticleScripture"/>
        <w:jc w:val="left"/>
      </w:pPr>
      <w:r>
        <w:rPr>
          <w:rFonts w:ascii="Times New Roman" w:hAnsi="Times New Roman" w:eastAsia="Times New Roman" w:cs="Times New Roman"/>
        </w:rPr>
        <w:t>L’expérience des disciples qui prêchaient « l’Évangile du royaume » lors du premier avènement du Christ eut son pendant dans l’expérience de ceux qui proclamèrent le message de son second avènement. De même que les disciples allèrent en prêchant : « Le temps est accompli, et le royaume de Dieu est proche », de même Miller et ses associés proclamèrent que la plus longue et dernière période prophétique présentée dans la Bible était sur le point d’expirer, que le jugement était proche, et que le royaume éternel allait être inauguré. La prédication des disciples concernant le temps était fondée sur les soixante-dix semaines de Daniel 9. Le message donné par Miller et ses associés annonçait l’achèvement des 2300 jours de Daniel 8:14, dont les soixante-dix semaines font partie. La prédication de l’un et de l’autre reposait sur l’accomplissement d’une portion différente de la même grande période prophétique. » The Great Controversy, 351.</w:t>
      </w:r>
    </w:p>
    <w:p>
      <w:pPr>
        <w:pStyle w:val="ArticleBody"/>
        <w:jc w:val="left"/>
      </w:pPr>
      <w:r>
        <w:rPr>
          <w:rFonts w:ascii="Times New Roman" w:hAnsi="Times New Roman" w:eastAsia="Times New Roman" w:cs="Times New Roman"/>
        </w:rPr>
        <w:t>No pierdan de vista la lógica inherente de este último pasaje. El adventismo laodicense no enseña al mundo que los milleritas pensaban que el santuario que había de ser purificado era el santuario celestial, pues ellos, y cuantos quieran examinar el registro histórico, saben que los milleritas creían que el santuario que había de ser purificado era la tierra. El pasaje que el adventismo laodicense tuerce para su propia perdición es: “así Miller y sus colaboradores proclamaron que el período profético más largo y último presentado en la Biblia estaba a punto de expirar”, lo cual insisten en que son los dos mil trescientos años de Daniel capítulo ocho, versículo catorce.</w:t>
      </w:r>
    </w:p>
    <w:p>
      <w:pPr>
        <w:pStyle w:val="ArticleBody"/>
        <w:jc w:val="left"/>
      </w:pPr>
      <w:r>
        <w:rPr>
          <w:rFonts w:ascii="Times New Roman" w:hAnsi="Times New Roman" w:eastAsia="Times New Roman" w:cs="Times New Roman"/>
        </w:rPr>
        <w:t>Livitabu vya historia vya Uadventista vyenyewe vinaonyesha kwamba wahubiri wote mia tatu wa Kimumeli walitumia chati ya waanzilishi ya 1843 katika mawasilisho yao, na jambo hilo liko wazi kabisa kwenye chati hiyo, na pia katika ushuhuda mwingine wote wa kihistoria, kwamba “nyakati saba,” (miaka elfu mbili mia tano na ishirini), ndizo zilikuwa unabii walioutambua kuwa “kipindi kirefu zaidi na cha mwisho cha kiunabii,” ambacho “kilikuwa karibu kuisha.” Kwa sababu ya uasi wao wa mwaka 1863, walipoikataa jiwe la msingi la “nyakati saba,” sasa wanasisitiza kwa upofu kwamba Dada White anaandika upya historia iliyokwisha kuthibitishwa katika kifungu kutoka The Great Controversy.</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एडवेंट</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केन्द्रीय</w:t>
      </w:r>
      <w:r>
        <w:rPr>
          <w:rFonts w:ascii="Times New Roman" w:hAnsi="Times New Roman" w:eastAsia="Times New Roman" w:cs="Times New Roman"/>
        </w:rPr>
        <w:t xml:space="preserve"> </w:t>
      </w:r>
      <w:r>
        <w:rPr>
          <w:rFonts w:ascii="Nirmala UI" w:hAnsi="Nirmala UI" w:eastAsia="Nirmala UI" w:cs="Nirmala UI"/>
        </w:rPr>
        <w:t>स्तंभ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दिवसीय</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Yn nhrydedd flwyddyn Cyrus brenin Persia datguddiwyd peth i Daniel, yr hwn a elwid Belteshasar; a’r peth oedd wir, ond yr amser penodedig oedd hir: ac efe a ddeallodd y peth, ac yr oedd ganddo ddeall o’r weledigaeth. Daniel 10:1.</w:t>
      </w:r>
    </w:p>
    <w:p>
      <w:pPr>
        <w:pStyle w:val="ArticleBody"/>
        <w:jc w:val="left"/>
      </w:pP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އާޔަތް</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ހިއްދެކެލް</w:t>
      </w:r>
      <w:r>
        <w:rPr>
          <w:rFonts w:ascii="Times New Roman" w:hAnsi="Times New Roman" w:eastAsia="Times New Roman" w:cs="Times New Roman"/>
        </w:rPr>
        <w:t xml:space="preserve"> </w:t>
      </w:r>
      <w:r>
        <w:rPr>
          <w:rFonts w:ascii="MV Boli" w:hAnsi="MV Boli" w:eastAsia="MV Boli" w:cs="MV Boli"/>
        </w:rPr>
        <w:t>ކޯރުގައި</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ދެނިވެރިކަމުގެ</w:t>
      </w:r>
      <w:r>
        <w:rPr>
          <w:rFonts w:ascii="Times New Roman" w:hAnsi="Times New Roman" w:eastAsia="Times New Roman" w:cs="Times New Roman"/>
        </w:rPr>
        <w:t xml:space="preserve"> </w:t>
      </w:r>
      <w:r>
        <w:rPr>
          <w:rFonts w:ascii="MV Boli" w:hAnsi="MV Boli" w:eastAsia="MV Boli" w:cs="MV Boli"/>
        </w:rPr>
        <w:t>ފެށުން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ދެނިވެރިކަން</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ނިމެއެވެ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ތަނުގައެވެ</w:t>
      </w:r>
      <w:r>
        <w:rPr>
          <w:rFonts w:ascii="Times New Roman" w:hAnsi="Times New Roman" w:eastAsia="Times New Roman" w:cs="Times New Roman"/>
        </w:rPr>
        <w:t xml:space="preserve">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ދާނިޔާލުގެ</w:t>
      </w:r>
      <w:r>
        <w:rPr>
          <w:rFonts w:ascii="Times New Roman" w:hAnsi="Times New Roman" w:eastAsia="Times New Roman" w:cs="Times New Roman"/>
        </w:rPr>
        <w:t xml:space="preserve"> </w:t>
      </w:r>
      <w:r>
        <w:rPr>
          <w:rFonts w:ascii="MV Boli" w:hAnsi="MV Boli" w:eastAsia="MV Boli" w:cs="MV Boli"/>
        </w:rPr>
        <w:t>ފޮތް</w:t>
      </w:r>
      <w:r>
        <w:rPr>
          <w:rFonts w:ascii="Times New Roman" w:hAnsi="Times New Roman" w:eastAsia="Times New Roman" w:cs="Times New Roman"/>
        </w:rPr>
        <w:t xml:space="preserve"> </w:t>
      </w:r>
      <w:r>
        <w:rPr>
          <w:rFonts w:ascii="MV Boli" w:hAnsi="MV Boli" w:eastAsia="MV Boli" w:cs="MV Boli"/>
        </w:rPr>
        <w:t>މުއްލައި</w:t>
      </w:r>
      <w:r>
        <w:rPr>
          <w:rFonts w:ascii="Times New Roman" w:hAnsi="Times New Roman" w:eastAsia="Times New Roman" w:cs="Times New Roman"/>
        </w:rPr>
        <w:t xml:space="preserve"> </w:t>
      </w:r>
      <w:r>
        <w:rPr>
          <w:rFonts w:ascii="MV Boli" w:hAnsi="MV Boli" w:eastAsia="MV Boli" w:cs="MV Boli"/>
        </w:rPr>
        <w:t>ނެގުން</w:t>
      </w:r>
      <w:r>
        <w:rPr>
          <w:rFonts w:ascii="Times New Roman" w:hAnsi="Times New Roman" w:eastAsia="Times New Roman" w:cs="Times New Roman"/>
        </w:rPr>
        <w:t xml:space="preserve"> </w:t>
      </w:r>
      <w:r>
        <w:rPr>
          <w:rFonts w:ascii="MV Boli" w:hAnsi="MV Boli" w:eastAsia="MV Boli" w:cs="MV Boli"/>
        </w:rPr>
        <w:t>އަޅުގަނޑު</w:t>
      </w:r>
      <w:r>
        <w:rPr>
          <w:rFonts w:ascii="Times New Roman" w:hAnsi="Times New Roman" w:eastAsia="Times New Roman" w:cs="Times New Roman"/>
        </w:rPr>
        <w:t xml:space="preserve"> </w:t>
      </w:r>
      <w:r>
        <w:rPr>
          <w:rFonts w:ascii="MV Boli" w:hAnsi="MV Boli" w:eastAsia="MV Boli" w:cs="MV Boli"/>
        </w:rPr>
        <w:t>ފެންނަނީ</w:t>
      </w:r>
      <w:r>
        <w:rPr>
          <w:rFonts w:ascii="Times New Roman" w:hAnsi="Times New Roman" w:eastAsia="Times New Roman" w:cs="Times New Roman"/>
        </w:rPr>
        <w:t xml:space="preserve">؛ </w:t>
      </w:r>
      <w:r>
        <w:rPr>
          <w:rFonts w:ascii="MV Boli" w:hAnsi="MV Boli" w:eastAsia="MV Boli" w:cs="MV Boli"/>
        </w:rPr>
        <w:t>އެހެންވެ</w:t>
      </w:r>
      <w:r>
        <w:rPr>
          <w:rFonts w:ascii="Times New Roman" w:hAnsi="Times New Roman" w:eastAsia="Times New Roman" w:cs="Times New Roman"/>
        </w:rPr>
        <w:t xml:space="preserve"> </w:t>
      </w:r>
      <w:r>
        <w:rPr>
          <w:rFonts w:ascii="MV Boli" w:hAnsi="MV Boli" w:eastAsia="MV Boli" w:cs="MV Boli"/>
        </w:rPr>
        <w:t>ދާނިޔާލު</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ދެނިވެރިކަން</w:t>
      </w:r>
      <w:r>
        <w:rPr>
          <w:rFonts w:ascii="Times New Roman" w:hAnsi="Times New Roman" w:eastAsia="Times New Roman" w:cs="Times New Roman"/>
        </w:rPr>
        <w:t xml:space="preserve">” </w:t>
      </w:r>
      <w:r>
        <w:rPr>
          <w:rFonts w:ascii="MV Boli" w:hAnsi="MV Boli" w:eastAsia="MV Boli" w:cs="MV Boli"/>
        </w:rPr>
        <w:t>ދެކެ</w:t>
      </w:r>
      <w:r>
        <w:rPr>
          <w:rFonts w:ascii="Times New Roman" w:hAnsi="Times New Roman" w:eastAsia="Times New Roman" w:cs="Times New Roman"/>
        </w:rPr>
        <w:t xml:space="preserve"> </w:t>
      </w:r>
      <w:r>
        <w:rPr>
          <w:rFonts w:ascii="MV Boli" w:hAnsi="MV Boli" w:eastAsia="MV Boli" w:cs="MV Boli"/>
        </w:rPr>
        <w:t>ވިސްނުން</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ކަމުގެ</w:t>
      </w:r>
      <w:r>
        <w:rPr>
          <w:rFonts w:ascii="Times New Roman" w:hAnsi="Times New Roman" w:eastAsia="Times New Roman" w:cs="Times New Roman"/>
        </w:rPr>
        <w:t xml:space="preserve"> </w:t>
      </w:r>
      <w:r>
        <w:rPr>
          <w:rFonts w:ascii="MV Boli" w:hAnsi="MV Boli" w:eastAsia="MV Boli" w:cs="MV Boli"/>
        </w:rPr>
        <w:t>މިސާލު</w:t>
      </w:r>
      <w:r>
        <w:rPr>
          <w:rFonts w:ascii="Times New Roman" w:hAnsi="Times New Roman" w:eastAsia="Times New Roman" w:cs="Times New Roman"/>
        </w:rPr>
        <w:t xml:space="preserve">، </w:t>
      </w:r>
      <w:r>
        <w:rPr>
          <w:rFonts w:ascii="MV Boli" w:hAnsi="MV Boli" w:eastAsia="MV Boli" w:cs="MV Boli"/>
        </w:rPr>
        <w:t>ވިސްނުން</w:t>
      </w:r>
      <w:r>
        <w:rPr>
          <w:rFonts w:ascii="Times New Roman" w:hAnsi="Times New Roman" w:eastAsia="Times New Roman" w:cs="Times New Roman"/>
        </w:rPr>
        <w:t xml:space="preserve"> </w:t>
      </w:r>
      <w:r>
        <w:rPr>
          <w:rFonts w:ascii="MV Boli" w:hAnsi="MV Boli" w:eastAsia="MV Boli" w:cs="MV Boli"/>
        </w:rPr>
        <w:t>ލިބޭ</w:t>
      </w:r>
      <w:r>
        <w:rPr>
          <w:rFonts w:ascii="Times New Roman" w:hAnsi="Times New Roman" w:eastAsia="Times New Roman" w:cs="Times New Roman"/>
        </w:rPr>
        <w:t xml:space="preserve"> </w:t>
      </w:r>
      <w:r>
        <w:rPr>
          <w:rFonts w:ascii="MV Boli" w:hAnsi="MV Boli" w:eastAsia="MV Boli" w:cs="MV Boli"/>
        </w:rPr>
        <w:t>ބައެއް</w:t>
      </w:r>
      <w:r>
        <w:rPr>
          <w:rFonts w:ascii="Times New Roman" w:hAnsi="Times New Roman" w:eastAsia="Times New Roman" w:cs="Times New Roman"/>
        </w:rPr>
        <w:t xml:space="preserve"> </w:t>
      </w:r>
      <w:r>
        <w:rPr>
          <w:rFonts w:ascii="MV Boli" w:hAnsi="MV Boli" w:eastAsia="MV Boli" w:cs="MV Boli"/>
        </w:rPr>
        <w:t>މީހުންނާ</w:t>
      </w:r>
      <w:r>
        <w:rPr>
          <w:rFonts w:ascii="Times New Roman" w:hAnsi="Times New Roman" w:eastAsia="Times New Roman" w:cs="Times New Roman"/>
        </w:rPr>
        <w:t xml:space="preserve"> </w:t>
      </w:r>
      <w:r>
        <w:rPr>
          <w:rFonts w:ascii="MV Boli" w:hAnsi="MV Boli" w:eastAsia="MV Boli" w:cs="MV Boli"/>
        </w:rPr>
        <w:t>ގުޅިގެން</w:t>
      </w:r>
      <w:r>
        <w:rPr>
          <w:rFonts w:ascii="Times New Roman" w:hAnsi="Times New Roman" w:eastAsia="Times New Roman" w:cs="Times New Roman"/>
        </w:rPr>
        <w:t xml:space="preserve"> </w:t>
      </w:r>
      <w:r>
        <w:rPr>
          <w:rFonts w:ascii="MV Boli" w:hAnsi="MV Boli" w:eastAsia="MV Boli" w:cs="MV Boli"/>
        </w:rPr>
        <w:t>އޮވެއެވެ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ހުޝިޔާރުން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ވިސްނުން</w:t>
      </w:r>
      <w:r>
        <w:rPr>
          <w:rFonts w:ascii="Times New Roman" w:hAnsi="Times New Roman" w:eastAsia="Times New Roman" w:cs="Times New Roman"/>
        </w:rPr>
        <w:t xml:space="preserve"> </w:t>
      </w:r>
      <w:r>
        <w:rPr>
          <w:rFonts w:ascii="MV Boli" w:hAnsi="MV Boli" w:eastAsia="MV Boli" w:cs="MV Boli"/>
        </w:rPr>
        <w:t>ނުލިބޭ</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ބަދުކުރިން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ކުރެވެއެވެ</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ދިހަ</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ބައިގެ</w:t>
      </w:r>
      <w:r>
        <w:rPr>
          <w:rFonts w:ascii="Times New Roman" w:hAnsi="Times New Roman" w:eastAsia="Times New Roman" w:cs="Times New Roman"/>
        </w:rPr>
        <w:t xml:space="preserve"> </w:t>
      </w:r>
      <w:r>
        <w:rPr>
          <w:rFonts w:ascii="MV Boli" w:hAnsi="MV Boli" w:eastAsia="MV Boli" w:cs="MV Boli"/>
        </w:rPr>
        <w:t>ތަފާތު</w:t>
      </w:r>
      <w:r>
        <w:rPr>
          <w:rFonts w:ascii="Times New Roman" w:hAnsi="Times New Roman" w:eastAsia="Times New Roman" w:cs="Times New Roman"/>
        </w:rPr>
        <w:t xml:space="preserve"> </w:t>
      </w:r>
      <w:r>
        <w:rPr>
          <w:rFonts w:ascii="MV Boli" w:hAnsi="MV Boli" w:eastAsia="MV Boli" w:cs="MV Boli"/>
        </w:rPr>
        <w:t>މިސާލު</w:t>
      </w:r>
      <w:r>
        <w:rPr>
          <w:rFonts w:ascii="Times New Roman" w:hAnsi="Times New Roman" w:eastAsia="Times New Roman" w:cs="Times New Roman"/>
        </w:rPr>
        <w:t xml:space="preserve"> </w:t>
      </w:r>
      <w:r>
        <w:rPr>
          <w:rFonts w:ascii="MV Boli" w:hAnsi="MV Boli" w:eastAsia="MV Boli" w:cs="MV Boli"/>
        </w:rPr>
        <w:t>ކުރެވިފައި</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w:t>
      </w:r>
    </w:p>
    <w:p>
      <w:pPr>
        <w:pStyle w:val="ArticleScripture"/>
        <w:jc w:val="left"/>
      </w:pPr>
      <w:r>
        <w:rPr>
          <w:rFonts w:ascii="Nirmala UI" w:hAnsi="Nirmala UI" w:eastAsia="Nirmala UI" w:cs="Nirmala UI"/>
        </w:rPr>
        <w:t>ಬಹುಜನರು</w:t>
      </w:r>
      <w:r>
        <w:rPr>
          <w:rFonts w:ascii="Times New Roman" w:hAnsi="Times New Roman" w:eastAsia="Times New Roman" w:cs="Times New Roman"/>
        </w:rPr>
        <w:t xml:space="preserve"> </w:t>
      </w:r>
      <w:r>
        <w:rPr>
          <w:rFonts w:ascii="Nirmala UI" w:hAnsi="Nirmala UI" w:eastAsia="Nirmala UI" w:cs="Nirmala UI"/>
        </w:rPr>
        <w:t>ಶುದ್ಧಿಗೊಳ್ಳುವರು</w:t>
      </w:r>
      <w:r>
        <w:rPr>
          <w:rFonts w:ascii="Times New Roman" w:hAnsi="Times New Roman" w:eastAsia="Times New Roman" w:cs="Times New Roman"/>
        </w:rPr>
        <w:t xml:space="preserve">, </w:t>
      </w:r>
      <w:r>
        <w:rPr>
          <w:rFonts w:ascii="Nirmala UI" w:hAnsi="Nirmala UI" w:eastAsia="Nirmala UI" w:cs="Nirmala UI"/>
        </w:rPr>
        <w:t>ಬಿಳಿಗೊಳ್ಳುವರು</w:t>
      </w:r>
      <w:r>
        <w:rPr>
          <w:rFonts w:ascii="Times New Roman" w:hAnsi="Times New Roman" w:eastAsia="Times New Roman" w:cs="Times New Roman"/>
        </w:rPr>
        <w:t xml:space="preserve">, </w:t>
      </w:r>
      <w:r>
        <w:rPr>
          <w:rFonts w:ascii="Nirmala UI" w:hAnsi="Nirmala UI" w:eastAsia="Nirmala UI" w:cs="Nirmala UI"/>
        </w:rPr>
        <w:t>ಪರೀಕ್ಷಿಸಲ್ಪಡುವರು</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ದುಷ್ಟರು</w:t>
      </w:r>
      <w:r>
        <w:rPr>
          <w:rFonts w:ascii="Times New Roman" w:hAnsi="Times New Roman" w:eastAsia="Times New Roman" w:cs="Times New Roman"/>
        </w:rPr>
        <w:t xml:space="preserve"> </w:t>
      </w:r>
      <w:r>
        <w:rPr>
          <w:rFonts w:ascii="Nirmala UI" w:hAnsi="Nirmala UI" w:eastAsia="Nirmala UI" w:cs="Nirmala UI"/>
        </w:rPr>
        <w:t>ದುಷ್ಟತೆಯನ್ನು</w:t>
      </w:r>
      <w:r>
        <w:rPr>
          <w:rFonts w:ascii="Times New Roman" w:hAnsi="Times New Roman" w:eastAsia="Times New Roman" w:cs="Times New Roman"/>
        </w:rPr>
        <w:t xml:space="preserve"> </w:t>
      </w:r>
      <w:r>
        <w:rPr>
          <w:rFonts w:ascii="Nirmala UI" w:hAnsi="Nirmala UI" w:eastAsia="Nirmala UI" w:cs="Nirmala UI"/>
        </w:rPr>
        <w:t>ಮಾಡುವರು</w:t>
      </w:r>
      <w:r>
        <w:rPr>
          <w:rFonts w:ascii="Times New Roman" w:hAnsi="Times New Roman" w:eastAsia="Times New Roman" w:cs="Times New Roman"/>
        </w:rPr>
        <w:t xml:space="preserve">; </w:t>
      </w:r>
      <w:r>
        <w:rPr>
          <w:rFonts w:ascii="Nirmala UI" w:hAnsi="Nirmala UI" w:eastAsia="Nirmala UI" w:cs="Nirmala UI"/>
        </w:rPr>
        <w:t>ದುಷ್ಟರಲ್ಲಿ</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ಗ್ರಹಿಸಲಾರರು</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ಜ್ಞಾನಿಗಳು</w:t>
      </w:r>
      <w:r>
        <w:rPr>
          <w:rFonts w:ascii="Times New Roman" w:hAnsi="Times New Roman" w:eastAsia="Times New Roman" w:cs="Times New Roman"/>
        </w:rPr>
        <w:t xml:space="preserve"> </w:t>
      </w:r>
      <w:r>
        <w:rPr>
          <w:rFonts w:ascii="Nirmala UI" w:hAnsi="Nirmala UI" w:eastAsia="Nirmala UI" w:cs="Nirmala UI"/>
        </w:rPr>
        <w:t>ಗ್ರಹಿಸುವರು</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12:10.</w:t>
      </w:r>
    </w:p>
    <w:p>
      <w:pPr>
        <w:pStyle w:val="ArticleBody"/>
        <w:jc w:val="left"/>
      </w:pPr>
      <w:r>
        <w:rPr>
          <w:rFonts w:ascii="Times New Roman" w:hAnsi="Times New Roman" w:eastAsia="Times New Roman" w:cs="Times New Roman"/>
        </w:rPr>
        <w:t>الفهماء يفهمون، وأما الأشرار فلا يفهمون، والكلمة المترجمة «يفهمون» هي الكلمة نفسها التي حدَّدناها في الآية الثالثة والعشرين من الأصحاح التاسع. وهي الكلمة العبرية «بيين» (biyn)، ومعناها أن يُفصل ذهنيًّا. والأشرار لا يفهمون ازدياد المعرفة، لأنهم غير راغبين في إجراء ذلك الفصل الذهني بين الرؤيتين اللتين هما الحقَّان اللذان يُشار إلى أن بيلطشاصر يفهمهما في الآية الأولى، حين يُشار إليه ببيلطشاصر بدلًا من دانيال. ففي الآية الأولى يُشار إليه على أنه شعب عهد الله في الأيام الأخيرة، ويُشار إليه على أنه من الذين يفهمون الرؤيتين اللتين ينبغي لشعب الله أن يُميِّز بينهما تمييزًا ذهنيًّا. إن يسوع يوضِّح نهاية الشيء ببداية الشيء، وفي الأصحاح الثاني عشر يكون الحكماء هم الذين يفهمون نبوَّة الألفين والثلاثمائة سنة، وعلاقتها المباشرة بنبوَّة الوقت «الأطول والأخيرة»، وهي الألفان والخمسمائة والعشرون سنة.</w:t>
      </w:r>
    </w:p>
    <w:p>
      <w:pPr>
        <w:pStyle w:val="ArticleBody"/>
        <w:jc w:val="left"/>
      </w:pPr>
      <w:r>
        <w:rPr>
          <w:rFonts w:ascii="Times New Roman" w:hAnsi="Times New Roman" w:eastAsia="Times New Roman" w:cs="Times New Roman"/>
        </w:rPr>
        <w:t>Nous poursuivrons notre étude de la dernière vision de Daniel dans le prochain article.</w:t>
      </w:r>
    </w:p>
    <w:p>
      <w:pPr>
        <w:pStyle w:val="ArticleScripture"/>
        <w:jc w:val="left"/>
      </w:pPr>
      <w:r>
        <w:rPr>
          <w:rFonts w:ascii="Microsoft YaHei" w:hAnsi="Microsoft YaHei" w:eastAsia="Microsoft YaHei" w:cs="Microsoft YaHei"/>
        </w:rPr>
        <w:t>我的民因无知识而灭亡</w:t>
      </w:r>
      <w:r>
        <w:rPr>
          <w:rFonts w:ascii="Times New Roman" w:hAnsi="Times New Roman" w:eastAsia="Times New Roman" w:cs="Times New Roman"/>
        </w:rPr>
        <w:t>;</w:t>
      </w:r>
      <w:r>
        <w:rPr>
          <w:rFonts w:ascii="Microsoft YaHei" w:hAnsi="Microsoft YaHei" w:eastAsia="Microsoft YaHei" w:cs="Microsoft YaHei"/>
        </w:rPr>
        <w:t>你既弃掉知识</w:t>
      </w:r>
      <w:r>
        <w:rPr>
          <w:rFonts w:ascii="Times New Roman" w:hAnsi="Times New Roman" w:eastAsia="Times New Roman" w:cs="Times New Roman"/>
        </w:rPr>
        <w:t>,</w:t>
      </w:r>
      <w:r>
        <w:rPr>
          <w:rFonts w:ascii="Microsoft YaHei" w:hAnsi="Microsoft YaHei" w:eastAsia="Microsoft YaHei" w:cs="Microsoft YaHei"/>
        </w:rPr>
        <w:t>我也必弃掉你</w:t>
      </w:r>
      <w:r>
        <w:rPr>
          <w:rFonts w:ascii="Times New Roman" w:hAnsi="Times New Roman" w:eastAsia="Times New Roman" w:cs="Times New Roman"/>
        </w:rPr>
        <w:t>,</w:t>
      </w:r>
      <w:r>
        <w:rPr>
          <w:rFonts w:ascii="Microsoft YaHei" w:hAnsi="Microsoft YaHei" w:eastAsia="Microsoft YaHei" w:cs="Microsoft YaHei"/>
        </w:rPr>
        <w:t>使你不再给我作祭司</w:t>
      </w:r>
      <w:r>
        <w:rPr>
          <w:rFonts w:ascii="Times New Roman" w:hAnsi="Times New Roman" w:eastAsia="Times New Roman" w:cs="Times New Roman"/>
        </w:rPr>
        <w:t>;</w:t>
      </w:r>
      <w:r>
        <w:rPr>
          <w:rFonts w:ascii="Microsoft YaHei" w:hAnsi="Microsoft YaHei" w:eastAsia="Microsoft YaHei" w:cs="Microsoft YaHei"/>
        </w:rPr>
        <w:t>你既忘了你</w:t>
      </w:r>
      <w:r>
        <w:rPr>
          <w:rFonts w:ascii="Times New Roman" w:hAnsi="Times New Roman" w:eastAsia="Times New Roman" w:cs="Times New Roman"/>
        </w:rPr>
        <w:t xml:space="preserve"> </w:t>
      </w:r>
      <w:r>
        <w:rPr>
          <w:rFonts w:ascii="Microsoft YaHei" w:hAnsi="Microsoft YaHei" w:eastAsia="Microsoft YaHei" w:cs="Microsoft YaHei"/>
        </w:rPr>
        <w:t>神的律法</w:t>
      </w:r>
      <w:r>
        <w:rPr>
          <w:rFonts w:ascii="Times New Roman" w:hAnsi="Times New Roman" w:eastAsia="Times New Roman" w:cs="Times New Roman"/>
        </w:rPr>
        <w:t>,</w:t>
      </w:r>
      <w:r>
        <w:rPr>
          <w:rFonts w:ascii="Microsoft YaHei" w:hAnsi="Microsoft YaHei" w:eastAsia="Microsoft YaHei" w:cs="Microsoft YaHei"/>
        </w:rPr>
        <w:t>我也必忘记你的儿女</w:t>
      </w:r>
      <w:r>
        <w:rPr>
          <w:rFonts w:ascii="Times New Roman" w:hAnsi="Times New Roman" w:eastAsia="Times New Roman" w:cs="Times New Roman"/>
        </w:rPr>
        <w:t>.</w:t>
      </w:r>
      <w:r>
        <w:rPr>
          <w:rFonts w:ascii="Microsoft YaHei" w:hAnsi="Microsoft YaHei" w:eastAsia="Microsoft YaHei" w:cs="Microsoft YaHei"/>
        </w:rPr>
        <w:t>何西阿书</w:t>
      </w:r>
      <w:r>
        <w:rPr>
          <w:rFonts w:ascii="Times New Roman" w:hAnsi="Times New Roman" w:eastAsia="Times New Roman" w:cs="Times New Roman"/>
        </w:rPr>
        <w:t xml:space="preserve"> 4:6.</w:t>
      </w:r>
    </w:p>
    <w:p>
      <w:pPr>
        <w:pStyle w:val="ArticleScripture"/>
        <w:jc w:val="left"/>
      </w:pP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ढुङ्गाहरूझैँ</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पूजाहारीवर्गको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ख्रीष्टद्वारा</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ग्रहणयोग्य</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बलिदानहरू</w:t>
      </w:r>
      <w:r>
        <w:rPr>
          <w:rFonts w:ascii="Times New Roman" w:hAnsi="Times New Roman" w:eastAsia="Times New Roman" w:cs="Times New Roman"/>
        </w:rPr>
        <w:t xml:space="preserve"> </w:t>
      </w:r>
      <w:r>
        <w:rPr>
          <w:rFonts w:ascii="Nirmala UI" w:hAnsi="Nirmala UI" w:eastAsia="Nirmala UI" w:cs="Nirmala UI"/>
        </w:rPr>
        <w:t>चढाओ।</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धर्मशास्त्रमा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सियोनमा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ढुङ्गा</w:t>
      </w:r>
      <w:r>
        <w:rPr>
          <w:rFonts w:ascii="Times New Roman" w:hAnsi="Times New Roman" w:eastAsia="Times New Roman" w:cs="Times New Roman"/>
        </w:rPr>
        <w:t xml:space="preserve"> </w:t>
      </w:r>
      <w:r>
        <w:rPr>
          <w:rFonts w:ascii="Nirmala UI" w:hAnsi="Nirmala UI" w:eastAsia="Nirmala UI" w:cs="Nirmala UI"/>
        </w:rPr>
        <w:t>राख्दछु</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उहाँमाथि</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अवज्ञाकारीहरूका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ढुङ्गालाई</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गर्नेहरूले</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ढुङ्गा</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बाधाको</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अवज्ञाकारी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राजकीय</w:t>
      </w:r>
      <w:r>
        <w:rPr>
          <w:rFonts w:ascii="Times New Roman" w:hAnsi="Times New Roman" w:eastAsia="Times New Roman" w:cs="Times New Roman"/>
        </w:rPr>
        <w:t xml:space="preserve"> </w:t>
      </w:r>
      <w:r>
        <w:rPr>
          <w:rFonts w:ascii="Nirmala UI" w:hAnsi="Nirmala UI" w:eastAsia="Nirmala UI" w:cs="Nirmala UI"/>
        </w:rPr>
        <w:t>पूजाहारीवर्ग</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अन्धकारबाट</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ज्योतिमा</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बोलाउनुहुने</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महिमाहरू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1 </w:t>
      </w:r>
      <w:r>
        <w:rPr>
          <w:rFonts w:ascii="Nirmala UI" w:hAnsi="Nirmala UI" w:eastAsia="Nirmala UI" w:cs="Nirmala UI"/>
        </w:rPr>
        <w:t>पत्रुस</w:t>
      </w:r>
      <w:r>
        <w:rPr>
          <w:rFonts w:ascii="Times New Roman" w:hAnsi="Times New Roman" w:eastAsia="Times New Roman" w:cs="Times New Roman"/>
        </w:rPr>
        <w:t xml:space="preserve"> 2:5–10.</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দীর্ঘসহিষ্ণুতা</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ভ্রাতা</w:t>
      </w:r>
      <w:r>
        <w:rPr>
          <w:rFonts w:ascii="Times New Roman" w:hAnsi="Times New Roman" w:eastAsia="Times New Roman" w:cs="Times New Roman"/>
        </w:rPr>
        <w:t xml:space="preserve"> </w:t>
      </w:r>
      <w:r>
        <w:rPr>
          <w:rFonts w:ascii="Nirmala UI" w:hAnsi="Nirmala UI" w:eastAsia="Nirmala UI" w:cs="Nirmala UI"/>
        </w:rPr>
        <w:t>পৌলও</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লিখিয়াছেন</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পত্রেও</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বিষয়গুলির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বলিয়াছেন</w:t>
      </w:r>
      <w:r>
        <w:rPr>
          <w:rFonts w:ascii="Times New Roman" w:hAnsi="Times New Roman" w:eastAsia="Times New Roman" w:cs="Times New Roman"/>
        </w:rPr>
        <w:t xml:space="preserve">; </w:t>
      </w:r>
      <w:r>
        <w:rPr>
          <w:rFonts w:ascii="Nirmala UI" w:hAnsi="Nirmala UI" w:eastAsia="Nirmala UI" w:cs="Nirmala UI"/>
        </w:rPr>
        <w:t>যাহাতে</w:t>
      </w:r>
      <w:r>
        <w:rPr>
          <w:rFonts w:ascii="Times New Roman" w:hAnsi="Times New Roman" w:eastAsia="Times New Roman" w:cs="Times New Roman"/>
        </w:rPr>
        <w:t xml:space="preserve"> </w:t>
      </w:r>
      <w:r>
        <w:rPr>
          <w:rFonts w:ascii="Nirmala UI" w:hAnsi="Nirmala UI" w:eastAsia="Nirmala UI" w:cs="Nirmala UI"/>
        </w:rPr>
        <w:t>কতকগুলি</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কঠিন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অশিক্ষিত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অস্থির</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সেইগুলিকে</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শাস্ত্রও</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সর্বনাশের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প্রিয়জনেরা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যেহেতু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হইতেই</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পাছে</w:t>
      </w:r>
      <w:r>
        <w:rPr>
          <w:rFonts w:ascii="Times New Roman" w:hAnsi="Times New Roman" w:eastAsia="Times New Roman" w:cs="Times New Roman"/>
        </w:rPr>
        <w:t xml:space="preserve"> </w:t>
      </w:r>
      <w:r>
        <w:rPr>
          <w:rFonts w:ascii="Nirmala UI" w:hAnsi="Nirmala UI" w:eastAsia="Nirmala UI" w:cs="Nirmala UI"/>
        </w:rPr>
        <w:t>অধার্মিকদের</w:t>
      </w:r>
      <w:r>
        <w:rPr>
          <w:rFonts w:ascii="Times New Roman" w:hAnsi="Times New Roman" w:eastAsia="Times New Roman" w:cs="Times New Roman"/>
        </w:rPr>
        <w:t xml:space="preserve"> </w:t>
      </w:r>
      <w:r>
        <w:rPr>
          <w:rFonts w:ascii="Nirmala UI" w:hAnsi="Nirmala UI" w:eastAsia="Nirmala UI" w:cs="Nirmala UI"/>
        </w:rPr>
        <w:t>ভ্রান্তির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বিপথগামী</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তোমরাও</w:t>
      </w:r>
      <w:r>
        <w:rPr>
          <w:rFonts w:ascii="Times New Roman" w:hAnsi="Times New Roman" w:eastAsia="Times New Roman" w:cs="Times New Roman"/>
        </w:rPr>
        <w:t xml:space="preserve"> </w:t>
      </w:r>
      <w:r>
        <w:rPr>
          <w:rFonts w:ascii="Nirmala UI" w:hAnsi="Nirmala UI" w:eastAsia="Nirmala UI" w:cs="Nirmala UI"/>
        </w:rPr>
        <w:t>আপনাদের</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স্থিরতা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৩</w:t>
      </w:r>
      <w:r>
        <w:rPr>
          <w:rFonts w:ascii="Times New Roman" w:hAnsi="Times New Roman" w:eastAsia="Times New Roman" w:cs="Times New Roman"/>
        </w:rPr>
        <w:t>:</w:t>
      </w:r>
      <w:r>
        <w:rPr>
          <w:rFonts w:ascii="Nirmala UI" w:hAnsi="Nirmala UI" w:eastAsia="Nirmala UI" w:cs="Nirmala UI"/>
        </w:rPr>
        <w:t>১৫</w:t>
      </w:r>
      <w:r>
        <w:rPr>
          <w:rFonts w:ascii="Times New Roman" w:hAnsi="Times New Roman" w:eastAsia="Times New Roman" w:cs="Times New Roman"/>
        </w:rPr>
        <w:t>–</w:t>
      </w:r>
      <w:r>
        <w:rPr>
          <w:rFonts w:ascii="Nirmala UI" w:hAnsi="Nirmala UI" w:eastAsia="Nirmala UI" w:cs="Nirmala UI"/>
        </w:rPr>
        <w:t>১৭।</w:t>
      </w:r>
    </w:p>
    <w:p>
      <w:pPr>
        <w:pStyle w:val="ArticleScripture"/>
        <w:jc w:val="left"/>
      </w:pPr>
      <w:r>
        <w:rPr>
          <w:rFonts w:ascii="Times New Roman" w:hAnsi="Times New Roman" w:eastAsia="Times New Roman" w:cs="Times New Roman"/>
        </w:rPr>
        <w:t>اپنے ذہن میں ان باتوں کو تازہ رکھو، اور خداوند کے حضور اُنہیں تاکید کرو کہ وہ الفاظ پر ایسی بحثیں نہ کریں جن سے کچھ فائدہ نہیں، بلکہ سننے والوں کی خرابی ہوتی ہے۔ پوری کوشش کر کہ تو اپنے آپ کو خدا کے سامنے مقبول ثابت کرے، ایسا کارکن جو شرمندہ ہونے کا محتاج نہ ہو، اور کلامِ حق کو درست طور پر تقسیم کرتا ہو۔ لیکن ناپاک اور بے فائدہ بکواس سے پرہیز کر، کیونکہ وہ بڑھتے بڑھتے مزید بےدینی تک پہنچاتی ہیں۔ 2 تیمتھیس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دانيال - المئة والرابع والخمسون</dc:title>
  <dc:subject>Intelligere l’ultima visione di Daniele: il significato di Belteshazzar e il disvelamento della profezia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