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cinquante-cinq</w:t>
      </w:r>
    </w:p>
    <w:p>
      <w:pPr>
        <w:pStyle w:val="ArticleSubtitle"/>
        <w:jc w:val="left"/>
      </w:pPr>
      <w:r>
        <w:rPr>
          <w:rFonts w:ascii="Arial" w:hAnsi="Arial" w:eastAsia="Arial" w:cs="Arial"/>
        </w:rPr>
        <w:t>Révélation de la dernière vision de Daniel : un parcours parallèle de vierges sages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Tunaanza uchunguzi wetu wa ono la mwisho la Danieli kwa kumtambua Danieli kuwa ishara ya watu wa agano wa Mungu wa siku za mwisho, na tumetumia mstari wa kwanza pamoja na sura ya mwisho kuanza kutambua sifa za kinabii za wale watu wa siku za mwisho wanaowakilishwa na Belteshaza. Watu wa agano wa Mungu wa siku za mwisho wanawakilisha Wamillerite wa vuguvugu la malaika wa kwanza, na wale mia moja na arobaini na nne elfu wa vuguvugu la malaika wa tatu. Wamillerite walilitimiza fumbo la wanawali kumi, na fumbo hilo linarudiwa kwa herufi ile ile katika siku za mwisho.</w:t>
      </w:r>
    </w:p>
    <w:p>
      <w:pPr>
        <w:pStyle w:val="ArticleScripture"/>
        <w:jc w:val="left"/>
      </w:pPr>
      <w:r>
        <w:rPr>
          <w:rFonts w:ascii="Times New Roman" w:hAnsi="Times New Roman" w:eastAsia="Times New Roman" w:cs="Times New Roman"/>
        </w:rPr>
        <w:t>« Je suis souvent renvoyée à la parabole des dix vierges, dont cinq étaient sages et cinq insensées. Cette parabole s’est accomplie et s’accomplira jusqu’au moindre détail, car elle a une application particulière pour notre temps et, comme le message du troisième ange, elle s’est accomplie et continuera d’être une vérité présente jusqu’à la fin des temps. » Review and Herald, 19 août 1890.</w:t>
      </w:r>
    </w:p>
    <w:p>
      <w:pPr>
        <w:pStyle w:val="ArticleBody"/>
        <w:jc w:val="left"/>
      </w:pPr>
      <w:r>
        <w:rPr>
          <w:rFonts w:ascii="Times New Roman" w:hAnsi="Times New Roman" w:eastAsia="Times New Roman" w:cs="Times New Roman"/>
        </w:rPr>
        <w:t>L’expérience des deux mouvements des derniers jours est l’expérience de l’adventisme.</w:t>
      </w:r>
    </w:p>
    <w:p>
      <w:pPr>
        <w:pStyle w:val="ArticleScripture"/>
        <w:jc w:val="left"/>
      </w:pPr>
      <w:r>
        <w:rPr>
          <w:rFonts w:ascii="Times New Roman" w:hAnsi="Times New Roman" w:eastAsia="Times New Roman" w:cs="Times New Roman"/>
        </w:rPr>
        <w:t>« La parabole des dix vierges de Matthieu 25 illustre aussi l’expérience du peuple adventiste. » The Great Controversy, 393.</w:t>
      </w:r>
    </w:p>
    <w:p>
      <w:pPr>
        <w:pStyle w:val="ArticleBody"/>
        <w:jc w:val="left"/>
      </w:pPr>
      <w:r>
        <w:rPr>
          <w:rFonts w:ascii="Nirmala UI" w:hAnsi="Nirmala UI" w:eastAsia="Nirmala UI" w:cs="Nirmala UI"/>
        </w:rPr>
        <w:t>വില്ല്യം</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അനുയായികൾ</w:t>
      </w:r>
      <w:r>
        <w:rPr>
          <w:rFonts w:ascii="Times New Roman" w:hAnsi="Times New Roman" w:eastAsia="Times New Roman" w:cs="Times New Roman"/>
        </w:rPr>
        <w:t xml:space="preserve"> </w:t>
      </w:r>
      <w:r>
        <w:rPr>
          <w:rFonts w:ascii="Nirmala UI" w:hAnsi="Nirmala UI" w:eastAsia="Nirmala UI" w:cs="Nirmala UI"/>
        </w:rPr>
        <w:t>ആദ്യദൂതന്റെ</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പ്രതിനിധീകരിച്ചിരുന്നു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അനുഭവം</w:t>
      </w:r>
      <w:r>
        <w:rPr>
          <w:rFonts w:ascii="Times New Roman" w:hAnsi="Times New Roman" w:eastAsia="Times New Roman" w:cs="Times New Roman"/>
        </w:rPr>
        <w:t xml:space="preserve"> </w:t>
      </w:r>
      <w:r>
        <w:rPr>
          <w:rFonts w:ascii="Nirmala UI" w:hAnsi="Nirmala UI" w:eastAsia="Nirmala UI" w:cs="Nirmala UI"/>
        </w:rPr>
        <w:t>ഫിലാദെൽഫ്യാ</w:t>
      </w:r>
      <w:r>
        <w:rPr>
          <w:rFonts w:ascii="Times New Roman" w:hAnsi="Times New Roman" w:eastAsia="Times New Roman" w:cs="Times New Roman"/>
        </w:rPr>
        <w:t xml:space="preserve"> </w:t>
      </w:r>
      <w:r>
        <w:rPr>
          <w:rFonts w:ascii="Nirmala UI" w:hAnsi="Nirmala UI" w:eastAsia="Nirmala UI" w:cs="Nirmala UI"/>
        </w:rPr>
        <w:t>സഭയാലും</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ഫിലാദെൽഫ്യൻ</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ല</w:t>
      </w:r>
      <w:r>
        <w:rPr>
          <w:rFonts w:ascii="Sylfaen" w:hAnsi="Sylfaen" w:eastAsia="Sylfaen" w:cs="Sylfaen"/>
        </w:rPr>
        <w:t>აოდ</w:t>
      </w:r>
      <w:r>
        <w:rPr>
          <w:rFonts w:ascii="Nirmala UI" w:hAnsi="Nirmala UI" w:eastAsia="Nirmala UI" w:cs="Nirmala UI"/>
        </w:rPr>
        <w:t>ിക്യാ</w:t>
      </w:r>
      <w:r>
        <w:rPr>
          <w:rFonts w:ascii="Times New Roman" w:hAnsi="Times New Roman" w:eastAsia="Times New Roman" w:cs="Times New Roman"/>
        </w:rPr>
        <w:t xml:space="preserve"> </w:t>
      </w:r>
      <w:r>
        <w:rPr>
          <w:rFonts w:ascii="Nirmala UI" w:hAnsi="Nirmala UI" w:eastAsia="Nirmala UI" w:cs="Nirmala UI"/>
        </w:rPr>
        <w:t>പ്രസ്ഥാനമായി</w:t>
      </w:r>
      <w:r>
        <w:rPr>
          <w:rFonts w:ascii="Times New Roman" w:hAnsi="Times New Roman" w:eastAsia="Times New Roman" w:cs="Times New Roman"/>
        </w:rPr>
        <w:t xml:space="preserve"> </w:t>
      </w:r>
      <w:r>
        <w:rPr>
          <w:rFonts w:ascii="Nirmala UI" w:hAnsi="Nirmala UI" w:eastAsia="Nirmala UI" w:cs="Nirmala UI"/>
        </w:rPr>
        <w:t>പരിവർത്തിതമായി</w:t>
      </w:r>
      <w:r>
        <w:rPr>
          <w:rFonts w:ascii="Times New Roman" w:hAnsi="Times New Roman" w:eastAsia="Times New Roman" w:cs="Times New Roman"/>
        </w:rPr>
        <w:t>; 1863-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കലാപത്തിൽ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മുന്നോട്ട്</w:t>
      </w:r>
      <w:r>
        <w:rPr>
          <w:rFonts w:ascii="Times New Roman" w:hAnsi="Times New Roman" w:eastAsia="Times New Roman" w:cs="Times New Roman"/>
        </w:rPr>
        <w:t xml:space="preserve"> </w:t>
      </w:r>
      <w:r>
        <w:rPr>
          <w:rFonts w:ascii="Nirmala UI" w:hAnsi="Nirmala UI" w:eastAsia="Nirmala UI" w:cs="Nirmala UI"/>
        </w:rPr>
        <w:t>ല</w:t>
      </w:r>
      <w:r>
        <w:rPr>
          <w:rFonts w:ascii="Sylfaen" w:hAnsi="Sylfaen" w:eastAsia="Sylfaen" w:cs="Sylfaen"/>
        </w:rPr>
        <w:t>აოდ</w:t>
      </w:r>
      <w:r>
        <w:rPr>
          <w:rFonts w:ascii="Nirmala UI" w:hAnsi="Nirmala UI" w:eastAsia="Nirmala UI" w:cs="Nirmala UI"/>
        </w:rPr>
        <w:t>ിക്യൻ</w:t>
      </w:r>
      <w:r>
        <w:rPr>
          <w:rFonts w:ascii="Times New Roman" w:hAnsi="Times New Roman" w:eastAsia="Times New Roman" w:cs="Times New Roman"/>
        </w:rPr>
        <w:t xml:space="preserve"> </w:t>
      </w:r>
      <w:r>
        <w:rPr>
          <w:rFonts w:ascii="Nirmala UI" w:hAnsi="Nirmala UI" w:eastAsia="Nirmala UI" w:cs="Nirmala UI"/>
        </w:rPr>
        <w:t>സെവൻത്ത്</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അഡ്വെന്റിസ്റ്റ്</w:t>
      </w:r>
      <w:r>
        <w:rPr>
          <w:rFonts w:ascii="Times New Roman" w:hAnsi="Times New Roman" w:eastAsia="Times New Roman" w:cs="Times New Roman"/>
        </w:rPr>
        <w:t xml:space="preserve"> </w:t>
      </w:r>
      <w:r>
        <w:rPr>
          <w:rFonts w:ascii="Nirmala UI" w:hAnsi="Nirmala UI" w:eastAsia="Nirmala UI" w:cs="Nirmala UI"/>
        </w:rPr>
        <w:t>സഭയായി</w:t>
      </w:r>
      <w:r>
        <w:rPr>
          <w:rFonts w:ascii="Times New Roman" w:hAnsi="Times New Roman" w:eastAsia="Times New Roman" w:cs="Times New Roman"/>
        </w:rPr>
        <w:t xml:space="preserve"> </w:t>
      </w:r>
      <w:r>
        <w:rPr>
          <w:rFonts w:ascii="Nirmala UI" w:hAnsi="Nirmala UI" w:eastAsia="Nirmala UI" w:cs="Nirmala UI"/>
        </w:rPr>
        <w:t>പരിവർത്തിതമായി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cent quarante-quatre mille représentent le mouvement du troisième ange, et leur expérience fut également représentée par l’Église de Philadelphie. En 1989, le livre de Daniel fut descellé pour l’Église adventiste du septième jour de Laodicée, et le 11 septembre 2001, le mouvement adventiste laodicéen commença, et en juillet 2023, la transition de retour vers le mouvement philadelphien eut lieu.</w:t>
      </w:r>
    </w:p>
    <w:p>
      <w:pPr>
        <w:pStyle w:val="ArticleBody"/>
        <w:jc w:val="left"/>
      </w:pPr>
      <w:r>
        <w:rPr>
          <w:rFonts w:ascii="Times New Roman" w:hAnsi="Times New Roman" w:eastAsia="Times New Roman" w:cs="Times New Roman"/>
        </w:rPr>
        <w:t>Belteshazzar, ou Daniel, représente le mouvement philadelphien des derniers jours, qui répète le mouvement philadelphien des millérites « jusque dans ses moindres détails ». Le premier verset de la dernière vision représente ce peuple des derniers jours, et le dernier témoignage de la dernière vision doit s’accorder avec le premier témoignage de la dernière vision. Le processus de purification de Daniel chapitre douze met en évidence l’augmentation de la connaissance, ainsi que les deux classes qui en résultent. Belteshazzar est la représentation ultime des sages des derniers jours. Dans Daniel chapitre douze, il y a au moins cinq vérités prophétiques qui furent des points d’ancrage pour le mouvement millérite, et qui doivent être répétées dans le mouvement du troisième ange.</w:t>
      </w:r>
    </w:p>
    <w:p>
      <w:pPr>
        <w:pStyle w:val="ArticleBody"/>
        <w:jc w:val="left"/>
      </w:pPr>
      <w:r>
        <w:rPr>
          <w:rFonts w:ascii="Times New Roman" w:hAnsi="Times New Roman" w:eastAsia="Times New Roman" w:cs="Times New Roman"/>
        </w:rPr>
        <w:t>Le premier est le processus de purification qui produit deux catégories d’adorateurs, et accomplit ainsi la parabole des dix vierges dans ses mouvements de commencement et d’achèvement.</w:t>
      </w:r>
    </w:p>
    <w:p>
      <w:pPr>
        <w:pStyle w:val="ArticleScripture"/>
        <w:jc w:val="left"/>
      </w:pPr>
      <w:r>
        <w:rPr>
          <w:rFonts w:ascii="Times New Roman" w:hAnsi="Times New Roman" w:eastAsia="Times New Roman" w:cs="Times New Roman"/>
        </w:rPr>
        <w:t>Mais toi, ô Daniel, tiens secrètes ces paroles et scelle le livre jusqu’au temps de la fin : beaucoup iront çà et là, et la connaissance augmentera.... Et il dit : Va, Daniel ; car ces paroles sont tenues secrètes et scellées jusqu’au temps de la fin. Beaucoup seront purifiés, blanchis et éprouvés ; mais les méchants agiront méchamment, et aucun des méchants ne comprendra ; mais les sages comprendront. Daniel 12:4, 9, 10.</w:t>
      </w:r>
    </w:p>
    <w:p>
      <w:pPr>
        <w:pStyle w:val="ArticleBody"/>
        <w:jc w:val="left"/>
      </w:pPr>
      <w:r>
        <w:rPr>
          <w:rFonts w:ascii="Times New Roman" w:hAnsi="Times New Roman" w:eastAsia="Times New Roman" w:cs="Times New Roman"/>
        </w:rPr>
        <w:t>La distinction entre les sages et les méchants (insensés) repose sur leur compréhension — c’est-à-dire leur capacité à discerner mentalement — de l’accroissement de connaissance qui est ouvert au temps de la fin, soit en 1798 pour les millérites, soit en 1989 pour les cent quarante-quatre mille. Le peuple de Dieu doit savoir que l’adventisme est l’expérience de la parabole des dix vierges, car sans cette compréhension il ne cherchera pas à comprendre quand est arrivé le « temps de la fin » pour la génération finale, ni quel était le message alors descellé. Sans la compréhension que l’expérience adventiste est un processus d’épreuve en trois étapes, fondé sur un développement progressif de la vérité, et conduisant à une issue de « vie ou de mort », il est impossible de reconnaître la haute vocation de chaque adventiste du septième jour. Belteshazzar représente un peuple qui sait avoir traversé le processus de purification présenté comme étant « purifiés, blanchis et éprouvés ». Ce même processus de purification en trois étapes est expressément identifié comme l’œuvre du Saint-Esprit.</w:t>
      </w:r>
    </w:p>
    <w:p>
      <w:pPr>
        <w:pStyle w:val="ArticleScripture"/>
        <w:jc w:val="left"/>
      </w:pPr>
      <w:r>
        <w:rPr>
          <w:rFonts w:ascii="Times New Roman" w:hAnsi="Times New Roman" w:eastAsia="Times New Roman" w:cs="Times New Roman"/>
        </w:rPr>
        <w:t>Cependant, je vous dis la vérité : il vous est avantageux que je m’en aille ; car si je ne m’en vais pas, le Consolateur ne viendra point à vous ; mais si je m’en vais, je vous l’enverrai. Et quand il sera venu, il convaincra le monde en ce qui concerne le péché, la justice et le jugement : en ce qui concerne le péché, parce qu’ils ne croient pas en moi ; en ce qui concerne la justice, parce que je m’en vais à mon Père, et que vous ne me verrez plus ; en ce qui concerne le jugement, parce que le prince de ce monde est jugé. J’ai encore beaucoup de choses à vous dire, mais vous ne pouvez les porter maintenant. Cependant, quand il sera venu, lui, l’Esprit de vérité, il vous conduira dans toute la vérité ; car il ne parlera pas de lui-même, mais il dira tout ce qu’il aura entendu, et il vous annoncera les choses à venir. Jean 16:7–13.</w:t>
      </w:r>
    </w:p>
    <w:p>
      <w:pPr>
        <w:pStyle w:val="ArticleBody"/>
        <w:jc w:val="left"/>
      </w:pPr>
      <w:r>
        <w:rPr>
          <w:rFonts w:ascii="Times New Roman" w:hAnsi="Times New Roman" w:eastAsia="Times New Roman" w:cs="Times New Roman"/>
        </w:rPr>
        <w:t>Muṣẹ ti Ẹmí Mímọ́ nínú ìtọ́sọ́nà àwọn wúńdíá ọlọ́gbọ́n sínú “gbogbo òtítọ́,” nílò pé kí Ó bá ayé wí, èyí tí ó túmọ̀ sí láti kìlọ̀ tàbí dá ní lẹ́bi, nípa ẹ̀ṣẹ̀, òdodo, àti ìdájọ́, èyí tí ó jẹ́ àwọn ìgbésẹ̀ mẹ́ta kan náà gan-an tí ń mú jáde bóyá wúńdíá ọlọ́gbọ́n tàbí aṣiwèrè nínú Danieli orí kejìlá. Ìhìnrere tí Jesu ṣe àfihàn gẹ́gẹ́ bí iṣẹ́ Ẹmí Mímọ́ ni “òróró,” tí ń fi ìyàtọ̀ hàn láàárín ọlọ́gbọ́n àti ẹni búburú nínú Danieli kejìlá. Àwọn ènìyàn Ọlọ́run ti ọjọ́ ìkẹyìn gbọ́dọ̀ lóye ìmúgbòòrò ìmọ̀ fún ìran wọn, àti pé ìmọ̀ náà pẹ̀lú ìmòye wọn pé bóyá wọ́n jẹ́ wúńdíá aṣiwèrè tàbí ọlọ́gbọ́n nínú àkàwé Mátíù orí kẹẹ́dógún.</w:t>
      </w:r>
    </w:p>
    <w:p>
      <w:pPr>
        <w:pStyle w:val="ArticleScripture"/>
        <w:jc w:val="left"/>
      </w:pPr>
      <w:r>
        <w:rPr>
          <w:rFonts w:ascii="Times New Roman" w:hAnsi="Times New Roman" w:eastAsia="Times New Roman" w:cs="Times New Roman"/>
        </w:rPr>
        <w:t>«Жанға бу муқаддәс вәһийдә бу нәрсиләр көрситилди. У бәш дана қиз билән вәкил қилинған жамаәтни, чирақлири рәтлинип, йенип турған һалда көрди вә һаяҗан илкидә мундақ дәп нида қилди: “Муқәддәсләрниң сәври мана шудур; Худаниң әмирлирини вә Әйсаниң етиқадини сақлайдиғанлар мана булардур. Андин мән асмандин маңа мундақ дегән бир авазни аңлидим: Йезип қой, әмдидин башлап Рәббидә өлгән өлүкләр бәхитликтур: Һә, Роһ шундақ дәйду, улар өз әмгәклиридин арам алсун; чүнки уларниң әмәллири уларниң кәйнидин әгишип бариду.”»</w:t>
      </w:r>
    </w:p>
    <w:p>
      <w:pPr>
        <w:pStyle w:val="ArticleScripture"/>
        <w:jc w:val="left"/>
      </w:pPr>
      <w:r>
        <w:rPr>
          <w:rFonts w:ascii="Times New Roman" w:hAnsi="Times New Roman" w:eastAsia="Times New Roman" w:cs="Times New Roman"/>
        </w:rPr>
        <w:t>“Banyak orang yang mendengar pekabaran malaikat pertama dan kedua mengira bahwa mereka akan hidup untuk menyaksikan Kristus datang di awan-awan langit. Sekiranya semua orang yang mengaku percaya akan kebenaran menjalankan bagian mereka seperti gadis-gadis bijaksana, niscaya pekabaran itu sejak dahulu telah diberitakan kepada setiap bangsa, suku, bahasa, dan kaum. Tetapi lima orang bijaksana dan lima orang bodoh. Kebenaran itu seharusnya telah diberitakan oleh kesepuluh gadis itu, tetapi hanya lima yang telah mengadakan persediaan yang mutlak perlu untuk bergabung dengan rombongan yang berjalan dalam terang yang telah datang kepada mereka. Pekabaran malaikat ketiga diperlukan. Proklamasi ini harus disampaikan. Banyak orang yang telah pergi menyongsong Mempelai Pria di bawah pekabaran malaikat pertama dan kedua menolak pekabaran malaikat ketiga, pekabaran ujian yang terakhir yang akan diberikan kepada dunia.</w:t>
      </w:r>
    </w:p>
    <w:p>
      <w:pPr>
        <w:pStyle w:val="ArticleScripture"/>
        <w:jc w:val="left"/>
      </w:pPr>
      <w:r>
        <w:rPr>
          <w:rFonts w:ascii="Microsoft YaHei" w:hAnsi="Microsoft YaHei" w:eastAsia="Microsoft YaHei" w:cs="Microsoft YaHei"/>
        </w:rPr>
        <w:t>「啲類似嘅工作</w:t>
      </w:r>
      <w:r>
        <w:rPr>
          <w:rFonts w:ascii="Times New Roman" w:hAnsi="Times New Roman" w:eastAsia="Times New Roman" w:cs="Times New Roman"/>
        </w:rPr>
        <w:t>,</w:t>
      </w:r>
      <w:r>
        <w:rPr>
          <w:rFonts w:ascii="Microsoft YaHei" w:hAnsi="Microsoft YaHei" w:eastAsia="Microsoft YaHei" w:cs="Microsoft YaHei"/>
        </w:rPr>
        <w:t>當</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18</w:t>
      </w:r>
      <w:r>
        <w:rPr>
          <w:rFonts w:ascii="Microsoft YaHei" w:hAnsi="Microsoft YaHei" w:eastAsia="Microsoft YaHei" w:cs="Microsoft YaHei"/>
        </w:rPr>
        <w:t>章所表明嗰另一位天使傳出佢嘅信息嗰陣</w:t>
      </w:r>
      <w:r>
        <w:rPr>
          <w:rFonts w:ascii="Times New Roman" w:hAnsi="Times New Roman" w:eastAsia="Times New Roman" w:cs="Times New Roman"/>
        </w:rPr>
        <w:t>,</w:t>
      </w:r>
      <w:r>
        <w:rPr>
          <w:rFonts w:ascii="Microsoft YaHei" w:hAnsi="Microsoft YaHei" w:eastAsia="Microsoft YaHei" w:cs="Microsoft YaHei"/>
        </w:rPr>
        <w:t>都必定會成就</w:t>
      </w:r>
      <w:r>
        <w:rPr>
          <w:rFonts w:ascii="Times New Roman" w:hAnsi="Times New Roman" w:eastAsia="Times New Roman" w:cs="Times New Roman"/>
        </w:rPr>
        <w:t>.</w:t>
      </w:r>
      <w:r>
        <w:rPr>
          <w:rFonts w:ascii="Microsoft YaHei" w:hAnsi="Microsoft YaHei" w:eastAsia="Microsoft YaHei" w:cs="Microsoft YaHei"/>
        </w:rPr>
        <w:t>第一位、第二位同第三位天使嘅信息</w:t>
      </w:r>
      <w:r>
        <w:rPr>
          <w:rFonts w:ascii="Times New Roman" w:hAnsi="Times New Roman" w:eastAsia="Times New Roman" w:cs="Times New Roman"/>
        </w:rPr>
        <w:t>,</w:t>
      </w:r>
      <w:r>
        <w:rPr>
          <w:rFonts w:ascii="Microsoft YaHei" w:hAnsi="Microsoft YaHei" w:eastAsia="Microsoft YaHei" w:cs="Microsoft YaHei"/>
        </w:rPr>
        <w:t>都必須再一次被傳講</w:t>
      </w:r>
      <w:r>
        <w:rPr>
          <w:rFonts w:ascii="Times New Roman" w:hAnsi="Times New Roman" w:eastAsia="Times New Roman" w:cs="Times New Roman"/>
        </w:rPr>
        <w:t>.</w:t>
      </w:r>
      <w:r>
        <w:rPr>
          <w:rFonts w:ascii="Microsoft YaHei" w:hAnsi="Microsoft YaHei" w:eastAsia="Microsoft YaHei" w:cs="Microsoft YaHei"/>
        </w:rPr>
        <w:t>嗰個呼召要向教會發出：『我嘅民哪</w:t>
      </w:r>
      <w:r>
        <w:rPr>
          <w:rFonts w:ascii="Times New Roman" w:hAnsi="Times New Roman" w:eastAsia="Times New Roman" w:cs="Times New Roman"/>
        </w:rPr>
        <w:t>,</w:t>
      </w:r>
      <w:r>
        <w:rPr>
          <w:rFonts w:ascii="Microsoft YaHei" w:hAnsi="Microsoft YaHei" w:eastAsia="Microsoft YaHei" w:cs="Microsoft YaHei"/>
        </w:rPr>
        <w:t>你哋要從佢入面出嚟</w:t>
      </w:r>
      <w:r>
        <w:rPr>
          <w:rFonts w:ascii="Times New Roman" w:hAnsi="Times New Roman" w:eastAsia="Times New Roman" w:cs="Times New Roman"/>
        </w:rPr>
        <w:t>,</w:t>
      </w:r>
      <w:r>
        <w:rPr>
          <w:rFonts w:ascii="Microsoft YaHei" w:hAnsi="Microsoft YaHei" w:eastAsia="Microsoft YaHei" w:cs="Microsoft YaHei"/>
        </w:rPr>
        <w:t>免得有分於佢嘅罪</w:t>
      </w:r>
      <w:r>
        <w:rPr>
          <w:rFonts w:ascii="Times New Roman" w:hAnsi="Times New Roman" w:eastAsia="Times New Roman" w:cs="Times New Roman"/>
        </w:rPr>
        <w:t>.</w:t>
      </w:r>
      <w:r>
        <w:rPr>
          <w:rFonts w:ascii="Microsoft YaHei" w:hAnsi="Microsoft YaHei" w:eastAsia="Microsoft YaHei" w:cs="Microsoft YaHei"/>
        </w:rPr>
        <w:t>』『巴比倫大城傾倒了！傾倒了！成了鬼魔嘅住處</w:t>
      </w:r>
      <w:r>
        <w:rPr>
          <w:rFonts w:ascii="Times New Roman" w:hAnsi="Times New Roman" w:eastAsia="Times New Roman" w:cs="Times New Roman"/>
        </w:rPr>
        <w:t>,</w:t>
      </w:r>
      <w:r>
        <w:rPr>
          <w:rFonts w:ascii="Microsoft YaHei" w:hAnsi="Microsoft YaHei" w:eastAsia="Microsoft YaHei" w:cs="Microsoft YaHei"/>
        </w:rPr>
        <w:t>同各樣污穢之靈嘅巢穴</w:t>
      </w:r>
      <w:r>
        <w:rPr>
          <w:rFonts w:ascii="Times New Roman" w:hAnsi="Times New Roman" w:eastAsia="Times New Roman" w:cs="Times New Roman"/>
        </w:rPr>
        <w:t>,</w:t>
      </w:r>
      <w:r>
        <w:rPr>
          <w:rFonts w:ascii="Microsoft YaHei" w:hAnsi="Microsoft YaHei" w:eastAsia="Microsoft YaHei" w:cs="Microsoft YaHei"/>
        </w:rPr>
        <w:t>並各樣污穢可憎之雀鳥嘅籠</w:t>
      </w:r>
      <w:r>
        <w:rPr>
          <w:rFonts w:ascii="Times New Roman" w:hAnsi="Times New Roman" w:eastAsia="Times New Roman" w:cs="Times New Roman"/>
        </w:rPr>
        <w:t>.</w:t>
      </w:r>
      <w:r>
        <w:rPr>
          <w:rFonts w:ascii="Microsoft YaHei" w:hAnsi="Microsoft YaHei" w:eastAsia="Microsoft YaHei" w:cs="Microsoft YaHei"/>
        </w:rPr>
        <w:t>因為列國都飲咗佢淫亂大怒之酒</w:t>
      </w:r>
      <w:r>
        <w:rPr>
          <w:rFonts w:ascii="Times New Roman" w:hAnsi="Times New Roman" w:eastAsia="Times New Roman" w:cs="Times New Roman"/>
        </w:rPr>
        <w:t>;</w:t>
      </w:r>
      <w:r>
        <w:rPr>
          <w:rFonts w:ascii="Microsoft YaHei" w:hAnsi="Microsoft YaHei" w:eastAsia="Microsoft YaHei" w:cs="Microsoft YaHei"/>
        </w:rPr>
        <w:t>地上嘅君王與佢行淫</w:t>
      </w:r>
      <w:r>
        <w:rPr>
          <w:rFonts w:ascii="Times New Roman" w:hAnsi="Times New Roman" w:eastAsia="Times New Roman" w:cs="Times New Roman"/>
        </w:rPr>
        <w:t>;</w:t>
      </w:r>
      <w:r>
        <w:rPr>
          <w:rFonts w:ascii="Microsoft YaHei" w:hAnsi="Microsoft YaHei" w:eastAsia="Microsoft YaHei" w:cs="Microsoft YaHei"/>
        </w:rPr>
        <w:t>地上嘅客商因佢奢華太過就發咗財</w:t>
      </w:r>
      <w:r>
        <w:rPr>
          <w:rFonts w:ascii="Times New Roman" w:hAnsi="Times New Roman" w:eastAsia="Times New Roman" w:cs="Times New Roman"/>
        </w:rPr>
        <w:t>……</w:t>
      </w:r>
      <w:r>
        <w:rPr>
          <w:rFonts w:ascii="Microsoft YaHei" w:hAnsi="Microsoft YaHei" w:eastAsia="Microsoft YaHei" w:cs="Microsoft YaHei"/>
        </w:rPr>
        <w:t>我嘅民哪</w:t>
      </w:r>
      <w:r>
        <w:rPr>
          <w:rFonts w:ascii="Times New Roman" w:hAnsi="Times New Roman" w:eastAsia="Times New Roman" w:cs="Times New Roman"/>
        </w:rPr>
        <w:t>,</w:t>
      </w:r>
      <w:r>
        <w:rPr>
          <w:rFonts w:ascii="Microsoft YaHei" w:hAnsi="Microsoft YaHei" w:eastAsia="Microsoft YaHei" w:cs="Microsoft YaHei"/>
        </w:rPr>
        <w:t>你哋要從佢入面出嚟</w:t>
      </w:r>
      <w:r>
        <w:rPr>
          <w:rFonts w:ascii="Times New Roman" w:hAnsi="Times New Roman" w:eastAsia="Times New Roman" w:cs="Times New Roman"/>
        </w:rPr>
        <w:t>,</w:t>
      </w:r>
      <w:r>
        <w:rPr>
          <w:rFonts w:ascii="Microsoft YaHei" w:hAnsi="Microsoft YaHei" w:eastAsia="Microsoft YaHei" w:cs="Microsoft YaHei"/>
        </w:rPr>
        <w:t>免得有分於佢嘅罪</w:t>
      </w:r>
      <w:r>
        <w:rPr>
          <w:rFonts w:ascii="Times New Roman" w:hAnsi="Times New Roman" w:eastAsia="Times New Roman" w:cs="Times New Roman"/>
        </w:rPr>
        <w:t>,</w:t>
      </w:r>
      <w:r>
        <w:rPr>
          <w:rFonts w:ascii="Microsoft YaHei" w:hAnsi="Microsoft YaHei" w:eastAsia="Microsoft YaHei" w:cs="Microsoft YaHei"/>
        </w:rPr>
        <w:t>亦免得受佢所受嘅災殃</w:t>
      </w:r>
      <w:r>
        <w:rPr>
          <w:rFonts w:ascii="Times New Roman" w:hAnsi="Times New Roman" w:eastAsia="Times New Roman" w:cs="Times New Roman"/>
        </w:rPr>
        <w:t>;</w:t>
      </w:r>
      <w:r>
        <w:rPr>
          <w:rFonts w:ascii="Microsoft YaHei" w:hAnsi="Microsoft YaHei" w:eastAsia="Microsoft YaHei" w:cs="Microsoft YaHei"/>
        </w:rPr>
        <w:t>因為佢嘅罪惡滔天</w:t>
      </w:r>
      <w:r>
        <w:rPr>
          <w:rFonts w:ascii="Times New Roman" w:hAnsi="Times New Roman" w:eastAsia="Times New Roman" w:cs="Times New Roman"/>
        </w:rPr>
        <w:t>,</w:t>
      </w:r>
      <w:r>
        <w:rPr>
          <w:rFonts w:ascii="Microsoft YaHei" w:hAnsi="Microsoft YaHei" w:eastAsia="Microsoft YaHei" w:cs="Microsoft YaHei"/>
        </w:rPr>
        <w:t>神已經想起佢嘅不義</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18:2–5</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«Καθέναν στίχον αυτού του κεφαλαίου λάβε, και ανάγνωσέ τον προσεκτικώς, ιδιαιτέρως δε τους δύο τελευταίους: “Και φως λύχνου δεν θέλει φέγγει πλέον διόλου εν σοι· και φωνή νυμφίου και νύμφης δεν θέλει ακουσθή πλέον διόλου εν σοι· διότι οι έμποροί σου ήσαν οι μεγιστάνες της γης· διότι διά των φαρμακειών σου επλανήθησαν πάντα τα έθνη. Και εν αυτή ευρέθη αίμα προφητών και αγίων, και πάντων των εσφαγμένων επί της γης.”»</w:t>
      </w:r>
    </w:p>
    <w:p>
      <w:pPr>
        <w:pStyle w:val="ArticleScripture"/>
        <w:jc w:val="left"/>
      </w:pPr>
      <w:r>
        <w:rPr>
          <w:rFonts w:ascii="Times New Roman" w:hAnsi="Times New Roman" w:eastAsia="Times New Roman" w:cs="Times New Roman"/>
        </w:rPr>
        <w:t>« La parabole des dix vierges a été donnée par le Christ lui-même, et chaque détail doit être étudié avec soin. Un temps viendra où la porte sera fermée. Nous sommes représentés soit par les vierges sages, soit par les vierges folles. Nous ne pouvons pas à présent faire la distinction, et nous n’avons pas autorité pour dire qui sont les sages et qui sont les folles. Il y en a qui retiennent la vérité dans l’injustice, et ceux-ci paraissent extérieurement semblables aux sages. » Manuscript Releases, volume 16, 270.</w:t>
      </w:r>
    </w:p>
    <w:p>
      <w:pPr>
        <w:pStyle w:val="ArticleBody"/>
        <w:jc w:val="left"/>
      </w:pPr>
      <w:r>
        <w:rPr>
          <w:rFonts w:ascii="Times New Roman" w:hAnsi="Times New Roman" w:eastAsia="Times New Roman" w:cs="Times New Roman"/>
        </w:rPr>
        <w:t>Kama Waadventista ambao wanapaswa kuwaita wanaume na wanawake watoke Babeli wakati wa sheria ya Jumapili iliyo karibu kuja, “tunawakilishwa ama na wanawali wenye busara au na wanawali wapumbavu.” Kundi ambalo Yohana aliliona, “likiwakilishwa na wale wanawali watano wenye busara, taa zao zikiwa zimekarabatiwa na kuwaka,” ambao Yohana aliwatambulisha zaidi kuwa ni wale walio na “subira ya watakatifu,” na ambao “huzishika amri za Mungu na imani ya Yesu,” ndio wale mia moja arobaini na nne elfu ambao wanatakiwa kuzishika amri za Mungu, kuidhihirisha imani ya Yesu, na kujua kwamba wao ndio wanawali katika mfano wa Mathayo ishirini na tano. Si kwamba tu wanahitaji kuelewa kuwa wao ni ama wanawali wenye busara au wapumbavu, bali lazima warudie uzoefu uliowakilishwa na Danieli kuwa ni “kutakaswa, kufanywa weupe, na kujaribiwa.”</w:t>
      </w:r>
    </w:p>
    <w:p>
      <w:pPr>
        <w:pStyle w:val="ArticleScripture"/>
        <w:jc w:val="left"/>
      </w:pPr>
      <w:r>
        <w:rPr>
          <w:rFonts w:ascii="Times New Roman" w:hAnsi="Times New Roman" w:eastAsia="Times New Roman" w:cs="Times New Roman"/>
        </w:rPr>
        <w:t>Et ils chantaient comme un cantique nouveau devant le trône, et devant les quatre êtres vivants et les anciens; et personne ne pouvait apprendre ce cantique, si ce n’est les cent quarante-quatre mille, qui avaient été rachetés de la terre. Ce sont ceux qui ne se sont point souillés avec des femmes; car ils sont vierges. Ce sont ceux qui suivent l’Agneau partout où il va. Ce sont eux qui ont été rachetés d’entre les hommes, comme des prémices pour Dieu et pour l’Agneau. Et dans leur bouche il ne s’est point trouvé de fraude; car ils sont irrépréhensibles devant le trône de Dieu. Apocalypse 14:3–5.</w:t>
      </w:r>
    </w:p>
    <w:p>
      <w:pPr>
        <w:pStyle w:val="ArticleBody"/>
        <w:jc w:val="left"/>
      </w:pPr>
      <w:r>
        <w:rPr>
          <w:rFonts w:ascii="Times New Roman" w:hAnsi="Times New Roman" w:eastAsia="Times New Roman" w:cs="Times New Roman"/>
        </w:rPr>
        <w:t>Nan ngiruwel mutlawik and ekkewe limmefiyu me nimengeni mina mei pwisin pwarata lon Daniel sopwun engol me ruu, ir ekkewe pworausen letipen mi affata ngeni ewe Millerite movement ren ewe mesemesin angel, me pwe irina repwe churi fengen me mefi ngeni meinisin me wor pwan eu kapasen awewe won ewe movement ren ekkewe one hundred and forty-four thousand. Eu me leten ekkewe pworausen letip seniir, iei ewe minafon processun purification won unungat fan iten ewe parable ren ekkewe engol semirit. Ewe fosun letipen mi fos ngeni prophetic time, mei wewe ngeni me William Miller a weweiti, iei ewe “seven times,” seni Leviticus twenty-six, nge ena fosun letip a pwarata lon Daniel engol me ruu, me iei ewe mesemesin pworousen letipen lon historyen ewe Millerite mi kapas ngeni lon ena tesin.</w:t>
      </w:r>
    </w:p>
    <w:p>
      <w:pPr>
        <w:pStyle w:val="ArticleScripture"/>
        <w:jc w:val="left"/>
      </w:pPr>
      <w:r>
        <w:rPr>
          <w:rFonts w:ascii="Times New Roman" w:hAnsi="Times New Roman" w:eastAsia="Times New Roman" w:cs="Times New Roman"/>
        </w:rPr>
        <w:t>Men du, Daniel, göm orden och försegla boken intill ändens tid; många skall fara hit och dit, och kunskapen skall varda stor. Sedan såg jag, Daniel, och se, där stod två andra, den ene på denna sidan av flodens strand och den andre på den sidan av flodens strand. Och en sade till mannen, som var klädd i linnekläder och som var ovanför flodens vatten: Huru länge skall det dröja till änden på dessa underbara ting? Och jag hörde mannen, som var klädd i linnekläder och som var ovanför flodens vatten, när han lyfte sin högra hand och sin vänstra hand upp mot himmelen och svor vid honom som lever i evighet, att det skall vara för en tid, tider och en halv tid; och när han har fullbordat att krossa det heliga folkets makt, då skall allt detta fullbordas. Och jag hörde, men jag förstod det icke; då sade jag: O min herre, vad skall änden bliva på detta? Och han sade: Gå din väg, Daniel; ty dessa ord äro tillslutna och förseglade intill ändens tid. Många skola renas och göras vita och luttras; men de ogudaktiga skola handla ogudaktigt, och inga av de ogudaktiga skola förstå; men de förståndiga skola förstå. Daniel 12:4–10.</w:t>
      </w:r>
    </w:p>
    <w:p>
      <w:pPr>
        <w:pStyle w:val="ArticleBody"/>
        <w:jc w:val="left"/>
      </w:pPr>
      <w:r>
        <w:rPr>
          <w:rFonts w:ascii="Times New Roman" w:hAnsi="Times New Roman" w:eastAsia="Times New Roman" w:cs="Times New Roman"/>
        </w:rPr>
        <w:t>Ce passage commence par le livre de Daniel scellé jusqu’au temps de la fin, et le passage s’achève par le livre de Daniel scellé jusqu’au temps de la fin. Entre le premier et le dernier scellement des paroles de Daniel, le témoignage juré de « Celui qui vit éternellement » était « que ce sera pour un temps, des temps, et une moitié; et quand il aura achevé de disperser la puissance du peuple saint, toutes ces choses seront accomplies ».</w:t>
      </w:r>
    </w:p>
    <w:p>
      <w:pPr>
        <w:pStyle w:val="ArticleBody"/>
        <w:jc w:val="left"/>
      </w:pPr>
      <w:r>
        <w:rPr>
          <w:rFonts w:ascii="Times New Roman" w:hAnsi="Times New Roman" w:eastAsia="Times New Roman" w:cs="Times New Roman"/>
        </w:rPr>
        <w:t>Onipa a ɔde saa adanse a wɔde ntam sii so mae no ne Onii a ɔwɔ nsu no so, a ɔhyehyɛ nwera atade. Daniel huu ɔbɔfo bi wɔ Hiddekel Asubɔnten no ano biako, na ɔbɔfo foforo nso wɔ ano no fam foforo, na saa abɔfo no mu biako bisaa asɛmmisa bi, a Onii a ɔwɔ nsu no so no buae. Asɛmmisa no ne se, “Ɛbɛkyɛ dɛn?” Eyi ne nsɛm a edi kan mmienu no ara pɛpɛɛpɛ wɔ asɛmmisa a wobisaa wɔ Daniel ti 8 nkyekyɛm 13 no mu.</w:t>
      </w:r>
    </w:p>
    <w:p>
      <w:pPr>
        <w:pStyle w:val="ArticleScripture"/>
        <w:jc w:val="left"/>
      </w:pPr>
      <w:r>
        <w:rPr>
          <w:rFonts w:ascii="Times New Roman" w:hAnsi="Times New Roman" w:eastAsia="Times New Roman" w:cs="Times New Roman"/>
        </w:rPr>
        <w:t>Puis j’entendis un saint qui parlait, et un autre saint dit à ce saint-là qui parlait : Jusques à quand durera la vision concernant le sacrifice perpétuel et la transgression dévastatrice, pour livrer à la fois le sanctuaire et l’armée afin qu’ils soient foulés aux pieds ? Et il me dit : Jusqu’à deux mille trois cents jours ; puis le sanctuaire sera purifié. Daniel 8:13, 14.</w:t>
      </w:r>
    </w:p>
    <w:p>
      <w:pPr>
        <w:pStyle w:val="ArticleBody"/>
        <w:jc w:val="left"/>
      </w:pPr>
      <w:r>
        <w:rPr>
          <w:rFonts w:ascii="Times New Roman" w:hAnsi="Times New Roman" w:eastAsia="Times New Roman" w:cs="Times New Roman"/>
        </w:rPr>
        <w:t>Den samme profetiske struktur findes i begge samtaler, bortset fra at Daniel i kapitel otte befinder sig ved Ulajfloden og ikke ved Hiddekel-floden. I kapitel otte sagde en engel (hellig) „til den hellige, som talte: Hvor længe?“ Det hebraiske ord, der er oversat med „den hellige“, er det hebraiske ord „Palmoni“, som betyder den vidunderlige Tæller eller Hemmelighedernes Tæller. I kapitel otte var det Jesus (den vidunderlige Tæller), der talte, og en anden hellig spurgte Jesus (den hellige): „Hvor længe?“</w:t>
      </w:r>
    </w:p>
    <w:p>
      <w:pPr>
        <w:pStyle w:val="ArticleBody"/>
        <w:jc w:val="left"/>
      </w:pPr>
      <w:r>
        <w:rPr>
          <w:rFonts w:ascii="Times New Roman" w:hAnsi="Times New Roman" w:eastAsia="Times New Roman" w:cs="Times New Roman"/>
        </w:rPr>
        <w:t>In capitulo dece-duo, ille qui stat super aquam interrogatur ab angelo, qui erat super unam ripam fluminis Hiddekel, “quamdiu.” Hi duo loci simul considerandi sunt, linea super lineam. Prima quaestio capitis octavi est: “quamdiu visio de conculcatione sanctuarii et exercitus, quae primum per paganismum, deinde per papalismum efficitur?” Quaestio capitis duodecimi est: “quamdiu erit usque ad finem horum mirabilium?” Responsum iuratum tunc datur a Palmoni, Admirabili Numeratore, qui lineis erat indutus et super aquas stabat: “erit in tempus, tempora, et dimidium; et cum compleverit dispergere potentiam populi sancti, omnia haec consummabuntur.”</w:t>
      </w:r>
    </w:p>
    <w:p>
      <w:pPr>
        <w:pStyle w:val="ArticleBody"/>
        <w:jc w:val="left"/>
      </w:pPr>
      <w:r>
        <w:rPr>
          <w:rFonts w:ascii="Times New Roman" w:hAnsi="Times New Roman" w:eastAsia="Times New Roman" w:cs="Times New Roman"/>
        </w:rPr>
        <w:t>Le domande dei fiumi Ulai e Hiddekel sono: «Fino a quando durerà la visione della dispersione del popolo di Dio, compiuta prima dal paganesimo e poi dal papalismo, mentre essi calpestano il santuario e l’esercito?» La risposta è che il calpestamento termina nel 1798, quando ha inizio l’opera di Palmoni nell’innalzare il tempio millerita, e poi si conclude quarantasei anni dopo, nel 1844, quando il santuario doveva essere purificato.</w:t>
      </w:r>
    </w:p>
    <w:p>
      <w:pPr>
        <w:pStyle w:val="ArticleBody"/>
        <w:jc w:val="left"/>
      </w:pPr>
      <w:r>
        <w:rPr>
          <w:rFonts w:ascii="Times New Roman" w:hAnsi="Times New Roman" w:eastAsia="Times New Roman" w:cs="Times New Roman"/>
        </w:rPr>
        <w:t>Дар боби дувоздаҳум Дониёл ин гуфтугӯро шунид, «аммо нафаҳмидам». Дониёл хоҳиши худро барои фаҳмидан баён кард, чунон ки бо аз Масеҳ пурсидани ӯ нишон дода шудааст: «Эй оғои ман, анҷоми ин чизҳо чӣ хоҳад буд?» Баёни хоҳиши ӯ барои фаҳмидан намояндаи хоҳиши бокирагони хирадманд барои фаҳмидан буд, зеро тамоми ин муколама миёни ду ишора ба мӯҳр зада шудани китоби Дониёл то замони охир қарор дода шудааст. Дониёл намояндаи он хоҳише буд, ки бар Вилям Миллер гузошта шуд, то ҳақиқате, ки дар соли 1798 мӯҳрбардорӣ гардида буд, дарк намояд; ва нахустин ҳақиқате, ки ӯ ба шинохтани он роҳнамоӣ шуд, поймол гардидани қудсгоҳ ва лашкар буд, аввал аз ҷониби бутпарастӣ ва сипас папият, дар тӯли он даврае ки қудрати қавми муқаддас пароканда карда мешуд, дар иҷрои «ҳафт замон»-и Левиён бисту шаш.</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बेल्तशज्जर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छब्बीसवें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आधारशिला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 be nyɔɔŋ lɛi ŋmaŋmɔŋ ni kɛɛ ni egbɔ tsɛ ko lɛi shikpɔŋ lɛi ni.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ຂະນະນັ້ນ</w:t>
      </w:r>
      <w:r>
        <w:rPr>
          <w:rFonts w:ascii="Times New Roman" w:hAnsi="Times New Roman" w:eastAsia="Times New Roman" w:cs="Times New Roman"/>
        </w:rPr>
        <w:t xml:space="preserve"> </w:t>
      </w:r>
      <w:r>
        <w:rPr>
          <w:rFonts w:ascii="Leelawadee UI" w:hAnsi="Leelawadee UI" w:eastAsia="Leelawadee UI" w:cs="Leelawadee UI"/>
        </w:rPr>
        <w:t>ອານາຈັກແຫ່ງສະຫວັນຈະຖືກປຽບເໝືອນດັ່ງພົມມະຈາລີສິບຄົນ</w:t>
      </w:r>
      <w:r>
        <w:rPr>
          <w:rFonts w:ascii="Times New Roman" w:hAnsi="Times New Roman" w:eastAsia="Times New Roman" w:cs="Times New Roman"/>
        </w:rPr>
        <w:t xml:space="preserve"> </w:t>
      </w:r>
      <w:r>
        <w:rPr>
          <w:rFonts w:ascii="Leelawadee UI" w:hAnsi="Leelawadee UI" w:eastAsia="Leelawadee UI" w:cs="Leelawadee UI"/>
        </w:rPr>
        <w:t>ຜູ້ໄດ້ຖືໂຄມໄຟຂອງຕົນ</w:t>
      </w:r>
      <w:r>
        <w:rPr>
          <w:rFonts w:ascii="Times New Roman" w:hAnsi="Times New Roman" w:eastAsia="Times New Roman" w:cs="Times New Roman"/>
        </w:rPr>
        <w:t xml:space="preserve"> </w:t>
      </w:r>
      <w:r>
        <w:rPr>
          <w:rFonts w:ascii="Leelawadee UI" w:hAnsi="Leelawadee UI" w:eastAsia="Leelawadee UI" w:cs="Leelawadee UI"/>
        </w:rPr>
        <w:t>ແລະອອກໄປຕ້ອນຮັບເຈົ້າບ່າວ</w:t>
      </w:r>
      <w:r>
        <w:rPr>
          <w:rFonts w:ascii="Times New Roman" w:hAnsi="Times New Roman" w:eastAsia="Times New Roman" w:cs="Times New Roman"/>
        </w:rPr>
        <w:t xml:space="preserve">. </w:t>
      </w:r>
      <w:r>
        <w:rPr>
          <w:rFonts w:ascii="Leelawadee UI" w:hAnsi="Leelawadee UI" w:eastAsia="Leelawadee UI" w:cs="Leelawadee UI"/>
        </w:rPr>
        <w:t>ໃນພວກນັ້ນ</w:t>
      </w:r>
      <w:r>
        <w:rPr>
          <w:rFonts w:ascii="Times New Roman" w:hAnsi="Times New Roman" w:eastAsia="Times New Roman" w:cs="Times New Roman"/>
        </w:rPr>
        <w:t xml:space="preserve"> </w:t>
      </w:r>
      <w:r>
        <w:rPr>
          <w:rFonts w:ascii="Leelawadee UI" w:hAnsi="Leelawadee UI" w:eastAsia="Leelawadee UI" w:cs="Leelawadee UI"/>
        </w:rPr>
        <w:t>ຫ້າຄົນມີປັນຍາ</w:t>
      </w:r>
      <w:r>
        <w:rPr>
          <w:rFonts w:ascii="Times New Roman" w:hAnsi="Times New Roman" w:eastAsia="Times New Roman" w:cs="Times New Roman"/>
        </w:rPr>
        <w:t xml:space="preserve"> </w:t>
      </w:r>
      <w:r>
        <w:rPr>
          <w:rFonts w:ascii="Leelawadee UI" w:hAnsi="Leelawadee UI" w:eastAsia="Leelawadee UI" w:cs="Leelawadee UI"/>
        </w:rPr>
        <w:t>ແລະອີກຫ້າຄົນໂງ່</w:t>
      </w:r>
      <w:r>
        <w:rPr>
          <w:rFonts w:ascii="Times New Roman" w:hAnsi="Times New Roman" w:eastAsia="Times New Roman" w:cs="Times New Roman"/>
        </w:rPr>
        <w:t xml:space="preserve">. </w:t>
      </w:r>
      <w:r>
        <w:rPr>
          <w:rFonts w:ascii="Leelawadee UI" w:hAnsi="Leelawadee UI" w:eastAsia="Leelawadee UI" w:cs="Leelawadee UI"/>
        </w:rPr>
        <w:t>ຝ່າຍຄົນໂງ່ນັ້ນ</w:t>
      </w:r>
      <w:r>
        <w:rPr>
          <w:rFonts w:ascii="Times New Roman" w:hAnsi="Times New Roman" w:eastAsia="Times New Roman" w:cs="Times New Roman"/>
        </w:rPr>
        <w:t xml:space="preserve"> </w:t>
      </w:r>
      <w:r>
        <w:rPr>
          <w:rFonts w:ascii="Leelawadee UI" w:hAnsi="Leelawadee UI" w:eastAsia="Leelawadee UI" w:cs="Leelawadee UI"/>
        </w:rPr>
        <w:t>ເມື່ອຖືໂຄມໄຟໄປ</w:t>
      </w:r>
      <w:r>
        <w:rPr>
          <w:rFonts w:ascii="Times New Roman" w:hAnsi="Times New Roman" w:eastAsia="Times New Roman" w:cs="Times New Roman"/>
        </w:rPr>
        <w:t xml:space="preserve"> </w:t>
      </w:r>
      <w:r>
        <w:rPr>
          <w:rFonts w:ascii="Leelawadee UI" w:hAnsi="Leelawadee UI" w:eastAsia="Leelawadee UI" w:cs="Leelawadee UI"/>
        </w:rPr>
        <w:t>ກໍບໍ່ໄດ້ນໍ້າມັນໄປນຳ</w:t>
      </w:r>
      <w:r>
        <w:rPr>
          <w:rFonts w:ascii="Times New Roman" w:hAnsi="Times New Roman" w:eastAsia="Times New Roman" w:cs="Times New Roman"/>
        </w:rPr>
        <w:t xml:space="preserve">; </w:t>
      </w:r>
      <w:r>
        <w:rPr>
          <w:rFonts w:ascii="Leelawadee UI" w:hAnsi="Leelawadee UI" w:eastAsia="Leelawadee UI" w:cs="Leelawadee UI"/>
        </w:rPr>
        <w:t>ແຕ່ຝ່າຍຄົນມີປັນຍານັ້ນ</w:t>
      </w:r>
      <w:r>
        <w:rPr>
          <w:rFonts w:ascii="Times New Roman" w:hAnsi="Times New Roman" w:eastAsia="Times New Roman" w:cs="Times New Roman"/>
        </w:rPr>
        <w:t xml:space="preserve"> </w:t>
      </w:r>
      <w:r>
        <w:rPr>
          <w:rFonts w:ascii="Leelawadee UI" w:hAnsi="Leelawadee UI" w:eastAsia="Leelawadee UI" w:cs="Leelawadee UI"/>
        </w:rPr>
        <w:t>ໄດ້ເອົານໍ້າມັນໃສ່ພາຊະນະໄປພ້ອມກັບໂຄມໄຟຂອງຕົນ</w:t>
      </w:r>
      <w:r>
        <w:rPr>
          <w:rFonts w:ascii="Times New Roman" w:hAnsi="Times New Roman" w:eastAsia="Times New Roman" w:cs="Times New Roman"/>
        </w:rPr>
        <w:t xml:space="preserve">. </w:t>
      </w:r>
      <w:r>
        <w:rPr>
          <w:rFonts w:ascii="Leelawadee UI" w:hAnsi="Leelawadee UI" w:eastAsia="Leelawadee UI" w:cs="Leelawadee UI"/>
        </w:rPr>
        <w:t>ເມື່ອເຈົ້າບ່າວຊັກຊ້າຢູ່</w:t>
      </w:r>
      <w:r>
        <w:rPr>
          <w:rFonts w:ascii="Times New Roman" w:hAnsi="Times New Roman" w:eastAsia="Times New Roman" w:cs="Times New Roman"/>
        </w:rPr>
        <w:t xml:space="preserve"> </w:t>
      </w:r>
      <w:r>
        <w:rPr>
          <w:rFonts w:ascii="Leelawadee UI" w:hAnsi="Leelawadee UI" w:eastAsia="Leelawadee UI" w:cs="Leelawadee UI"/>
        </w:rPr>
        <w:t>ພວກນາງທັງໝົດກໍພາກັນງ່ວງ</w:t>
      </w:r>
      <w:r>
        <w:rPr>
          <w:rFonts w:ascii="Times New Roman" w:hAnsi="Times New Roman" w:eastAsia="Times New Roman" w:cs="Times New Roman"/>
        </w:rPr>
        <w:t xml:space="preserve"> </w:t>
      </w:r>
      <w:r>
        <w:rPr>
          <w:rFonts w:ascii="Leelawadee UI" w:hAnsi="Leelawadee UI" w:eastAsia="Leelawadee UI" w:cs="Leelawadee UI"/>
        </w:rPr>
        <w:t>ແລະຫຼັບໄປ</w:t>
      </w:r>
      <w:r>
        <w:rPr>
          <w:rFonts w:ascii="Times New Roman" w:hAnsi="Times New Roman" w:eastAsia="Times New Roman" w:cs="Times New Roman"/>
        </w:rPr>
        <w:t xml:space="preserve">. </w:t>
      </w:r>
      <w:r>
        <w:rPr>
          <w:rFonts w:ascii="Leelawadee UI" w:hAnsi="Leelawadee UI" w:eastAsia="Leelawadee UI" w:cs="Leelawadee UI"/>
        </w:rPr>
        <w:t>ແຕ່ພໍຮອດເວລາທ່ຽງຄືນ</w:t>
      </w:r>
      <w:r>
        <w:rPr>
          <w:rFonts w:ascii="Times New Roman" w:hAnsi="Times New Roman" w:eastAsia="Times New Roman" w:cs="Times New Roman"/>
        </w:rPr>
        <w:t xml:space="preserve"> </w:t>
      </w:r>
      <w:r>
        <w:rPr>
          <w:rFonts w:ascii="Leelawadee UI" w:hAnsi="Leelawadee UI" w:eastAsia="Leelawadee UI" w:cs="Leelawadee UI"/>
        </w:rPr>
        <w:t>ກໍມີສຽງຮ້ອງຂຶ້ນວ່າ</w:t>
      </w:r>
      <w:r>
        <w:rPr>
          <w:rFonts w:ascii="Times New Roman" w:hAnsi="Times New Roman" w:eastAsia="Times New Roman" w:cs="Times New Roman"/>
        </w:rPr>
        <w:t xml:space="preserve">, </w:t>
      </w:r>
      <w:r>
        <w:rPr>
          <w:rFonts w:ascii="Leelawadee UI" w:hAnsi="Leelawadee UI" w:eastAsia="Leelawadee UI" w:cs="Leelawadee UI"/>
        </w:rPr>
        <w:t>ຈົ່ງເບິ່ງ</w:t>
      </w:r>
      <w:r>
        <w:rPr>
          <w:rFonts w:ascii="Times New Roman" w:hAnsi="Times New Roman" w:eastAsia="Times New Roman" w:cs="Times New Roman"/>
        </w:rPr>
        <w:t xml:space="preserve">, </w:t>
      </w:r>
      <w:r>
        <w:rPr>
          <w:rFonts w:ascii="Leelawadee UI" w:hAnsi="Leelawadee UI" w:eastAsia="Leelawadee UI" w:cs="Leelawadee UI"/>
        </w:rPr>
        <w:t>ເຈົ້າບ່າວມາແລ້ວ</w:t>
      </w:r>
      <w:r>
        <w:rPr>
          <w:rFonts w:ascii="Times New Roman" w:hAnsi="Times New Roman" w:eastAsia="Times New Roman" w:cs="Times New Roman"/>
        </w:rPr>
        <w:t xml:space="preserve">; </w:t>
      </w:r>
      <w:r>
        <w:rPr>
          <w:rFonts w:ascii="Leelawadee UI" w:hAnsi="Leelawadee UI" w:eastAsia="Leelawadee UI" w:cs="Leelawadee UI"/>
        </w:rPr>
        <w:t>ຈົ່ງອອກໄປຕ້ອນຮັບທ່ານເຖີດ</w:t>
      </w:r>
      <w:r>
        <w:rPr>
          <w:rFonts w:ascii="Times New Roman" w:hAnsi="Times New Roman" w:eastAsia="Times New Roman" w:cs="Times New Roman"/>
        </w:rPr>
        <w:t xml:space="preserve">. </w:t>
      </w:r>
      <w:r>
        <w:rPr>
          <w:rFonts w:ascii="Leelawadee UI" w:hAnsi="Leelawadee UI" w:eastAsia="Leelawadee UI" w:cs="Leelawadee UI"/>
        </w:rPr>
        <w:t>ແລ້ວພົມມະຈາລີເຫຼົ່ານັ້ນທັງໝົດກໍລຸກຂຶ້ນ</w:t>
      </w:r>
      <w:r>
        <w:rPr>
          <w:rFonts w:ascii="Times New Roman" w:hAnsi="Times New Roman" w:eastAsia="Times New Roman" w:cs="Times New Roman"/>
        </w:rPr>
        <w:t xml:space="preserve"> </w:t>
      </w:r>
      <w:r>
        <w:rPr>
          <w:rFonts w:ascii="Leelawadee UI" w:hAnsi="Leelawadee UI" w:eastAsia="Leelawadee UI" w:cs="Leelawadee UI"/>
        </w:rPr>
        <w:t>ແລະຕົກແຕ່ງໂຄມໄຟຂອງຕົນ</w:t>
      </w:r>
      <w:r>
        <w:rPr>
          <w:rFonts w:ascii="Times New Roman" w:hAnsi="Times New Roman" w:eastAsia="Times New Roman" w:cs="Times New Roman"/>
        </w:rPr>
        <w:t xml:space="preserve">. </w:t>
      </w:r>
      <w:r>
        <w:rPr>
          <w:rFonts w:ascii="Leelawadee UI" w:hAnsi="Leelawadee UI" w:eastAsia="Leelawadee UI" w:cs="Leelawadee UI"/>
        </w:rPr>
        <w:t>ຝ່າຍຄົນໂງ່ໄດ້ກ່າວກັບຄົນມີປັນຍາວ່າ</w:t>
      </w:r>
      <w:r>
        <w:rPr>
          <w:rFonts w:ascii="Times New Roman" w:hAnsi="Times New Roman" w:eastAsia="Times New Roman" w:cs="Times New Roman"/>
        </w:rPr>
        <w:t xml:space="preserve">, </w:t>
      </w:r>
      <w:r>
        <w:rPr>
          <w:rFonts w:ascii="Leelawadee UI" w:hAnsi="Leelawadee UI" w:eastAsia="Leelawadee UI" w:cs="Leelawadee UI"/>
        </w:rPr>
        <w:t>ຂໍນໍ້າມັນຂອງພວກທ່ານໃຫ້ພວກເຮົາແນ່</w:t>
      </w:r>
      <w:r>
        <w:rPr>
          <w:rFonts w:ascii="Times New Roman" w:hAnsi="Times New Roman" w:eastAsia="Times New Roman" w:cs="Times New Roman"/>
        </w:rPr>
        <w:t xml:space="preserve">; </w:t>
      </w:r>
      <w:r>
        <w:rPr>
          <w:rFonts w:ascii="Leelawadee UI" w:hAnsi="Leelawadee UI" w:eastAsia="Leelawadee UI" w:cs="Leelawadee UI"/>
        </w:rPr>
        <w:t>ເພາະໂຄມໄຟຂອງພວກເຮົາກຳລັງຈະມອດລົງ</w:t>
      </w:r>
      <w:r>
        <w:rPr>
          <w:rFonts w:ascii="Times New Roman" w:hAnsi="Times New Roman" w:eastAsia="Times New Roman" w:cs="Times New Roman"/>
        </w:rPr>
        <w:t xml:space="preserve">. </w:t>
      </w:r>
      <w:r>
        <w:rPr>
          <w:rFonts w:ascii="Leelawadee UI" w:hAnsi="Leelawadee UI" w:eastAsia="Leelawadee UI" w:cs="Leelawadee UI"/>
        </w:rPr>
        <w:t>ແຕ່ຄົນມີປັນຍາຕອບວ່າ</w:t>
      </w:r>
      <w:r>
        <w:rPr>
          <w:rFonts w:ascii="Times New Roman" w:hAnsi="Times New Roman" w:eastAsia="Times New Roman" w:cs="Times New Roman"/>
        </w:rPr>
        <w:t xml:space="preserve">, </w:t>
      </w:r>
      <w:r>
        <w:rPr>
          <w:rFonts w:ascii="Leelawadee UI" w:hAnsi="Leelawadee UI" w:eastAsia="Leelawadee UI" w:cs="Leelawadee UI"/>
        </w:rPr>
        <w:t>ບໍ່ໄດ້ດອກ</w:t>
      </w:r>
      <w:r>
        <w:rPr>
          <w:rFonts w:ascii="Times New Roman" w:hAnsi="Times New Roman" w:eastAsia="Times New Roman" w:cs="Times New Roman"/>
        </w:rPr>
        <w:t xml:space="preserve"> </w:t>
      </w:r>
      <w:r>
        <w:rPr>
          <w:rFonts w:ascii="Leelawadee UI" w:hAnsi="Leelawadee UI" w:eastAsia="Leelawadee UI" w:cs="Leelawadee UI"/>
        </w:rPr>
        <w:t>ເກງວ່າຈະບໍ່ພໍສຳລັບພວກເຮົາແລະພວກທ່ານ</w:t>
      </w:r>
      <w:r>
        <w:rPr>
          <w:rFonts w:ascii="Times New Roman" w:hAnsi="Times New Roman" w:eastAsia="Times New Roman" w:cs="Times New Roman"/>
        </w:rPr>
        <w:t xml:space="preserve">; </w:t>
      </w:r>
      <w:r>
        <w:rPr>
          <w:rFonts w:ascii="Leelawadee UI" w:hAnsi="Leelawadee UI" w:eastAsia="Leelawadee UI" w:cs="Leelawadee UI"/>
        </w:rPr>
        <w:t>ແຕ່ຈົ່ງໄປຫາຄົນຂາຍ</w:t>
      </w:r>
      <w:r>
        <w:rPr>
          <w:rFonts w:ascii="Times New Roman" w:hAnsi="Times New Roman" w:eastAsia="Times New Roman" w:cs="Times New Roman"/>
        </w:rPr>
        <w:t xml:space="preserve"> </w:t>
      </w:r>
      <w:r>
        <w:rPr>
          <w:rFonts w:ascii="Leelawadee UI" w:hAnsi="Leelawadee UI" w:eastAsia="Leelawadee UI" w:cs="Leelawadee UI"/>
        </w:rPr>
        <w:t>ແລະຊື້ສຳລັບຕົນເອງເຖີດ</w:t>
      </w:r>
      <w:r>
        <w:rPr>
          <w:rFonts w:ascii="Times New Roman" w:hAnsi="Times New Roman" w:eastAsia="Times New Roman" w:cs="Times New Roman"/>
        </w:rPr>
        <w:t xml:space="preserve">. </w:t>
      </w:r>
      <w:r>
        <w:rPr>
          <w:rFonts w:ascii="Leelawadee UI" w:hAnsi="Leelawadee UI" w:eastAsia="Leelawadee UI" w:cs="Leelawadee UI"/>
        </w:rPr>
        <w:t>ແລະໃນຂະນະທີ່ພວກນາງໄປຊື້ນັ້ນ</w:t>
      </w:r>
      <w:r>
        <w:rPr>
          <w:rFonts w:ascii="Times New Roman" w:hAnsi="Times New Roman" w:eastAsia="Times New Roman" w:cs="Times New Roman"/>
        </w:rPr>
        <w:t xml:space="preserve"> </w:t>
      </w:r>
      <w:r>
        <w:rPr>
          <w:rFonts w:ascii="Leelawadee UI" w:hAnsi="Leelawadee UI" w:eastAsia="Leelawadee UI" w:cs="Leelawadee UI"/>
        </w:rPr>
        <w:t>ເຈົ້າບ່າວກໍມາ</w:t>
      </w:r>
      <w:r>
        <w:rPr>
          <w:rFonts w:ascii="Times New Roman" w:hAnsi="Times New Roman" w:eastAsia="Times New Roman" w:cs="Times New Roman"/>
        </w:rPr>
        <w:t xml:space="preserve">; </w:t>
      </w:r>
      <w:r>
        <w:rPr>
          <w:rFonts w:ascii="Leelawadee UI" w:hAnsi="Leelawadee UI" w:eastAsia="Leelawadee UI" w:cs="Leelawadee UI"/>
        </w:rPr>
        <w:t>ແລະບັນດາຜູ້ທີ່ພ້ອມແລ້ວກໍໄດ້ເຂົ້າໄປກັບທ່ານໃນງານມົງຄຸນ</w:t>
      </w:r>
      <w:r>
        <w:rPr>
          <w:rFonts w:ascii="Times New Roman" w:hAnsi="Times New Roman" w:eastAsia="Times New Roman" w:cs="Times New Roman"/>
        </w:rPr>
        <w:t xml:space="preserve"> </w:t>
      </w:r>
      <w:r>
        <w:rPr>
          <w:rFonts w:ascii="Leelawadee UI" w:hAnsi="Leelawadee UI" w:eastAsia="Leelawadee UI" w:cs="Leelawadee UI"/>
        </w:rPr>
        <w:t>ແລະປະຕູກໍຖືກປິດ</w:t>
      </w:r>
      <w:r>
        <w:rPr>
          <w:rFonts w:ascii="Times New Roman" w:hAnsi="Times New Roman" w:eastAsia="Times New Roman" w:cs="Times New Roman"/>
        </w:rPr>
        <w:t xml:space="preserve">. </w:t>
      </w:r>
      <w:r>
        <w:rPr>
          <w:rFonts w:ascii="Leelawadee UI" w:hAnsi="Leelawadee UI" w:eastAsia="Leelawadee UI" w:cs="Leelawadee UI"/>
        </w:rPr>
        <w:t>ຫຼັງຈາກນັ້ນ</w:t>
      </w:r>
      <w:r>
        <w:rPr>
          <w:rFonts w:ascii="Times New Roman" w:hAnsi="Times New Roman" w:eastAsia="Times New Roman" w:cs="Times New Roman"/>
        </w:rPr>
        <w:t xml:space="preserve"> </w:t>
      </w:r>
      <w:r>
        <w:rPr>
          <w:rFonts w:ascii="Leelawadee UI" w:hAnsi="Leelawadee UI" w:eastAsia="Leelawadee UI" w:cs="Leelawadee UI"/>
        </w:rPr>
        <w:t>ພົມມະຈາລີອີກພວກໜຶ່ງກໍມາເໝືອນກັນ</w:t>
      </w:r>
      <w:r>
        <w:rPr>
          <w:rFonts w:ascii="Times New Roman" w:hAnsi="Times New Roman" w:eastAsia="Times New Roman" w:cs="Times New Roman"/>
        </w:rPr>
        <w:t xml:space="preserve"> </w:t>
      </w:r>
      <w:r>
        <w:rPr>
          <w:rFonts w:ascii="Leelawadee UI" w:hAnsi="Leelawadee UI" w:eastAsia="Leelawadee UI" w:cs="Leelawadee UI"/>
        </w:rPr>
        <w:t>ໂດຍຮ້ອງວ່າ</w:t>
      </w:r>
      <w:r>
        <w:rPr>
          <w:rFonts w:ascii="Times New Roman" w:hAnsi="Times New Roman" w:eastAsia="Times New Roman" w:cs="Times New Roman"/>
        </w:rPr>
        <w:t xml:space="preserve">, </w:t>
      </w:r>
      <w:r>
        <w:rPr>
          <w:rFonts w:ascii="Leelawadee UI" w:hAnsi="Leelawadee UI" w:eastAsia="Leelawadee UI" w:cs="Leelawadee UI"/>
        </w:rPr>
        <w:t>ນາຍເອີຍ</w:t>
      </w:r>
      <w:r>
        <w:rPr>
          <w:rFonts w:ascii="Times New Roman" w:hAnsi="Times New Roman" w:eastAsia="Times New Roman" w:cs="Times New Roman"/>
        </w:rPr>
        <w:t xml:space="preserve">, </w:t>
      </w:r>
      <w:r>
        <w:rPr>
          <w:rFonts w:ascii="Leelawadee UI" w:hAnsi="Leelawadee UI" w:eastAsia="Leelawadee UI" w:cs="Leelawadee UI"/>
        </w:rPr>
        <w:t>ນາຍເອີຍ</w:t>
      </w:r>
      <w:r>
        <w:rPr>
          <w:rFonts w:ascii="Times New Roman" w:hAnsi="Times New Roman" w:eastAsia="Times New Roman" w:cs="Times New Roman"/>
        </w:rPr>
        <w:t xml:space="preserve">, </w:t>
      </w:r>
      <w:r>
        <w:rPr>
          <w:rFonts w:ascii="Leelawadee UI" w:hAnsi="Leelawadee UI" w:eastAsia="Leelawadee UI" w:cs="Leelawadee UI"/>
        </w:rPr>
        <w:t>ຂໍເປີດໃຫ້ພວກຂ້ານ້ອຍແນ່</w:t>
      </w:r>
      <w:r>
        <w:rPr>
          <w:rFonts w:ascii="Times New Roman" w:hAnsi="Times New Roman" w:eastAsia="Times New Roman" w:cs="Times New Roman"/>
        </w:rPr>
        <w:t xml:space="preserve">. </w:t>
      </w:r>
      <w:r>
        <w:rPr>
          <w:rFonts w:ascii="Leelawadee UI" w:hAnsi="Leelawadee UI" w:eastAsia="Leelawadee UI" w:cs="Leelawadee UI"/>
        </w:rPr>
        <w:t>ແຕ່ທ່ານຕອບວ່າ</w:t>
      </w:r>
      <w:r>
        <w:rPr>
          <w:rFonts w:ascii="Times New Roman" w:hAnsi="Times New Roman" w:eastAsia="Times New Roman" w:cs="Times New Roman"/>
        </w:rPr>
        <w:t xml:space="preserve">, </w:t>
      </w:r>
      <w:r>
        <w:rPr>
          <w:rFonts w:ascii="Leelawadee UI" w:hAnsi="Leelawadee UI" w:eastAsia="Leelawadee UI" w:cs="Leelawadee UI"/>
        </w:rPr>
        <w:t>ເຮົາບອກຄວາມຈິງແກ່ພວກເຈົ້າວ່າ</w:t>
      </w:r>
      <w:r>
        <w:rPr>
          <w:rFonts w:ascii="Times New Roman" w:hAnsi="Times New Roman" w:eastAsia="Times New Roman" w:cs="Times New Roman"/>
        </w:rPr>
        <w:t xml:space="preserve"> </w:t>
      </w:r>
      <w:r>
        <w:rPr>
          <w:rFonts w:ascii="Leelawadee UI" w:hAnsi="Leelawadee UI" w:eastAsia="Leelawadee UI" w:cs="Leelawadee UI"/>
        </w:rPr>
        <w:t>ເຮົາບໍ່ຮູ້ຈັກພວກເຈົ້າ</w:t>
      </w:r>
      <w:r>
        <w:rPr>
          <w:rFonts w:ascii="Times New Roman" w:hAnsi="Times New Roman" w:eastAsia="Times New Roman" w:cs="Times New Roman"/>
        </w:rPr>
        <w:t xml:space="preserve">. </w:t>
      </w:r>
      <w:r>
        <w:rPr>
          <w:rFonts w:ascii="Leelawadee UI" w:hAnsi="Leelawadee UI" w:eastAsia="Leelawadee UI" w:cs="Leelawadee UI"/>
        </w:rPr>
        <w:t>ເຫດສະນັ້ນ</w:t>
      </w:r>
      <w:r>
        <w:rPr>
          <w:rFonts w:ascii="Times New Roman" w:hAnsi="Times New Roman" w:eastAsia="Times New Roman" w:cs="Times New Roman"/>
        </w:rPr>
        <w:t xml:space="preserve"> </w:t>
      </w:r>
      <w:r>
        <w:rPr>
          <w:rFonts w:ascii="Leelawadee UI" w:hAnsi="Leelawadee UI" w:eastAsia="Leelawadee UI" w:cs="Leelawadee UI"/>
        </w:rPr>
        <w:t>ຈົ່ງເຝົ້າລະວັງໄວ້</w:t>
      </w:r>
      <w:r>
        <w:rPr>
          <w:rFonts w:ascii="Times New Roman" w:hAnsi="Times New Roman" w:eastAsia="Times New Roman" w:cs="Times New Roman"/>
        </w:rPr>
        <w:t xml:space="preserve">; </w:t>
      </w:r>
      <w:r>
        <w:rPr>
          <w:rFonts w:ascii="Leelawadee UI" w:hAnsi="Leelawadee UI" w:eastAsia="Leelawadee UI" w:cs="Leelawadee UI"/>
        </w:rPr>
        <w:t>ເພາະພວກເຈົ້າບໍ່ຮູ້ທັງວັນ</w:t>
      </w:r>
      <w:r>
        <w:rPr>
          <w:rFonts w:ascii="Times New Roman" w:hAnsi="Times New Roman" w:eastAsia="Times New Roman" w:cs="Times New Roman"/>
        </w:rPr>
        <w:t xml:space="preserve"> </w:t>
      </w:r>
      <w:r>
        <w:rPr>
          <w:rFonts w:ascii="Leelawadee UI" w:hAnsi="Leelawadee UI" w:eastAsia="Leelawadee UI" w:cs="Leelawadee UI"/>
        </w:rPr>
        <w:t>ຫຼືໂມງ</w:t>
      </w:r>
      <w:r>
        <w:rPr>
          <w:rFonts w:ascii="Times New Roman" w:hAnsi="Times New Roman" w:eastAsia="Times New Roman" w:cs="Times New Roman"/>
        </w:rPr>
        <w:t xml:space="preserve"> </w:t>
      </w:r>
      <w:r>
        <w:rPr>
          <w:rFonts w:ascii="Leelawadee UI" w:hAnsi="Leelawadee UI" w:eastAsia="Leelawadee UI" w:cs="Leelawadee UI"/>
        </w:rPr>
        <w:t>ທີ່ບຸດມະນຸດຈະມາ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“Beesli yeroo baayʼee sodaachisaa taʼe keessa jiraachaa jirra; keessaa keenya tokko illee dhufaatii Kiristoosiif qophii barbaaduu keessatti harkifachuu hin qabu. Namni tokko illee fakkeenya durboota gowwootaa hin hordofin; yeroo balaa guddaan sun dhufu dura qophii amala isa yeroo sanatti dhaabachuuf isa dandeessisu argachuun eeguun nagaa akka taʼe hin yaadin. Yeroo keessummoonni waamaman seenanii qoratamanitti qajeelummaa Kiristoos barbaaduun baayʼee tura. Amma yeroo qajeelummaa Kiristoos uffachuu ti,—uffata cidhaa isa Irbaata Fuudha Hoolichaatti seenuuf si qopheessu. Fakkeenyicha keessatti, durboonni gowwoonni zayitii kadhatanii, gaaffii isaaniitiin argachuu dadhaban jedhamee ibsamu. Kunis warra yeroo balaa keessa dhaabachuuf of qopheessanii amala hin guddifanne kan agarsiisu dha. Inni isaanii olloota isaanii dhaqanii, “Amala keessan naa kennaa, yoo kana hin taane nan bada” jechuu isaanii fakkaata. Warri ogeeyyiin zayitii isaanii ibsaa liqimfamaa durboota gowwootaatti dabarsuu hin dandeenye. Amalli kan dabarfamu miti. Inni bitamuu yookaan gurguramuu miti; argatamuu qaba. Gooftaan yeroo qorumsaa keessatti amala qajeelaa argachuuf carraa nama dhuunfaa hundumaaf kenneera; garuu karaa nama tokko amala inni muuxannoowwan ulfaatoo keessa darbuu, Barsiisaa Guddicha irraa barumsa barachuu, akka qorumsaa keessatti obsaan mulʼatuu fi amantii akka gaarran wanta hin dandaʼamne fakkaatan kaasuu dandaʼu shaakaluun guddifate nama biraatti dabarsu hin qopheessine. Urgaa jaalalaa dabarsuun hin dandaʼamu,—nama biraatiif laafina, ogummaa ittiin nama waliin hojjetan, fi jabaatanii itti fufuu kennuun hin dandaʼamu. Garaan nama tokko garaa nama biraatti jaalala Waaqayyoo fi namummaa dhangalaasuun hin dandaʼamu.”</w:t>
      </w:r>
    </w:p>
    <w:p>
      <w:pPr>
        <w:pStyle w:val="ArticleScripture"/>
        <w:jc w:val="left"/>
      </w:pPr>
      <w:r>
        <w:rPr>
          <w:rFonts w:ascii="Times New Roman" w:hAnsi="Times New Roman" w:eastAsia="Times New Roman" w:cs="Times New Roman"/>
        </w:rPr>
        <w:t>“Ngunit dumarating ang araw, at ito’y malapit na sa atin, na ang bawat yugto ng pagkatao ay mahahayag sa pamamagitan ng natatanging tukso. Yaong mga mananatiling tapat sa simulain, yaong magsasagawa ng pananampalataya hanggang sa wakas, ay yaong mga napatunayang tapat sa ilalim ng pagsubok at kapighatian sa mga nagdaang oras ng kanilang kapanahunan ng biyaya, at humubog ng mga karakter ayon sa wangis ni Cristo. Sila yaong mga naglinang ng malapit na pakikipag-ugnayan kay Cristo, na, sa pamamagitan ng kaniyang karunungan at biyaya, ay mga nakikibahagi sa banal na kalikasan. Ngunit walang sinumang tao ang makapagbibigay sa iba ng pusong deboto at mararangal na katangian ng pag-iisip, at makapupuno sa kaniyang mga kakulangan sa pamamagitan ng kapangyarihang moral. Ang bawat isa sa atin ay may magagawa para sa isa’t isa sa pamamagitan ng pagbibigay sa mga tao ng isang halimbawang gaya ng kay Cristo, at sa gayon ay maimpluwensiyahan sila na lumapit kay Cristo para sa katuwiran na kung wala ito’y hindi sila makatatayo sa paghuhukom. Dapat na may panalanging isaalang-alang ng mga tao ang mahalagang usapin ng paghubog ng karakter, at iangkop ang kanilang mga karakter ayon sa banal na huwaran.” The Youth Instructor, Enero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cinquante-cinq</dc:title>
  <dc:subject>Révélation de la dernière vision de Daniel : un parcours parallèle de vierges sages</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