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Nomor Seratus Lima Puluh Enam</w:t>
      </w:r>
    </w:p>
    <w:p>
      <w:pPr>
        <w:pStyle w:val="ArticleSubtitle"/>
        <w:jc w:val="left"/>
      </w:pPr>
      <w:r>
        <w:rPr>
          <w:rFonts w:ascii="Arial" w:hAnsi="Arial" w:eastAsia="Arial" w:cs="Arial"/>
        </w:rPr>
        <w:t>Révélation de la dernière vision de Daniel : une perspective millérite sur les vérités prophétiques pour aujourd’hui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Nous commençons notre examen de la dernière vision de Daniel en appliquant le principe représenté par l’Alpha et l’Oméga, lequel établit qu’Il identifie toujours la fin avec le commencement. Par conséquent, Belteshatsar, qui est Daniel dans le tout premier verset de la dernière vision de Daniel, serait aussi représenté dans la dernière partie de cette même vision. Nous avons identifié que Belteshatsar représente le peuple de l’alliance de Dieu des derniers jours, qui comprend le « chazon », vision de l’histoire prophétique, représenté par le mot « chose » au verset un. Cette vision de l’histoire prophétique est les « sept temps » de Lévitique vingt-six, qui équivalent à deux mille cinq cent vingt ans. Belteshatsar comprend aussi la « vision » au verset un, laquelle est la vision « mareh » de deux mille trois cents ans, qui représente l’apparition soudaine du Christ.</w:t>
      </w:r>
    </w:p>
    <w:p>
      <w:pPr>
        <w:pStyle w:val="ArticleBody"/>
        <w:jc w:val="left"/>
      </w:pPr>
      <w:r>
        <w:rPr>
          <w:rFonts w:ascii="Times New Roman" w:hAnsi="Times New Roman" w:eastAsia="Times New Roman" w:cs="Times New Roman"/>
        </w:rPr>
        <w:t>Sa kabanata dose, kinakatawan ni Daniel ang kilusan ng unang anghel at gayundin ang kilusan ng ikatlong anghel, sapagkat kapuwa tinutupad ng dalawang kilusang ito ang talinghaga ng sampung dalaga. Sa kabanata dose ay may hindi bababa sa limang katotohanan na naging bahagi ng kilusang Millerita, na kumakatawan sa mga katotohanang dapat ding maranasan at maunawaan ng kilusan ng ikatlong anghel. Kapuwa tinutupad ng dalawang kilusang ito ang talinghaga ng sampung dalaga, at ang matatalinong dalaga sa kapuwa kilusan ay kinakailangang maunawaan ang katotohanang yaon na ukol sa hula. Kailangang maunawaan ng kapuwa kilusan ang unang maka-hulang katotohanan na inakay si Miller upang kilalanin, gaya ng kinakatawan ng “pitong panahon” ng Levitico beinte-sais. Ang iba pang tatlong magkakatulad na karanasan at pagkaunawa ay masusumpungan sa mga huling talata ng kabanata.</w:t>
      </w:r>
    </w:p>
    <w:p>
      <w:pPr>
        <w:pStyle w:val="ArticleScripture"/>
        <w:jc w:val="left"/>
      </w:pPr>
      <w:r>
        <w:rPr>
          <w:rFonts w:ascii="Times New Roman" w:hAnsi="Times New Roman" w:eastAsia="Times New Roman" w:cs="Times New Roman"/>
        </w:rPr>
        <w:t>Na tangu wakati ambapo sadaka ya kila siku itaondolewa, na chukizo liletalo ukiwa kusimamishwa, kutakuwa na siku elfu moja mia mbili na tisini. Heri yeye angojeaye, naye afikaye siku elfu moja mia tatu na thelathini na tano. Bali enenda zako hata mwisho utakapowadia; kwa maana utastarehe, nawe utasimama katika sehemu yako mwishoni mwa zile siku. Danieli 12:11–13.</w:t>
      </w:r>
    </w:p>
    <w:p>
      <w:pPr>
        <w:pStyle w:val="ArticleBody"/>
        <w:jc w:val="left"/>
      </w:pPr>
      <w:r>
        <w:rPr>
          <w:rFonts w:ascii="Times New Roman" w:hAnsi="Times New Roman" w:eastAsia="Times New Roman" w:cs="Times New Roman"/>
        </w:rPr>
        <w:t>Ibisigazwa bisigaye by’Imana mu gitabo cy’Ibyahishuwe bifite ibimenyetso bitatu by’ingenzi by’ubuhanuzi. Byubahiriza amategeko y’Imana, bifite kwizera kwa Yesu kandi bikagumya Umwuka w’Ubuhanuzi.</w:t>
      </w:r>
    </w:p>
    <w:p>
      <w:pPr>
        <w:pStyle w:val="ArticleScripture"/>
        <w:jc w:val="left"/>
      </w:pPr>
      <w:r>
        <w:rPr>
          <w:rFonts w:ascii="Times New Roman" w:hAnsi="Times New Roman" w:eastAsia="Times New Roman" w:cs="Times New Roman"/>
        </w:rPr>
        <w:t>Et il me dit : Écris : Heureux ceux qui sont appelés au festin des noces de l’Agneau. Et il me dit : Ce sont là les véritables paroles de Dieu. Et je tombai à ses pieds pour l’adorer. Mais il me dit : Garde-toi de le faire ! Je suis ton compagnon de service, et celui de tes frères qui ont le témoignage de Jésus : adore Dieu ; car le témoignage de Jésus est l’esprit de la prophétie. Apocalypse 19:9, 10.</w:t>
      </w:r>
    </w:p>
    <w:p>
      <w:pPr>
        <w:pStyle w:val="ArticleBody"/>
        <w:jc w:val="left"/>
      </w:pPr>
      <w:r>
        <w:rPr>
          <w:rFonts w:ascii="Times New Roman" w:hAnsi="Times New Roman" w:eastAsia="Times New Roman" w:cs="Times New Roman"/>
        </w:rPr>
        <w:t>Les millérites ont compris à juste titre que « le perpétuel », dans le livre de Daniel, représentait le paganisme, et que le « temps où le perpétuel » fut « ôté » était l’année 508. Rejeter cette vérité, c’est rejeter l’autorité du « témoignage de Jésus », qui « est l’esprit de prophétie », car l’Esprit de prophétie identifie clairement que les millérites avaient raison dans leur compréhension du « perpétuel ».</w:t>
      </w:r>
    </w:p>
    <w:p>
      <w:pPr>
        <w:pStyle w:val="ArticleScripture"/>
        <w:jc w:val="left"/>
      </w:pPr>
      <w:r>
        <w:rPr>
          <w:rFonts w:ascii="Times New Roman" w:hAnsi="Times New Roman" w:eastAsia="Times New Roman" w:cs="Times New Roman"/>
        </w:rPr>
        <w:t>“Then I saw in relation to the ‘Daily,’ that the word ‘sacrifice’ was supplied by man’s wisdom, and does not belong to the text; and that the Lord gave the correct view of it to those who gave the judgment hour cry. When union existed, before 1844, nearly all were united on the correct view of the ‘Daily;’ but since 1844, in the confusion, other views have been embraced, and darkness and confusion has followed.” Review and Herald, November 1, 1850.</w:t>
      </w:r>
    </w:p>
    <w:p>
      <w:pPr>
        <w:pStyle w:val="ArticleBody"/>
        <w:jc w:val="left"/>
      </w:pPr>
      <w:r>
        <w:rPr>
          <w:rFonts w:ascii="Nirmala UI" w:hAnsi="Nirmala UI" w:eastAsia="Nirmala UI" w:cs="Nirmala UI"/>
        </w:rPr>
        <w:t>मिलेराइटहरूले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बुझेका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538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पोपसत्ताको</w:t>
      </w:r>
      <w:r>
        <w:rPr>
          <w:rFonts w:ascii="Times New Roman" w:hAnsi="Times New Roman" w:eastAsia="Times New Roman" w:cs="Times New Roman"/>
        </w:rPr>
        <w:t xml:space="preserve"> </w:t>
      </w:r>
      <w:r>
        <w:rPr>
          <w:rFonts w:ascii="Nirmala UI" w:hAnsi="Nirmala UI" w:eastAsia="Nirmala UI" w:cs="Nirmala UI"/>
        </w:rPr>
        <w:t>शक्तिमा</w:t>
      </w:r>
      <w:r>
        <w:rPr>
          <w:rFonts w:ascii="Times New Roman" w:hAnsi="Times New Roman" w:eastAsia="Times New Roman" w:cs="Times New Roman"/>
        </w:rPr>
        <w:t xml:space="preserve"> </w:t>
      </w:r>
      <w:r>
        <w:rPr>
          <w:rFonts w:ascii="Nirmala UI" w:hAnsi="Nirmala UI" w:eastAsia="Nirmala UI" w:cs="Nirmala UI"/>
        </w:rPr>
        <w:t>उदय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उभिएको</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शक्तिको</w:t>
      </w:r>
      <w:r>
        <w:rPr>
          <w:rFonts w:ascii="Times New Roman" w:hAnsi="Times New Roman" w:eastAsia="Times New Roman" w:cs="Times New Roman"/>
        </w:rPr>
        <w:t xml:space="preserve"> </w:t>
      </w:r>
      <w:r>
        <w:rPr>
          <w:rFonts w:ascii="Nirmala UI" w:hAnsi="Nirmala UI" w:eastAsia="Nirmala UI" w:cs="Nirmala UI"/>
        </w:rPr>
        <w:t>प्रतिरोध</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508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हटाइयो।</w:t>
      </w:r>
      <w:r>
        <w:rPr>
          <w:rFonts w:ascii="Times New Roman" w:hAnsi="Times New Roman" w:eastAsia="Times New Roman" w:cs="Times New Roman"/>
        </w:rPr>
        <w:t xml:space="preserve"> </w:t>
      </w:r>
      <w:r>
        <w:rPr>
          <w:rFonts w:ascii="Nirmala UI" w:hAnsi="Nirmala UI" w:eastAsia="Nirmala UI" w:cs="Nirmala UI"/>
        </w:rPr>
        <w:t>मिलेराइटहरू</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बुझाइ</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जनहरू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बेल्तेशज्जरद्वारा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देख्नेछन्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508 </w:t>
      </w:r>
      <w:r>
        <w:rPr>
          <w:rFonts w:ascii="Nirmala UI" w:hAnsi="Nirmala UI" w:eastAsia="Nirmala UI" w:cs="Nirmala UI"/>
        </w:rPr>
        <w:t>देखि</w:t>
      </w:r>
      <w:r>
        <w:rPr>
          <w:rFonts w:ascii="Times New Roman" w:hAnsi="Times New Roman" w:eastAsia="Times New Roman" w:cs="Times New Roman"/>
        </w:rPr>
        <w:t xml:space="preserve"> 538 </w:t>
      </w:r>
      <w:r>
        <w:rPr>
          <w:rFonts w:ascii="Nirmala UI" w:hAnsi="Nirmala UI" w:eastAsia="Nirmala UI" w:cs="Nirmala UI"/>
        </w:rPr>
        <w:t>सम्मको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कालावधि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बप्तिस्मामा</w:t>
      </w:r>
      <w:r>
        <w:rPr>
          <w:rFonts w:ascii="Times New Roman" w:hAnsi="Times New Roman" w:eastAsia="Times New Roman" w:cs="Times New Roman"/>
        </w:rPr>
        <w:t xml:space="preserve"> </w:t>
      </w:r>
      <w:r>
        <w:rPr>
          <w:rFonts w:ascii="Nirmala UI" w:hAnsi="Nirmala UI" w:eastAsia="Nirmala UI" w:cs="Nirmala UI"/>
        </w:rPr>
        <w:t>सामर्थ्यप्राप्त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तयारीका</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वर्षहरूले</w:t>
      </w:r>
      <w:r>
        <w:rPr>
          <w:rFonts w:ascii="Times New Roman" w:hAnsi="Times New Roman" w:eastAsia="Times New Roman" w:cs="Times New Roman"/>
        </w:rPr>
        <w:t xml:space="preserve"> </w:t>
      </w:r>
      <w:r>
        <w:rPr>
          <w:rFonts w:ascii="Nirmala UI" w:hAnsi="Nirmala UI" w:eastAsia="Nirmala UI" w:cs="Nirmala UI"/>
        </w:rPr>
        <w:t>दिएको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देख्नेछन्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कालावधिले</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1776 </w:t>
      </w:r>
      <w:r>
        <w:rPr>
          <w:rFonts w:ascii="Nirmala UI" w:hAnsi="Nirmala UI" w:eastAsia="Nirmala UI" w:cs="Nirmala UI"/>
        </w:rPr>
        <w:t>देखि</w:t>
      </w:r>
      <w:r>
        <w:rPr>
          <w:rFonts w:ascii="Times New Roman" w:hAnsi="Times New Roman" w:eastAsia="Times New Roman" w:cs="Times New Roman"/>
        </w:rPr>
        <w:t xml:space="preserve"> 1798 </w:t>
      </w:r>
      <w:r>
        <w:rPr>
          <w:rFonts w:ascii="Nirmala UI" w:hAnsi="Nirmala UI" w:eastAsia="Nirmala UI" w:cs="Nirmala UI"/>
        </w:rPr>
        <w:t>सम्मको</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अवधिलाई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अवधिहरूले</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11, 2001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कानूनमा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लगाइने</w:t>
      </w:r>
      <w:r>
        <w:rPr>
          <w:rFonts w:ascii="Times New Roman" w:hAnsi="Times New Roman" w:eastAsia="Times New Roman" w:cs="Times New Roman"/>
        </w:rPr>
        <w:t xml:space="preserve"> </w:t>
      </w:r>
      <w:r>
        <w:rPr>
          <w:rFonts w:ascii="Nirmala UI" w:hAnsi="Nirmala UI" w:eastAsia="Nirmala UI" w:cs="Nirmala UI"/>
        </w:rPr>
        <w:t>समयलाई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गर्दछन्।</w:t>
      </w:r>
    </w:p>
    <w:p>
      <w:pPr>
        <w:pStyle w:val="ArticleBody"/>
        <w:jc w:val="left"/>
      </w:pPr>
      <w:r>
        <w:rPr>
          <w:rFonts w:ascii="Times New Roman" w:hAnsi="Times New Roman" w:eastAsia="Times New Roman" w:cs="Times New Roman"/>
        </w:rPr>
        <w:t>In hoofdstuk twaalf vertegenwoordigt Daniël de Millerieten en de vijf belangrijke waarheden en ervaringen die herhaald moeten worden in hen die door Beltesazar worden voorgesteld. De derde waarheid en ervaring van de Millerieten is „de juiste opvatting van het ‘dagelijks,’ … de Heere gaf … aan hen die de roep van het uur van het oordeel verkondigden.” Die waarheid verwerpen, is de geschriften van Ellen White verwerpen, welke de Geest der Profetie zijn. De vierde waarheid en ervaring van de Millerieten, en van de boodschappers van de derde engel, is de profetie van de dertienhonderd vijfendertig jaren, die begon in het jaar waarin „het dagelijks” werd weggenomen, in 508.</w:t>
      </w:r>
    </w:p>
    <w:p>
      <w:pPr>
        <w:pStyle w:val="ArticleBody"/>
        <w:jc w:val="left"/>
      </w:pPr>
      <w:r>
        <w:rPr>
          <w:rFonts w:ascii="Times New Roman" w:hAnsi="Times New Roman" w:eastAsia="Times New Roman" w:cs="Times New Roman"/>
        </w:rPr>
        <w:t>Ho qala ka 508, lilemo tse sekete le makholo a mararo a mashome a mararo a metso e mehlano li u isa ho 1843, empa e se feela ho 1843, hobane boporofeta bo supa ka ho toba letsatsi la ho qetela ka ho fetisisa la 1843, hobane bo re, “Ho lehlohonolo ea letileng, ea fihlang matsatsing a sekete le makholo a mararo a mahlano le mashome a mararo.” Lentsoe la Seheberu le fetoletsoeng e le “ea fihlang,” ke “naga,” ’me le bolela “ho ama”, kapa “ho beha matsoho holim’a”. Ka hona boporofeta bo bolela, “ho lehlohonolo ea letileng, ea” amang kapa ea behang matsoho holim’a 1843.</w:t>
      </w:r>
    </w:p>
    <w:p>
      <w:pPr>
        <w:pStyle w:val="ArticleBody"/>
        <w:jc w:val="left"/>
      </w:pPr>
      <w:r>
        <w:rPr>
          <w:rFonts w:ascii="Times New Roman" w:hAnsi="Times New Roman" w:eastAsia="Times New Roman" w:cs="Times New Roman"/>
        </w:rPr>
        <w:t>[Target language “ff” not specified. Please provide the language name so I can translate accurately.]</w:t>
      </w:r>
    </w:p>
    <w:p>
      <w:pPr>
        <w:pStyle w:val="ArticleBody"/>
        <w:jc w:val="left"/>
      </w:pPr>
      <w:r>
        <w:rPr>
          <w:rFonts w:ascii="Times New Roman" w:hAnsi="Times New Roman" w:eastAsia="Times New Roman" w:cs="Times New Roman"/>
        </w:rPr>
        <w:t>L’expérience de la première déception, comme accomplissement de la parabole des dix vierges, est comprise et répétée chez ceux qui sont représentés par Belteshazzar. La cinquième vérité et expérience qui sera reconnue par ceux qui sont représentés par Belteshazzar est qu’« à la fin des jours », Daniel « se lèvera pour son héritage ».</w:t>
      </w:r>
    </w:p>
    <w:p>
      <w:pPr>
        <w:pStyle w:val="ArticleScripture"/>
        <w:jc w:val="left"/>
      </w:pPr>
      <w:r>
        <w:rPr>
          <w:rFonts w:ascii="Times New Roman" w:hAnsi="Times New Roman" w:eastAsia="Times New Roman" w:cs="Times New Roman"/>
        </w:rPr>
        <w:t>«Даниил стоит на своём жребии с тех пор, как была снята печать и свет истины воссиял над его видениями. Он стоит на своём жребии, неся свидетельство, которое надлежало уразуметь в конце дней». Sermons and Talks, volume 1, 225, 226.</w:t>
      </w:r>
    </w:p>
    <w:p>
      <w:pPr>
        <w:pStyle w:val="ArticleBody"/>
        <w:jc w:val="left"/>
      </w:pPr>
      <w:r>
        <w:rPr>
          <w:rFonts w:ascii="Times New Roman" w:hAnsi="Times New Roman" w:eastAsia="Times New Roman" w:cs="Times New Roman"/>
        </w:rPr>
        <w:t>Abalandeli bakaMiller badlula enkambisweni yokuhlanzwa eyafezwa ukwanda kolwazi okwavela encwadini kaDaniyeli lapho ivulwa ngo-1798. Labo abamelwe nguBelteshazzar bayodlula enkambisweni yokuhlanzwa eyafezwa ukwanda kolwazi okwavela encwadini kaDaniyeli lapho ivulwa ngo-1989. Bayakuqonda futhi ukuthi incwadi kaDaniyeli inenhloso ekhethekile ekubekweni uphawu kwabeyikhulu namashumi amane nane ezinkulungwane.</w:t>
      </w:r>
    </w:p>
    <w:p>
      <w:pPr>
        <w:pStyle w:val="ArticleScripture"/>
        <w:jc w:val="left"/>
      </w:pPr>
      <w:r>
        <w:rPr>
          <w:rFonts w:ascii="Times New Roman" w:hAnsi="Times New Roman" w:eastAsia="Times New Roman" w:cs="Times New Roman"/>
        </w:rPr>
        <w:t>« Lorsque Dieu confie à un homme une œuvre particulière à accomplir, celui-ci doit se tenir dans le lot et à la place qui lui sont assignés, comme le fit Daniel, prêt à répondre à l’appel de Dieu, prêt à accomplir son dessein. » Manuscript Releases, volume 6, 108.</w:t>
      </w:r>
    </w:p>
    <w:p>
      <w:pPr>
        <w:pStyle w:val="ArticleBody"/>
        <w:jc w:val="left"/>
      </w:pPr>
      <w:r>
        <w:rPr>
          <w:rFonts w:ascii="Times New Roman" w:hAnsi="Times New Roman" w:eastAsia="Times New Roman" w:cs="Times New Roman"/>
        </w:rPr>
        <w:t>Mivelatra taloha avy ao Laodikia, ireo izay asehon’i Beltesazara dia hahafantatra fa amin’ny alalan’ny bokin’i Daniela sy ny Apokalypsy, izay boky iray ihany, no anatanterahana ny fifohazana farany.</w:t>
      </w:r>
    </w:p>
    <w:p>
      <w:pPr>
        <w:pStyle w:val="ArticleScripture"/>
        <w:jc w:val="left"/>
      </w:pPr>
      <w:r>
        <w:rPr>
          <w:rFonts w:ascii="Times New Roman" w:hAnsi="Times New Roman" w:eastAsia="Times New Roman" w:cs="Times New Roman"/>
        </w:rPr>
        <w:t>«Երբ Դանիելի և Հայտնության գրքերը ավելի լավ հասկացվեն, հավատացյալները բոլորովին այլ կրոնական փորձառություն կունենան... Հայտնության ուսումնասիրությունից մի բան անպայման կհասկացվի, այն է՝ որ Աստծու և Իր ժողովրդի միջև կապը սերտ և վճռական է»։ The Faith I Live By, 345.</w:t>
      </w:r>
    </w:p>
    <w:p>
      <w:pPr>
        <w:pStyle w:val="ArticleBody"/>
        <w:jc w:val="left"/>
      </w:pPr>
      <w:r>
        <w:rPr>
          <w:rFonts w:ascii="Times New Roman" w:hAnsi="Times New Roman" w:eastAsia="Times New Roman" w:cs="Times New Roman"/>
        </w:rPr>
        <w:t>As former Laodiceans, they will have recognized their Laodicean condition, and recognized that they were spiritually as dead as a valley of dry bones, and in response to the straight testimony concerning their dead and lost condition they will recognize their need to be alive as the first priority.</w:t>
      </w:r>
    </w:p>
    <w:p>
      <w:pPr>
        <w:pStyle w:val="ArticleScripture"/>
        <w:jc w:val="left"/>
      </w:pPr>
      <w:r>
        <w:rPr>
          <w:rFonts w:ascii="Times New Roman" w:hAnsi="Times New Roman" w:eastAsia="Times New Roman" w:cs="Times New Roman"/>
        </w:rPr>
        <w:t>“Uamsho wa utauwa wa kweli miongoni mwetu ndio hitaji letu kuu zaidi na la dharura kuliko yote. Kutafuta hili kunapaswa kuwa kazi yetu ya kwanza.” Selected Messages, book 1, 121.</w:t>
      </w:r>
    </w:p>
    <w:p>
      <w:pPr>
        <w:pStyle w:val="ArticleBody"/>
        <w:jc w:val="left"/>
      </w:pPr>
      <w:r>
        <w:rPr>
          <w:rFonts w:ascii="Times New Roman" w:hAnsi="Times New Roman" w:eastAsia="Times New Roman" w:cs="Times New Roman"/>
        </w:rPr>
        <w:t>Promisi Alkitab adalah bahwa setiap orang yang mencari akan menemukan, dan Roh Kudus kemudian akan menuntun mereka untuk memahami bahwa kitab Daniel dan Wahyu itulah yang menghasilkan kebangunan rohani yang diperlukan.</w:t>
      </w:r>
    </w:p>
    <w:p>
      <w:pPr>
        <w:pStyle w:val="ArticleScripture"/>
        <w:jc w:val="left"/>
      </w:pPr>
      <w:r>
        <w:rPr>
          <w:rFonts w:ascii="Times New Roman" w:hAnsi="Times New Roman" w:eastAsia="Times New Roman" w:cs="Times New Roman"/>
        </w:rPr>
        <w:t>« Lorsque nous, en tant que peuple, comprendrons ce que ce livre signifie pour nous, on verra parmi nous un grand réveil. » Testimonies to Ministers, 113.</w:t>
      </w:r>
    </w:p>
    <w:p>
      <w:pPr>
        <w:pStyle w:val="ArticleBody"/>
        <w:jc w:val="left"/>
      </w:pPr>
      <w:r>
        <w:rPr>
          <w:rFonts w:ascii="Times New Roman" w:hAnsi="Times New Roman" w:eastAsia="Times New Roman" w:cs="Times New Roman"/>
        </w:rPr>
        <w:t>Na ngwụcha nke ọhụụ ikpeazụ Daniel, dịka e gosiri ya n’isi nke iri na abụọ, a na-akọwapụta ahụmahụ ahụ nke na-amịpụta ndị ọgbụgba-ndụ ikpeazụ nke Chineke n’ụbọchị ikpeazụ, dịka Belteshazzar nọchiri anya ha, n’amaokwu mbụ nke ọhụụ ikpeazụ ahụ. N’ebe ahụ Daniel, onye e ji Belteshazzar nọchite anya ya, na-aghọta ma ọhụụ dị n’ime nke puku afọ abụọ na narị atọ, ma ọhụụ dị n’èzí nke puku afọ abụọ na narị ise na iri abụọ. Ọ na-aghọta “ihe ahụ,” na “ọhụụ ahụ.” Ọ na-aghọta ọhụụ chazon na ọhụụ mareh. Ọ na-aghọta ịzọpịa ebe nsọ na usuu ahụ, na mweghachi nke ebe nsọ na usuu ahụ. Ọ na-aghọta ma ọhụụ Osimiri Ulai ma ọhụụ Osimiri Hiddekel.</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«Tinitegna aasaacha waaqayyoo dubbiitti caalaatti dhiyaatee qorannoo godhamu barbaachisa; addattimmoo, hojii keenya seenaa keessatti yeroo kam iyyuu caalaa, Daanyeelii fi Mul’ataatti xiyyeeffannaan kennamuu qaba. Dhimma humna Roomaa fi phaaaphaasummaa ilaalchisee, sararoota tokko tokko keessatti waan jedhu xiqqeessuu dandeenya; garuu raajonnii fi ergamoonni hafuura qulqulluu Waaqaatiin kaka’umsa jalatti barreessan irratti xiyyeeffannaa waamuu qabna. Hafuurri Qulqulluun, raajii kennamuu isheetiinis ta’e taateewwan keessatti agarsiifaman keessatti, akka namaan hojjetamu mul’inaan alatti tursiifamu, Kiristoos keessatti dhokfamu, akkasumas akka Gooftaan Waaqni mootummaa samii fi seerri Isaa ol kaafaman barsiisuuf, haala hundumaa akkasitti qopheesseera. Kitaaba Daanyeelii dubbisaa. Mootummoota achitti bakka bu’anii dhiyaatan sana seenaa isaanii tuqaa-tuqaadhaan yaadatti kaasaa. Namoota mootummaa bulchan, manneen marii, loltoota humna qabeeyyii ilaalaa; akkasumas akkamitti Waaqayyo of tuulummaa namootaa salphise, ulfina namaas biyyootti gate ilaalaa….»</w:t>
      </w:r>
    </w:p>
    <w:p>
      <w:pPr>
        <w:pStyle w:val="ArticleScripture"/>
        <w:jc w:val="left"/>
      </w:pPr>
      <w:r>
        <w:rPr>
          <w:rFonts w:ascii="Times New Roman" w:hAnsi="Times New Roman" w:eastAsia="Times New Roman" w:cs="Times New Roman"/>
        </w:rPr>
        <w:t>«Ла люмьер кэ Даниэль reçut de Dieu fut donnée tout particulièrement pour ces derniers jours. Les visions qu’il vit sur les rives de l’Ulaï et du Hiddékel, les grands fleuves de Shinar, sont maintenant en voie d’accomplissement, et tous les événements annoncés s’accompliront bientôt. »</w:t>
      </w:r>
    </w:p>
    <w:p>
      <w:pPr>
        <w:pStyle w:val="ArticleScripture"/>
        <w:jc w:val="left"/>
      </w:pPr>
      <w:r>
        <w:rPr>
          <w:rFonts w:ascii="Times New Roman" w:hAnsi="Times New Roman" w:eastAsia="Times New Roman" w:cs="Times New Roman"/>
        </w:rPr>
        <w:t>“Ẹ wo ipò àti ayidayida orílẹ̀-èdè Júù nígbà tí a fi àwọn àsọtẹ́lẹ̀ Dáníẹ́lì hàn.</w:t>
      </w:r>
    </w:p>
    <w:p>
      <w:pPr>
        <w:pStyle w:val="ArticleScripture"/>
        <w:jc w:val="left"/>
      </w:pPr>
      <w:r>
        <w:rPr>
          <w:rFonts w:ascii="Times New Roman" w:hAnsi="Times New Roman" w:eastAsia="Times New Roman" w:cs="Times New Roman"/>
        </w:rPr>
        <w:t>«Биёед барои омӯхтани Китоби Муқаддас вақти бештар ҷудо кунем. Мо Каломро ончунон ки бояд бошад, дарк намекунем. Китоби Ваҳй бо амре ба мо оғоз меёбад, то таълимоти дар он мавҷудбударо фаҳмем. Худо эълон мекунад: “Хушо касе ки мехонад, ва онҳое ки суханони ин нубувватро мешунаванд, ва он чиро ки дар он навишта шудааст, риоя мекунанд; зеро вақт наздик аст.” Ҳангоме ки мо, ҳамчун қавм, дарк кунем, ки ин китоб барои мо чӣ маъно дорад, дар миёни мо эҳёи бузурге падид хоҳад омад. Мо дарсҳоеро, ки он меомӯзонад, пурра дарк намекунем, бо вуҷуди амре ки ба мо дода шудааст, то онро тафтиш ва омӯзиш намоем.»</w:t>
      </w:r>
    </w:p>
    <w:p>
      <w:pPr>
        <w:pStyle w:val="ArticleScripture"/>
        <w:jc w:val="left"/>
      </w:pPr>
      <w:r>
        <w:rPr>
          <w:rFonts w:ascii="Times New Roman" w:hAnsi="Times New Roman" w:eastAsia="Times New Roman" w:cs="Times New Roman"/>
        </w:rPr>
        <w:t>«In the past teachers have declared Daniel and the Revelation to be sealed books, and the people have turned from them. The veil whose apparent mystery has kept many from lifting it, God’s own hand has withdrawn from these portions of His word. The very name ‘Revelation’ contradicts the statement that it is a sealed book. ‘Revelation’ means that something of importance is revealed. The truths of this book are addressed to those living in these last days. We are standing with the veil removed in the holy place of sacred things. We are not to stand without. We are to enter, not with careless, irreverent thoughts, not with impetuous footsteps, but with reverence and godly fear. We are nearing the time when the prophecies of the book of Revelation are to be fulfilled….»</w:t>
      </w:r>
    </w:p>
    <w:p>
      <w:pPr>
        <w:pStyle w:val="ArticleScripture"/>
        <w:jc w:val="left"/>
      </w:pPr>
      <w:r>
        <w:rPr>
          <w:rFonts w:ascii="Times New Roman" w:hAnsi="Times New Roman" w:eastAsia="Times New Roman" w:cs="Times New Roman"/>
        </w:rPr>
        <w:t>“Bɛtumi anya Onyankopɔn mmara ne Yesu Kristo adansedi, a ɛno ne nkɔmhyɛ sunsum no. Boɔden bo a wɔn bo yɛ den yiye wɔ Onyankopɔn Asɛm no mu. Wɔn a wɔhwehwɛ Saa Asɛm yi mu no, ɛsɛ sɛ wɔma wɔn adwene da hɔ pefee. Ɛnsɛ sɛ wɔdaadaa wɔn apɔw a asɛe no so da wɔ adidi anaa anom mu.</w:t>
      </w:r>
    </w:p>
    <w:p>
      <w:pPr>
        <w:pStyle w:val="ArticleScripture"/>
        <w:jc w:val="left"/>
      </w:pPr>
      <w:r>
        <w:rPr>
          <w:rFonts w:ascii="Times New Roman" w:hAnsi="Times New Roman" w:eastAsia="Times New Roman" w:cs="Times New Roman"/>
        </w:rPr>
        <w:t>“Ha ba etsa sena, boko bo tla ferekana; ba ke ke ba khona ho mamella khatello ea ho cheka ka botebo ho sibolla moelelo oa lintho tseo tse amanang le liketsahalo tsa ho qetela tsa nalane ea lefatše lena.</w:t>
      </w:r>
    </w:p>
    <w:p>
      <w:pPr>
        <w:pStyle w:val="ArticleScripture"/>
        <w:jc w:val="left"/>
      </w:pPr>
      <w:r>
        <w:rPr>
          <w:rFonts w:ascii="Times New Roman" w:hAnsi="Times New Roman" w:eastAsia="Times New Roman" w:cs="Times New Roman"/>
        </w:rPr>
        <w:t>«Όταν τα βιβλία του Δανιήλ και της Αποκάλυψης κατανοηθούν καλύτερα, οι πιστοί θα έχουν μια εντελώς διαφορετική θρησκευτική εμπειρία. Θα τους δοθούν τέτοιες ματιές από τις ανοιχτές πύλες του ουρανού, ώστε η καρδιά και ο νους να εντυπωθούν από τον χαρακτήρα που όλοι πρέπει να αναπτύξουν, για να πραγματοποιήσουν τη μακαριότητα η οποία θα είναι η ανταμοιβή των καθαρών στην καρδιά.</w:t>
      </w:r>
    </w:p>
    <w:p>
      <w:pPr>
        <w:pStyle w:val="ArticleScripture"/>
        <w:jc w:val="left"/>
      </w:pP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、黙示録</w:t>
      </w:r>
      <w:r>
        <w:rPr>
          <w:rFonts w:ascii="MS Gothic" w:hAnsi="MS Gothic" w:eastAsia="MS Gothic" w:cs="MS Gothic"/>
        </w:rPr>
        <w:t>において</w:t>
      </w:r>
      <w:r>
        <w:rPr>
          <w:rFonts w:ascii="Microsoft YaHei" w:hAnsi="Microsoft YaHei" w:eastAsia="Microsoft YaHei" w:cs="Microsoft YaHei"/>
        </w:rPr>
        <w:t>啓示</w:t>
      </w:r>
      <w:r>
        <w:rPr>
          <w:rFonts w:ascii="MS Gothic" w:hAnsi="MS Gothic" w:eastAsia="MS Gothic" w:cs="MS Gothic"/>
        </w:rPr>
        <w:t>されている</w:t>
      </w:r>
      <w:r>
        <w:rPr>
          <w:rFonts w:ascii="Microsoft YaHei" w:hAnsi="Microsoft YaHei" w:eastAsia="Microsoft YaHei" w:cs="Microsoft YaHei"/>
        </w:rPr>
        <w:t>事柄</w:t>
      </w:r>
      <w:r>
        <w:rPr>
          <w:rFonts w:ascii="MS Gothic" w:hAnsi="MS Gothic" w:eastAsia="MS Gothic" w:cs="MS Gothic"/>
        </w:rPr>
        <w:t>を</w:t>
      </w:r>
      <w:r>
        <w:rPr>
          <w:rFonts w:ascii="Microsoft YaHei" w:hAnsi="Microsoft YaHei" w:eastAsia="Microsoft YaHei" w:cs="Microsoft YaHei"/>
        </w:rPr>
        <w:t>、</w:t>
      </w:r>
      <w:r>
        <w:rPr>
          <w:rFonts w:ascii="MS Gothic" w:hAnsi="MS Gothic" w:eastAsia="MS Gothic" w:cs="MS Gothic"/>
        </w:rPr>
        <w:t>へりくだって</w:t>
      </w:r>
      <w:r>
        <w:rPr>
          <w:rFonts w:ascii="Microsoft YaHei" w:hAnsi="Microsoft YaHei" w:eastAsia="Microsoft YaHei" w:cs="Microsoft YaHei"/>
        </w:rPr>
        <w:t>柔和</w:t>
      </w:r>
      <w:r>
        <w:rPr>
          <w:rFonts w:ascii="MS Gothic" w:hAnsi="MS Gothic" w:eastAsia="MS Gothic" w:cs="MS Gothic"/>
        </w:rPr>
        <w:t>に</w:t>
      </w:r>
      <w:r>
        <w:rPr>
          <w:rFonts w:ascii="Microsoft YaHei" w:hAnsi="Microsoft YaHei" w:eastAsia="Microsoft YaHei" w:cs="Microsoft YaHei"/>
        </w:rPr>
        <w:t>理解</w:t>
      </w:r>
      <w:r>
        <w:rPr>
          <w:rFonts w:ascii="MS Gothic" w:hAnsi="MS Gothic" w:eastAsia="MS Gothic" w:cs="MS Gothic"/>
        </w:rPr>
        <w:t>しようと</w:t>
      </w:r>
      <w:r>
        <w:rPr>
          <w:rFonts w:ascii="Microsoft YaHei" w:hAnsi="Microsoft YaHei" w:eastAsia="Microsoft YaHei" w:cs="Microsoft YaHei"/>
        </w:rPr>
        <w:t>求</w:t>
      </w:r>
      <w:r>
        <w:rPr>
          <w:rFonts w:ascii="MS Gothic" w:hAnsi="MS Gothic" w:eastAsia="MS Gothic" w:cs="MS Gothic"/>
        </w:rPr>
        <w:t>めるすべての</w:t>
      </w:r>
      <w:r>
        <w:rPr>
          <w:rFonts w:ascii="Microsoft YaHei" w:hAnsi="Microsoft YaHei" w:eastAsia="Microsoft YaHei" w:cs="Microsoft YaHei"/>
        </w:rPr>
        <w:t>者</w:t>
      </w:r>
      <w:r>
        <w:rPr>
          <w:rFonts w:ascii="MS Gothic" w:hAnsi="MS Gothic" w:eastAsia="MS Gothic" w:cs="MS Gothic"/>
        </w:rPr>
        <w:t>を</w:t>
      </w:r>
      <w:r>
        <w:rPr>
          <w:rFonts w:ascii="Microsoft YaHei" w:hAnsi="Microsoft YaHei" w:eastAsia="Microsoft YaHei" w:cs="Microsoft YaHei"/>
        </w:rPr>
        <w:t>祝福</w:t>
      </w:r>
      <w:r>
        <w:rPr>
          <w:rFonts w:ascii="MS Gothic" w:hAnsi="MS Gothic" w:eastAsia="MS Gothic" w:cs="MS Gothic"/>
        </w:rPr>
        <w:t>してくださる</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書</w:t>
      </w:r>
      <w:r>
        <w:rPr>
          <w:rFonts w:ascii="MS Gothic" w:hAnsi="MS Gothic" w:eastAsia="MS Gothic" w:cs="MS Gothic"/>
        </w:rPr>
        <w:t>には</w:t>
      </w:r>
      <w:r>
        <w:rPr>
          <w:rFonts w:ascii="Microsoft YaHei" w:hAnsi="Microsoft YaHei" w:eastAsia="Microsoft YaHei" w:cs="Microsoft YaHei"/>
        </w:rPr>
        <w:t>、不滅</w:t>
      </w:r>
      <w:r>
        <w:rPr>
          <w:rFonts w:ascii="MS Gothic" w:hAnsi="MS Gothic" w:eastAsia="MS Gothic" w:cs="MS Gothic"/>
        </w:rPr>
        <w:t>のいのちに</w:t>
      </w:r>
      <w:r>
        <w:rPr>
          <w:rFonts w:ascii="Microsoft YaHei" w:hAnsi="Microsoft YaHei" w:eastAsia="Microsoft YaHei" w:cs="Microsoft YaHei"/>
        </w:rPr>
        <w:t>満</w:t>
      </w:r>
      <w:r>
        <w:rPr>
          <w:rFonts w:ascii="MS Gothic" w:hAnsi="MS Gothic" w:eastAsia="MS Gothic" w:cs="MS Gothic"/>
        </w:rPr>
        <w:t>ち</w:t>
      </w:r>
      <w:r>
        <w:rPr>
          <w:rFonts w:ascii="Microsoft YaHei" w:hAnsi="Microsoft YaHei" w:eastAsia="Microsoft YaHei" w:cs="Microsoft YaHei"/>
        </w:rPr>
        <w:t>、栄光</w:t>
      </w:r>
      <w:r>
        <w:rPr>
          <w:rFonts w:ascii="MS Gothic" w:hAnsi="MS Gothic" w:eastAsia="MS Gothic" w:cs="MS Gothic"/>
        </w:rPr>
        <w:t>にあふれる</w:t>
      </w:r>
      <w:r>
        <w:rPr>
          <w:rFonts w:ascii="Microsoft YaHei" w:hAnsi="Microsoft YaHei" w:eastAsia="Microsoft YaHei" w:cs="Microsoft YaHei"/>
        </w:rPr>
        <w:t>事柄</w:t>
      </w:r>
      <w:r>
        <w:rPr>
          <w:rFonts w:ascii="MS Gothic" w:hAnsi="MS Gothic" w:eastAsia="MS Gothic" w:cs="MS Gothic"/>
        </w:rPr>
        <w:t>があまりにも</w:t>
      </w:r>
      <w:r>
        <w:rPr>
          <w:rFonts w:ascii="Microsoft YaHei" w:hAnsi="Microsoft YaHei" w:eastAsia="Microsoft YaHei" w:cs="Microsoft YaHei"/>
        </w:rPr>
        <w:t>豊</w:t>
      </w:r>
      <w:r>
        <w:rPr>
          <w:rFonts w:ascii="MS Gothic" w:hAnsi="MS Gothic" w:eastAsia="MS Gothic" w:cs="MS Gothic"/>
        </w:rPr>
        <w:t>かに</w:t>
      </w:r>
      <w:r>
        <w:rPr>
          <w:rFonts w:ascii="Microsoft YaHei" w:hAnsi="Microsoft YaHei" w:eastAsia="Microsoft YaHei" w:cs="Microsoft YaHei"/>
        </w:rPr>
        <w:t>収</w:t>
      </w:r>
      <w:r>
        <w:rPr>
          <w:rFonts w:ascii="MS Gothic" w:hAnsi="MS Gothic" w:eastAsia="MS Gothic" w:cs="MS Gothic"/>
        </w:rPr>
        <w:t>められているので</w:t>
      </w:r>
      <w:r>
        <w:rPr>
          <w:rFonts w:ascii="Microsoft YaHei" w:hAnsi="Microsoft YaHei" w:eastAsia="Microsoft YaHei" w:cs="Microsoft YaHei"/>
        </w:rPr>
        <w:t>、</w:t>
      </w:r>
      <w:r>
        <w:rPr>
          <w:rFonts w:ascii="MS Gothic" w:hAnsi="MS Gothic" w:eastAsia="MS Gothic" w:cs="MS Gothic"/>
        </w:rPr>
        <w:t>これを</w:t>
      </w:r>
      <w:r>
        <w:rPr>
          <w:rFonts w:ascii="Microsoft YaHei" w:hAnsi="Microsoft YaHei" w:eastAsia="Microsoft YaHei" w:cs="Microsoft YaHei"/>
        </w:rPr>
        <w:t>熱心</w:t>
      </w:r>
      <w:r>
        <w:rPr>
          <w:rFonts w:ascii="MS Gothic" w:hAnsi="MS Gothic" w:eastAsia="MS Gothic" w:cs="MS Gothic"/>
        </w:rPr>
        <w:t>に</w:t>
      </w:r>
      <w:r>
        <w:rPr>
          <w:rFonts w:ascii="Microsoft YaHei" w:hAnsi="Microsoft YaHei" w:eastAsia="Microsoft YaHei" w:cs="Microsoft YaHei"/>
        </w:rPr>
        <w:t>読</w:t>
      </w:r>
      <w:r>
        <w:rPr>
          <w:rFonts w:ascii="MS Gothic" w:hAnsi="MS Gothic" w:eastAsia="MS Gothic" w:cs="MS Gothic"/>
        </w:rPr>
        <w:t>み</w:t>
      </w:r>
      <w:r>
        <w:rPr>
          <w:rFonts w:ascii="Microsoft YaHei" w:hAnsi="Microsoft YaHei" w:eastAsia="Microsoft YaHei" w:cs="Microsoft YaHei"/>
        </w:rPr>
        <w:t>、探</w:t>
      </w:r>
      <w:r>
        <w:rPr>
          <w:rFonts w:ascii="MS Gothic" w:hAnsi="MS Gothic" w:eastAsia="MS Gothic" w:cs="MS Gothic"/>
        </w:rPr>
        <w:t>り</w:t>
      </w:r>
      <w:r>
        <w:rPr>
          <w:rFonts w:ascii="Microsoft YaHei" w:hAnsi="Microsoft YaHei" w:eastAsia="Microsoft YaHei" w:cs="Microsoft YaHei"/>
        </w:rPr>
        <w:t>求</w:t>
      </w:r>
      <w:r>
        <w:rPr>
          <w:rFonts w:ascii="MS Gothic" w:hAnsi="MS Gothic" w:eastAsia="MS Gothic" w:cs="MS Gothic"/>
        </w:rPr>
        <w:t>める</w:t>
      </w:r>
      <w:r>
        <w:rPr>
          <w:rFonts w:ascii="Microsoft YaHei" w:hAnsi="Microsoft YaHei" w:eastAsia="Microsoft YaHei" w:cs="Microsoft YaHei"/>
        </w:rPr>
        <w:t>者</w:t>
      </w:r>
      <w:r>
        <w:rPr>
          <w:rFonts w:ascii="MS Gothic" w:hAnsi="MS Gothic" w:eastAsia="MS Gothic" w:cs="MS Gothic"/>
        </w:rPr>
        <w:t>は</w:t>
      </w:r>
      <w:r>
        <w:rPr>
          <w:rFonts w:ascii="Microsoft YaHei" w:hAnsi="Microsoft YaHei" w:eastAsia="Microsoft YaHei" w:cs="Microsoft YaHei"/>
        </w:rPr>
        <w:t>皆、『</w:t>
      </w:r>
      <w:r>
        <w:rPr>
          <w:rFonts w:ascii="MS Gothic" w:hAnsi="MS Gothic" w:eastAsia="MS Gothic" w:cs="MS Gothic"/>
        </w:rPr>
        <w:t>この</w:t>
      </w:r>
      <w:r>
        <w:rPr>
          <w:rFonts w:ascii="Microsoft YaHei" w:hAnsi="Microsoft YaHei" w:eastAsia="Microsoft YaHei" w:cs="Microsoft YaHei"/>
        </w:rPr>
        <w:t>預言</w:t>
      </w:r>
      <w:r>
        <w:rPr>
          <w:rFonts w:ascii="MS Gothic" w:hAnsi="MS Gothic" w:eastAsia="MS Gothic" w:cs="MS Gothic"/>
        </w:rPr>
        <w:t>のことばを</w:t>
      </w:r>
      <w:r>
        <w:rPr>
          <w:rFonts w:ascii="Microsoft YaHei" w:hAnsi="Microsoft YaHei" w:eastAsia="Microsoft YaHei" w:cs="Microsoft YaHei"/>
        </w:rPr>
        <w:t>聞</w:t>
      </w:r>
      <w:r>
        <w:rPr>
          <w:rFonts w:ascii="MS Gothic" w:hAnsi="MS Gothic" w:eastAsia="MS Gothic" w:cs="MS Gothic"/>
        </w:rPr>
        <w:t>き</w:t>
      </w:r>
      <w:r>
        <w:rPr>
          <w:rFonts w:ascii="Microsoft YaHei" w:hAnsi="Microsoft YaHei" w:eastAsia="Microsoft YaHei" w:cs="Microsoft YaHei"/>
        </w:rPr>
        <w:t>、</w:t>
      </w:r>
      <w:r>
        <w:rPr>
          <w:rFonts w:ascii="MS Gothic" w:hAnsi="MS Gothic" w:eastAsia="MS Gothic" w:cs="MS Gothic"/>
        </w:rPr>
        <w:t>そこに</w:t>
      </w:r>
      <w:r>
        <w:rPr>
          <w:rFonts w:ascii="Microsoft YaHei" w:hAnsi="Microsoft YaHei" w:eastAsia="Microsoft YaHei" w:cs="Microsoft YaHei"/>
        </w:rPr>
        <w:t>書</w:t>
      </w:r>
      <w:r>
        <w:rPr>
          <w:rFonts w:ascii="MS Gothic" w:hAnsi="MS Gothic" w:eastAsia="MS Gothic" w:cs="MS Gothic"/>
        </w:rPr>
        <w:t>かれていることを</w:t>
      </w:r>
      <w:r>
        <w:rPr>
          <w:rFonts w:ascii="Microsoft YaHei" w:hAnsi="Microsoft YaHei" w:eastAsia="Microsoft YaHei" w:cs="Microsoft YaHei"/>
        </w:rPr>
        <w:t>守</w:t>
      </w:r>
      <w:r>
        <w:rPr>
          <w:rFonts w:ascii="MS Gothic" w:hAnsi="MS Gothic" w:eastAsia="MS Gothic" w:cs="MS Gothic"/>
        </w:rPr>
        <w:t>る</w:t>
      </w:r>
      <w:r>
        <w:rPr>
          <w:rFonts w:ascii="Microsoft YaHei" w:hAnsi="Microsoft YaHei" w:eastAsia="Microsoft YaHei" w:cs="Microsoft YaHei"/>
        </w:rPr>
        <w:t>者</w:t>
      </w:r>
      <w:r>
        <w:rPr>
          <w:rFonts w:ascii="MS Gothic" w:hAnsi="MS Gothic" w:eastAsia="MS Gothic" w:cs="MS Gothic"/>
        </w:rPr>
        <w:t>たち</w:t>
      </w:r>
      <w:r>
        <w:rPr>
          <w:rFonts w:ascii="Microsoft YaHei" w:hAnsi="Microsoft YaHei" w:eastAsia="Microsoft YaHei" w:cs="Microsoft YaHei"/>
        </w:rPr>
        <w:t>』</w:t>
      </w:r>
      <w:r>
        <w:rPr>
          <w:rFonts w:ascii="MS Gothic" w:hAnsi="MS Gothic" w:eastAsia="MS Gothic" w:cs="MS Gothic"/>
        </w:rPr>
        <w:t>に</w:t>
      </w:r>
      <w:r>
        <w:rPr>
          <w:rFonts w:ascii="Microsoft YaHei" w:hAnsi="Microsoft YaHei" w:eastAsia="Microsoft YaHei" w:cs="Microsoft YaHei"/>
        </w:rPr>
        <w:t>与</w:t>
      </w:r>
      <w:r>
        <w:rPr>
          <w:rFonts w:ascii="MS Gothic" w:hAnsi="MS Gothic" w:eastAsia="MS Gothic" w:cs="MS Gothic"/>
        </w:rPr>
        <w:t>えられている</w:t>
      </w:r>
      <w:r>
        <w:rPr>
          <w:rFonts w:ascii="Microsoft YaHei" w:hAnsi="Microsoft YaHei" w:eastAsia="Microsoft YaHei" w:cs="Microsoft YaHei"/>
        </w:rPr>
        <w:t>祝福</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けるのである</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“Ɛbɛda adi pefee fi Adiyisɛm no adesua mu sɛ Onyankopɔn ne Ne nkurɔfo ntam abusuabɔ no yɛ pɛpɛɛpɛ na ɛyɛ nea wɔasi no pi.”</w:t>
      </w:r>
    </w:p>
    <w:p>
      <w:pPr>
        <w:pStyle w:val="ArticleScripture"/>
        <w:jc w:val="left"/>
      </w:pPr>
      <w:r>
        <w:rPr>
          <w:rFonts w:ascii="Times New Roman" w:hAnsi="Times New Roman" w:eastAsia="Times New Roman" w:cs="Times New Roman"/>
        </w:rPr>
        <w:t>“Si mrekullueshme shihet lidhja ndërmjet gjithësisë së qiellit dhe kësaj bote. Gjërat që iu zbuluan Danielit më pas u plotësuan nga zbulesa që iu dha Gjonit në ishullin Patmos. Këta dy libra duhen studiuar me kujdes. Dy herë Danieli pyeti: Deri kur do të shkojë deri në fundi i kohës?”</w:t>
      </w:r>
    </w:p>
    <w:p>
      <w:pPr>
        <w:pStyle w:val="ArticleScripture"/>
        <w:jc w:val="left"/>
      </w:pPr>
      <w:r>
        <w:rPr>
          <w:rFonts w:ascii="Times New Roman" w:hAnsi="Times New Roman" w:eastAsia="Times New Roman" w:cs="Times New Roman"/>
        </w:rPr>
        <w:t>« J’entendis, mais je ne compris pas; alors je dis : Mon seigneur, quelle sera l’issue de ces choses ? Et il dit : Va, Daniel; car ces paroles seront tenues closes et scellées jusqu’au temps de la fin. Plusieurs seront purifiés, blanchis et éprouvés; mais les méchants agiront méchamment, et aucun des méchants ne comprendra; mais les sages comprendront. Depuis le temps où le sacrifice perpétuel sera ôté, et où l’abomination de la désolation sera dressée, il y aura mille deux cent quatre-vingt-dix jours. Heureux celui qui attendra, et qui parviendra jusqu’à mille trois cent trente-cinq jours. Et toi, va jusqu’à la fin; tu te reposeras, et tu te lèveras pour ton héritage à la fin des jours. »</w:t>
      </w:r>
    </w:p>
    <w:p>
      <w:pPr>
        <w:pStyle w:val="ArticleScripture"/>
        <w:jc w:val="left"/>
      </w:pPr>
      <w:r>
        <w:rPr>
          <w:rFonts w:ascii="Times New Roman" w:hAnsi="Times New Roman" w:eastAsia="Times New Roman" w:cs="Times New Roman"/>
        </w:rPr>
        <w:t>“Juda qəbiləsinin Aslanı idi ki, kitabın möhürlərini açdı və son günlərdə nə olmalı olduğunu Yəhyaya vəhy etdi.</w:t>
      </w:r>
    </w:p>
    <w:p>
      <w:pPr>
        <w:pStyle w:val="ArticleScripture"/>
        <w:jc w:val="left"/>
      </w:pPr>
      <w:r>
        <w:rPr>
          <w:rFonts w:ascii="Times New Roman" w:hAnsi="Times New Roman" w:eastAsia="Times New Roman" w:cs="Times New Roman"/>
        </w:rPr>
        <w:t>“Daniel a stat în partea lui spre a-și aduce mărturia, care a fost pecetluită până la vremea sfârșitului, când solia primului înger urma să fie vestită lumii noastre. Aceste lucruri sunt de o importanță infinită în aceste zile de pe urmă; dar, în timp ce «mulți vor fi curățiți, albiți și încercați», «cei răi vor face răul; și niciunul dintre cei răi nu va înțelege». Cât de adevărat este lucrul acesta! Păcatul este călcarea Legii lui Dumnezeu; iar aceia care nu vor primi lumina cu privire la Legea lui Dumnezeu nu vor înțelege vestirea soliilor primului, celui de-al doilea și celui de-al treilea înger. Cartea lui Daniel este desigilată în descoperirea făcută lui Ioan și ne poartă înainte până la ultimele scene ale istoriei acestui pământ.”</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형제들은</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날들의</w:t>
      </w:r>
      <w:r>
        <w:rPr>
          <w:rFonts w:ascii="Times New Roman" w:hAnsi="Times New Roman" w:eastAsia="Times New Roman" w:cs="Times New Roman"/>
        </w:rPr>
        <w:t xml:space="preserve"> </w:t>
      </w:r>
      <w:r>
        <w:rPr>
          <w:rFonts w:ascii="Malgun Gothic" w:hAnsi="Malgun Gothic" w:eastAsia="Malgun Gothic" w:cs="Malgun Gothic"/>
        </w:rPr>
        <w:t>위험</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살고</w:t>
      </w:r>
      <w:r>
        <w:rPr>
          <w:rFonts w:ascii="Times New Roman" w:hAnsi="Times New Roman" w:eastAsia="Times New Roman" w:cs="Times New Roman"/>
        </w:rPr>
        <w:t xml:space="preserve"> </w:t>
      </w:r>
      <w:r>
        <w:rPr>
          <w:rFonts w:ascii="Malgun Gothic" w:hAnsi="Malgun Gothic" w:eastAsia="Malgun Gothic" w:cs="Malgun Gothic"/>
        </w:rPr>
        <w:t>있음을</w:t>
      </w:r>
      <w:r>
        <w:rPr>
          <w:rFonts w:ascii="Times New Roman" w:hAnsi="Times New Roman" w:eastAsia="Times New Roman" w:cs="Times New Roman"/>
        </w:rPr>
        <w:t xml:space="preserve"> </w:t>
      </w:r>
      <w:r>
        <w:rPr>
          <w:rFonts w:ascii="Malgun Gothic" w:hAnsi="Malgun Gothic" w:eastAsia="Malgun Gothic" w:cs="Malgun Gothic"/>
        </w:rPr>
        <w:t>명심하겠는가</w:t>
      </w:r>
      <w:r>
        <w:rPr>
          <w:rFonts w:ascii="Times New Roman" w:hAnsi="Times New Roman" w:eastAsia="Times New Roman" w:cs="Times New Roman"/>
        </w:rPr>
        <w:t xml:space="preserve">? </w:t>
      </w:r>
      <w:r>
        <w:rPr>
          <w:rFonts w:ascii="Malgun Gothic" w:hAnsi="Malgun Gothic" w:eastAsia="Malgun Gothic" w:cs="Malgun Gothic"/>
        </w:rPr>
        <w:t>다니엘서와</w:t>
      </w:r>
      <w:r>
        <w:rPr>
          <w:rFonts w:ascii="Times New Roman" w:hAnsi="Times New Roman" w:eastAsia="Times New Roman" w:cs="Times New Roman"/>
        </w:rPr>
        <w:t xml:space="preserve"> </w:t>
      </w:r>
      <w:r>
        <w:rPr>
          <w:rFonts w:ascii="Malgun Gothic" w:hAnsi="Malgun Gothic" w:eastAsia="Malgun Gothic" w:cs="Malgun Gothic"/>
        </w:rPr>
        <w:t>연관하여</w:t>
      </w:r>
      <w:r>
        <w:rPr>
          <w:rFonts w:ascii="Times New Roman" w:hAnsi="Times New Roman" w:eastAsia="Times New Roman" w:cs="Times New Roman"/>
        </w:rPr>
        <w:t xml:space="preserve"> </w:t>
      </w:r>
      <w:r>
        <w:rPr>
          <w:rFonts w:ascii="Malgun Gothic" w:hAnsi="Malgun Gothic" w:eastAsia="Malgun Gothic" w:cs="Malgun Gothic"/>
        </w:rPr>
        <w:t>요한계시록을</w:t>
      </w:r>
      <w:r>
        <w:rPr>
          <w:rFonts w:ascii="Times New Roman" w:hAnsi="Times New Roman" w:eastAsia="Times New Roman" w:cs="Times New Roman"/>
        </w:rPr>
        <w:t xml:space="preserve"> </w:t>
      </w:r>
      <w:r>
        <w:rPr>
          <w:rFonts w:ascii="Malgun Gothic" w:hAnsi="Malgun Gothic" w:eastAsia="Malgun Gothic" w:cs="Malgun Gothic"/>
        </w:rPr>
        <w:t>읽으라</w:t>
      </w:r>
      <w:r>
        <w:rPr>
          <w:rFonts w:ascii="Times New Roman" w:hAnsi="Times New Roman" w:eastAsia="Times New Roman" w:cs="Times New Roman"/>
        </w:rPr>
        <w:t xml:space="preserve">. </w:t>
      </w:r>
      <w:r>
        <w:rPr>
          <w:rFonts w:ascii="Malgun Gothic" w:hAnsi="Malgun Gothic" w:eastAsia="Malgun Gothic" w:cs="Malgun Gothic"/>
        </w:rPr>
        <w:t>이러한</w:t>
      </w:r>
      <w:r>
        <w:rPr>
          <w:rFonts w:ascii="Times New Roman" w:hAnsi="Times New Roman" w:eastAsia="Times New Roman" w:cs="Times New Roman"/>
        </w:rPr>
        <w:t xml:space="preserve"> </w:t>
      </w:r>
      <w:r>
        <w:rPr>
          <w:rFonts w:ascii="Malgun Gothic" w:hAnsi="Malgun Gothic" w:eastAsia="Malgun Gothic" w:cs="Malgun Gothic"/>
        </w:rPr>
        <w:t>것들을</w:t>
      </w:r>
      <w:r>
        <w:rPr>
          <w:rFonts w:ascii="Times New Roman" w:hAnsi="Times New Roman" w:eastAsia="Times New Roman" w:cs="Times New Roman"/>
        </w:rPr>
        <w:t xml:space="preserve"> </w:t>
      </w:r>
      <w:r>
        <w:rPr>
          <w:rFonts w:ascii="Malgun Gothic" w:hAnsi="Malgun Gothic" w:eastAsia="Malgun Gothic" w:cs="Malgun Gothic"/>
        </w:rPr>
        <w:t>가르치라</w:t>
      </w:r>
      <w:r>
        <w:rPr>
          <w:rFonts w:ascii="Times New Roman" w:hAnsi="Times New Roman" w:eastAsia="Times New Roman" w:cs="Times New Roman"/>
        </w:rPr>
        <w:t>.”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Nomor Seratus Lima Puluh Enam</dc:title>
  <dc:subject>Révélation de la dernière vision de Daniel : une perspective millérite sur les vérités prophétiques pour aujourd’hui</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