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Hamsini na Nane</w:t>
      </w:r>
    </w:p>
    <w:p>
      <w:pPr>
        <w:pStyle w:val="ArticleSubtitle"/>
        <w:jc w:val="left"/>
      </w:pPr>
      <w:r>
        <w:rPr>
          <w:rFonts w:ascii="Arial" w:hAnsi="Arial" w:eastAsia="Arial" w:cs="Arial"/>
        </w:rPr>
        <w:t>Dévoiler la vision : Comprendre les jours de deuil dans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Дар йили сеюми Куруши подшоҳи Форс амре бар Дониёл, ки номаш Белтешасар хонда мешуд, ошкор гардид; ва он амр рост буд, вале вақти муқарраршуда дароз буд; ва ӯ амрро дарёфт, ва рӯъёро фаҳмид. Дар он айём ман, Дониёл, се ҳафтаи комил мотамдор будам. Нони лазиз нахӯрдам, ва на гӯшт ва на шароб ба даҳонам даромад, ва худро ҳеҷ тадҳин накардам, то се ҳафтаи тамом ба анҷом расид. Ва дар рӯзи бисту чоруми моҳи аввал, ҳангоме ки ман бар канори дарёи бузург, яъне Ҳиддекел, будам. Дониёл 10:1–4.</w:t>
      </w:r>
    </w:p>
    <w:p>
      <w:pPr>
        <w:pStyle w:val="ArticleBody"/>
        <w:jc w:val="left"/>
      </w:pPr>
      <w:r>
        <w:rPr>
          <w:rFonts w:ascii="Times New Roman" w:hAnsi="Times New Roman" w:eastAsia="Times New Roman" w:cs="Times New Roman"/>
        </w:rPr>
        <w:t>Pendant les trois jours et demi symboliques du chapitre onze de l’Apocalypse, lorsque les deux témoins gisent morts dans la rue, une « chose » est révélée à Belteshazzar. Il avait auparavant compris la « vision » (mareh), car au chapitre neuf, Gabriel était déjà venu et lui avait donné l’intelligence de la vision.</w:t>
      </w:r>
    </w:p>
    <w:p>
      <w:pPr>
        <w:pStyle w:val="ArticleScripture"/>
        <w:jc w:val="left"/>
      </w:pPr>
      <w:r>
        <w:rPr>
          <w:rFonts w:ascii="Times New Roman" w:hAnsi="Times New Roman" w:eastAsia="Times New Roman" w:cs="Times New Roman"/>
        </w:rPr>
        <w:t>Oui, pendant que je parlais encore en prière, l’homme Gabriel, que j’avais vu auparavant dans la vision, s’approcha de moi d’un vol rapide, vers le temps de l’oblation du soir. Il m’instruisit, s’entretint avec moi, et dit: Daniel, je suis venu maintenant pour t’ouvrir l’intelligence. Lorsque tu as commencé à prier, la parole est sortie, et je viens pour te l’annoncer; car tu es un bien-aimé. Sois donc attentif à la parole, et comprends la vision. Daniel 9:21–23.</w:t>
      </w:r>
    </w:p>
    <w:p>
      <w:pPr>
        <w:pStyle w:val="ArticleBody"/>
        <w:jc w:val="left"/>
      </w:pPr>
      <w:r>
        <w:rPr>
          <w:rFonts w:ascii="Times New Roman" w:hAnsi="Times New Roman" w:eastAsia="Times New Roman" w:cs="Times New Roman"/>
        </w:rPr>
        <w:t>“lalaki nga hi Gabriel, nga” hinkit-an ni Daniel “didto ha bisyon ha tinikangan,” nagtutudlok ha “chazon,” bisyon han matagnaon nga kasaysayan, nga nagtutudlok kan Gabriel nga naghuhubad han bisyon han mga ginhadian han tagna han Biblia para kan Daniel didto ha kapitulo otso. Kondi an “bisyon,” nga kinahanglan na yana paghunahunaon ni Daniel didto ha kapitulo nuebe, amo an “mareh,” bisyon han pagpakita. Katapos, iginhatag ni Gabriel kan Daniel an historikal nga pagbahinbahin han tagna han dos mil tulo ka gatos ka tuig.</w:t>
      </w:r>
    </w:p>
    <w:p>
      <w:pPr>
        <w:pStyle w:val="ArticleBody"/>
        <w:jc w:val="left"/>
      </w:pP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w:t>
      </w:r>
      <w:r>
        <w:rPr>
          <w:rFonts w:ascii="Times New Roman" w:hAnsi="Times New Roman" w:eastAsia="Times New Roman" w:cs="Times New Roman"/>
        </w:rPr>
        <w:t xml:space="preserve"> </w:t>
      </w:r>
      <w:r>
        <w:rPr>
          <w:rFonts w:ascii="Nirmala UI" w:hAnsi="Nirmala UI" w:eastAsia="Nirmala UI" w:cs="Nirmala UI"/>
        </w:rPr>
        <w:t>ਦਾਰਿਯਸ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ਬੇਲਤੇਸ਼ੱਸਰ</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ਕਹਿੰਦਾ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ਕੁਰਸ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ਮਰੇਹ</w:t>
      </w:r>
      <w:r>
        <w:rPr>
          <w:rFonts w:ascii="Times New Roman" w:hAnsi="Times New Roman" w:eastAsia="Times New Roman" w:cs="Times New Roman"/>
        </w:rPr>
        <w:t xml:space="preserve">” </w:t>
      </w:r>
      <w:r>
        <w:rPr>
          <w:rFonts w:ascii="Nirmala UI" w:hAnsi="Nirmala UI" w:eastAsia="Nirmala UI" w:cs="Nirmala UI"/>
        </w:rPr>
        <w:t>ਦਰਸ਼ਨ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ਚੁੱਕਿਆ</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ਜਿਹੜੀ</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ਬੇਲਤੇਸ਼ੱਸਰ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ਸੋਗ</w:t>
      </w:r>
      <w:r>
        <w:rPr>
          <w:rFonts w:ascii="Times New Roman" w:hAnsi="Times New Roman" w:eastAsia="Times New Roman" w:cs="Times New Roman"/>
        </w:rPr>
        <w:t xml:space="preserve"> </w:t>
      </w:r>
      <w:r>
        <w:rPr>
          <w:rFonts w:ascii="Nirmala UI" w:hAnsi="Nirmala UI" w:eastAsia="Nirmala UI" w:cs="Nirmala UI"/>
        </w:rPr>
        <w:t>ਮਨਾਉਣ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ਸਮਝੀ</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ਇਬਰਾਨੀ</w:t>
      </w:r>
      <w:r>
        <w:rPr>
          <w:rFonts w:ascii="Times New Roman" w:hAnsi="Times New Roman" w:eastAsia="Times New Roman" w:cs="Times New Roman"/>
        </w:rPr>
        <w:t xml:space="preserve"> </w:t>
      </w:r>
      <w:r>
        <w:rPr>
          <w:rFonts w:ascii="Nirmala UI" w:hAnsi="Nirmala UI" w:eastAsia="Nirmala UI" w:cs="Nirmala UI"/>
        </w:rPr>
        <w:t>ਸ਼ਬਦ</w:t>
      </w:r>
      <w:r>
        <w:rPr>
          <w:rFonts w:ascii="Times New Roman" w:hAnsi="Times New Roman" w:eastAsia="Times New Roman" w:cs="Times New Roman"/>
        </w:rPr>
        <w:t xml:space="preserve"> “</w:t>
      </w:r>
      <w:r>
        <w:rPr>
          <w:rFonts w:ascii="Nirmala UI" w:hAnsi="Nirmala UI" w:eastAsia="Nirmala UI" w:cs="Nirmala UI"/>
        </w:rPr>
        <w:t>ਦਾਬਾਰ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ਲੰਬੀ</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ਨਿਯੁਕਤ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ਪੰਜ</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ਵੀਹ</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Nirmala UI" w:hAnsi="Nirmala UI" w:eastAsia="Nirmala UI" w:cs="Nirmala UI"/>
        </w:rPr>
        <w:t>ডানিয়েল</w:t>
      </w:r>
      <w:r>
        <w:rPr>
          <w:rFonts w:ascii="Times New Roman" w:hAnsi="Times New Roman" w:eastAsia="Times New Roman" w:cs="Times New Roman"/>
        </w:rPr>
        <w:t xml:space="preserve"> </w:t>
      </w:r>
      <w:r>
        <w:rPr>
          <w:rFonts w:ascii="Nirmala UI" w:hAnsi="Nirmala UI" w:eastAsia="Nirmala UI" w:cs="Nirmala UI"/>
        </w:rPr>
        <w:t>ইতিমধ্যেই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পেরেছিলেন</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লেবীয়</w:t>
      </w:r>
      <w:r>
        <w:rPr>
          <w:rFonts w:ascii="Times New Roman" w:hAnsi="Times New Roman" w:eastAsia="Times New Roman" w:cs="Times New Roman"/>
        </w:rPr>
        <w:t xml:space="preserve"> </w:t>
      </w:r>
      <w:r>
        <w:rPr>
          <w:rFonts w:ascii="Nirmala UI" w:hAnsi="Nirmala UI" w:eastAsia="Nirmala UI" w:cs="Nirmala UI"/>
        </w:rPr>
        <w:t>পুস্তক</w:t>
      </w:r>
      <w:r>
        <w:rPr>
          <w:rFonts w:ascii="Times New Roman" w:hAnsi="Times New Roman" w:eastAsia="Times New Roman" w:cs="Times New Roman"/>
        </w:rPr>
        <w:t xml:space="preserve"> </w:t>
      </w:r>
      <w:r>
        <w:rPr>
          <w:rFonts w:ascii="Nirmala UI" w:hAnsi="Nirmala UI" w:eastAsia="Nirmala UI" w:cs="Nirmala UI"/>
        </w:rPr>
        <w:t>ছাব্বিশের</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সম্পাদন</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প্রার্থনা।</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আলোকপ্রাপ্তি</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বেল্তশৎসর</w:t>
      </w:r>
      <w:r>
        <w:rPr>
          <w:rFonts w:ascii="Times New Roman" w:hAnsi="Times New Roman" w:eastAsia="Times New Roman" w:cs="Times New Roman"/>
        </w:rPr>
        <w:t xml:space="preserve"> </w:t>
      </w:r>
      <w:r>
        <w:rPr>
          <w:rFonts w:ascii="Nirmala UI" w:hAnsi="Nirmala UI" w:eastAsia="Nirmala UI" w:cs="Nirmala UI"/>
        </w:rPr>
        <w:t>শোকপালনের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একুশ</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পেরেছিলেন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শোকের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দিনগুলিতে</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বৃদ্ধি</w:t>
      </w:r>
      <w:r>
        <w:rPr>
          <w:rFonts w:ascii="Times New Roman" w:hAnsi="Times New Roman" w:eastAsia="Times New Roman" w:cs="Times New Roman"/>
        </w:rPr>
        <w:t xml:space="preserve"> 1856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বর্ধিত</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মিলারাইটেরাও</w:t>
      </w:r>
      <w:r>
        <w:rPr>
          <w:rFonts w:ascii="Times New Roman" w:hAnsi="Times New Roman" w:eastAsia="Times New Roman" w:cs="Times New Roman"/>
        </w:rPr>
        <w:t xml:space="preserve"> </w:t>
      </w:r>
      <w:r>
        <w:rPr>
          <w:rFonts w:ascii="Nirmala UI" w:hAnsi="Nirmala UI" w:eastAsia="Nirmala UI" w:cs="Nirmala UI"/>
        </w:rPr>
        <w:t>পূর্বেই</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জানত</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অতিরিক্ত</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সংযোজিত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ঠিক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সন্ধিক্ষণে</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ফিলাডেলফীয়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লাওদিকেয়</w:t>
      </w:r>
      <w:r>
        <w:rPr>
          <w:rFonts w:ascii="Times New Roman" w:hAnsi="Times New Roman" w:eastAsia="Times New Roman" w:cs="Times New Roman"/>
        </w:rPr>
        <w:t xml:space="preserve"> </w:t>
      </w:r>
      <w:r>
        <w:rPr>
          <w:rFonts w:ascii="Nirmala UI" w:hAnsi="Nirmala UI" w:eastAsia="Nirmala UI" w:cs="Nirmala UI"/>
        </w:rPr>
        <w:t>আন্দোলনে</w:t>
      </w:r>
      <w:r>
        <w:rPr>
          <w:rFonts w:ascii="Times New Roman" w:hAnsi="Times New Roman" w:eastAsia="Times New Roman" w:cs="Times New Roman"/>
        </w:rPr>
        <w:t xml:space="preserve"> </w:t>
      </w:r>
      <w:r>
        <w:rPr>
          <w:rFonts w:ascii="Nirmala UI" w:hAnsi="Nirmala UI" w:eastAsia="Nirmala UI" w:cs="Nirmala UI"/>
        </w:rPr>
        <w:t>রূপান্তরিত</w:t>
      </w:r>
      <w:r>
        <w:rPr>
          <w:rFonts w:ascii="Times New Roman" w:hAnsi="Times New Roman" w:eastAsia="Times New Roman" w:cs="Times New Roman"/>
        </w:rPr>
        <w:t xml:space="preserve"> </w:t>
      </w:r>
      <w:r>
        <w:rPr>
          <w:rFonts w:ascii="Nirmala UI" w:hAnsi="Nirmala UI" w:eastAsia="Nirmala UI" w:cs="Nirmala UI"/>
        </w:rPr>
        <w:t>হচ্ছিল।</w:t>
      </w:r>
    </w:p>
    <w:p>
      <w:pPr>
        <w:pStyle w:val="ArticleBody"/>
        <w:jc w:val="left"/>
      </w:pPr>
      <w:r>
        <w:rPr>
          <w:rFonts w:ascii="Myanmar Text" w:hAnsi="Myanmar Text" w:eastAsia="Myanmar Text" w:cs="Myanmar Text"/>
        </w:rPr>
        <w:t>အဘက်တေရှဇ္ဇာ၏</w:t>
      </w:r>
      <w:r>
        <w:rPr>
          <w:rFonts w:ascii="Times New Roman" w:hAnsi="Times New Roman" w:eastAsia="Times New Roman" w:cs="Times New Roman"/>
        </w:rPr>
        <w:t xml:space="preserve"> </w:t>
      </w:r>
      <w:r>
        <w:rPr>
          <w:rFonts w:ascii="Myanmar Text" w:hAnsi="Myanmar Text" w:eastAsia="Myanmar Text" w:cs="Myanmar Text"/>
        </w:rPr>
        <w:t>ဝမ်းနည်းပူဆွေးရသော</w:t>
      </w:r>
      <w:r>
        <w:rPr>
          <w:rFonts w:ascii="Times New Roman" w:hAnsi="Times New Roman" w:eastAsia="Times New Roman" w:cs="Times New Roman"/>
        </w:rPr>
        <w:t xml:space="preserve"> </w:t>
      </w:r>
      <w:r>
        <w:rPr>
          <w:rFonts w:ascii="Myanmar Text" w:hAnsi="Myanmar Text" w:eastAsia="Myanmar Text" w:cs="Myanmar Text"/>
        </w:rPr>
        <w:t>နေ့ရက်များသည်</w:t>
      </w:r>
      <w:r>
        <w:rPr>
          <w:rFonts w:ascii="Times New Roman" w:hAnsi="Times New Roman" w:eastAsia="Times New Roman" w:cs="Times New Roman"/>
        </w:rPr>
        <w:t xml:space="preserve"> </w:t>
      </w:r>
      <w:r>
        <w:rPr>
          <w:rFonts w:ascii="Myanmar Text" w:hAnsi="Myanmar Text" w:eastAsia="Myanmar Text" w:cs="Myanmar Text"/>
        </w:rPr>
        <w:t>၁၈၅၆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ဖီလဒယ်ဖီးယားလှုပ်ရှားမှုမှ</w:t>
      </w:r>
      <w:r>
        <w:rPr>
          <w:rFonts w:ascii="Times New Roman" w:hAnsi="Times New Roman" w:eastAsia="Times New Roman" w:cs="Times New Roman"/>
        </w:rPr>
        <w:t xml:space="preserve"> </w:t>
      </w:r>
      <w:r>
        <w:rPr>
          <w:rFonts w:ascii="Myanmar Text" w:hAnsi="Myanmar Text" w:eastAsia="Myanmar Text" w:cs="Myanmar Text"/>
        </w:rPr>
        <w:t>လာအိုဒိကေယလှုပ်ရှားမှုသို့</w:t>
      </w:r>
      <w:r>
        <w:rPr>
          <w:rFonts w:ascii="Times New Roman" w:hAnsi="Times New Roman" w:eastAsia="Times New Roman" w:cs="Times New Roman"/>
        </w:rPr>
        <w:t xml:space="preserve"> </w:t>
      </w:r>
      <w:r>
        <w:rPr>
          <w:rFonts w:ascii="Myanmar Text" w:hAnsi="Myanmar Text" w:eastAsia="Myanmar Text" w:cs="Myanmar Text"/>
        </w:rPr>
        <w:t>ကူးပြောင်းခဲ့သည့်</w:t>
      </w:r>
      <w:r>
        <w:rPr>
          <w:rFonts w:ascii="Times New Roman" w:hAnsi="Times New Roman" w:eastAsia="Times New Roman" w:cs="Times New Roman"/>
        </w:rPr>
        <w:t xml:space="preserve"> </w:t>
      </w:r>
      <w:r>
        <w:rPr>
          <w:rFonts w:ascii="Myanmar Text" w:hAnsi="Myanmar Text" w:eastAsia="Myanmar Text" w:cs="Myanmar Text"/>
        </w:rPr>
        <w:t>အချိန်နှင့်၊</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၁၈၆၃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လာအိုဒိကေယ</w:t>
      </w:r>
      <w:r>
        <w:rPr>
          <w:rFonts w:ascii="Times New Roman" w:hAnsi="Times New Roman" w:eastAsia="Times New Roman" w:cs="Times New Roman"/>
        </w:rPr>
        <w:t xml:space="preserve"> </w:t>
      </w:r>
      <w:r>
        <w:rPr>
          <w:rFonts w:ascii="Myanmar Text" w:hAnsi="Myanmar Text" w:eastAsia="Myanmar Text" w:cs="Myanmar Text"/>
        </w:rPr>
        <w:t>အက်ဒ်ဗင်တစ်အသင်းတော်သို့</w:t>
      </w:r>
      <w:r>
        <w:rPr>
          <w:rFonts w:ascii="Times New Roman" w:hAnsi="Times New Roman" w:eastAsia="Times New Roman" w:cs="Times New Roman"/>
        </w:rPr>
        <w:t xml:space="preserve"> </w:t>
      </w:r>
      <w:r>
        <w:rPr>
          <w:rFonts w:ascii="Myanmar Text" w:hAnsi="Myanmar Text" w:eastAsia="Myanmar Text" w:cs="Myanmar Text"/>
        </w:rPr>
        <w:t>ကူးပြောင်းခဲ့သည့်</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ပရောဖက်ပြုသမိုင်းနှင့်</w:t>
      </w:r>
      <w:r>
        <w:rPr>
          <w:rFonts w:ascii="Times New Roman" w:hAnsi="Times New Roman" w:eastAsia="Times New Roman" w:cs="Times New Roman"/>
        </w:rPr>
        <w:t xml:space="preserve"> </w:t>
      </w:r>
      <w:r>
        <w:rPr>
          <w:rFonts w:ascii="Myanmar Text" w:hAnsi="Myanmar Text" w:eastAsia="Myanmar Text" w:cs="Myanmar Text"/>
        </w:rPr>
        <w:t>တစ်ပြိုင်နက်တည်းညီမျှနေသည်။</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တိုးမြှင့်သော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ရရှိခဲ့သည့်</w:t>
      </w:r>
      <w:r>
        <w:rPr>
          <w:rFonts w:ascii="Times New Roman" w:hAnsi="Times New Roman" w:eastAsia="Times New Roman" w:cs="Times New Roman"/>
        </w:rPr>
        <w:t xml:space="preserve"> </w:t>
      </w:r>
      <w:r>
        <w:rPr>
          <w:rFonts w:ascii="Myanmar Text" w:hAnsi="Myanmar Text" w:eastAsia="Myanmar Text" w:cs="Myanmar Text"/>
        </w:rPr>
        <w:t>အဘက်တေရှဇ္ဇာ၏</w:t>
      </w:r>
      <w:r>
        <w:rPr>
          <w:rFonts w:ascii="Times New Roman" w:hAnsi="Times New Roman" w:eastAsia="Times New Roman" w:cs="Times New Roman"/>
        </w:rPr>
        <w:t xml:space="preserve"> </w:t>
      </w:r>
      <w:r>
        <w:rPr>
          <w:rFonts w:ascii="Myanmar Text" w:hAnsi="Myanmar Text" w:eastAsia="Myanmar Text" w:cs="Myanmar Text"/>
        </w:rPr>
        <w:t>သမိုင်းနှင့်</w:t>
      </w:r>
      <w:r>
        <w:rPr>
          <w:rFonts w:ascii="Times New Roman" w:hAnsi="Times New Roman" w:eastAsia="Times New Roman" w:cs="Times New Roman"/>
        </w:rPr>
        <w:t xml:space="preserve"> </w:t>
      </w:r>
      <w:r>
        <w:rPr>
          <w:rFonts w:ascii="Myanmar Text" w:hAnsi="Myanmar Text" w:eastAsia="Myanmar Text" w:cs="Myanmar Text"/>
        </w:rPr>
        <w:t>မီလာရိုက်တို့၏</w:t>
      </w:r>
      <w:r>
        <w:rPr>
          <w:rFonts w:ascii="Times New Roman" w:hAnsi="Times New Roman" w:eastAsia="Times New Roman" w:cs="Times New Roman"/>
        </w:rPr>
        <w:t xml:space="preserve"> </w:t>
      </w:r>
      <w:r>
        <w:rPr>
          <w:rFonts w:ascii="Myanmar Text" w:hAnsi="Myanmar Text" w:eastAsia="Myanmar Text" w:cs="Myanmar Text"/>
        </w:rPr>
        <w:t>သမိုင်း</w:t>
      </w:r>
      <w:r>
        <w:rPr>
          <w:rFonts w:ascii="Times New Roman" w:hAnsi="Times New Roman" w:eastAsia="Times New Roman" w:cs="Times New Roman"/>
        </w:rPr>
        <w:t xml:space="preserve"> </w:t>
      </w:r>
      <w:r>
        <w:rPr>
          <w:rFonts w:ascii="Myanmar Text" w:hAnsi="Myanmar Text" w:eastAsia="Myanmar Text" w:cs="Myanmar Text"/>
        </w:rPr>
        <w:t>နှစ်ရပ်စလုံးသည်၊</w:t>
      </w:r>
      <w:r>
        <w:rPr>
          <w:rFonts w:ascii="Times New Roman" w:hAnsi="Times New Roman" w:eastAsia="Times New Roman" w:cs="Times New Roman"/>
        </w:rPr>
        <w:t xml:space="preserve"> </w:t>
      </w:r>
      <w:r>
        <w:rPr>
          <w:rFonts w:ascii="Myanmar Text" w:hAnsi="Myanmar Text" w:eastAsia="Myanmar Text" w:cs="Myanmar Text"/>
        </w:rPr>
        <w:t>တတိယကောင်းကင်တမန်၏</w:t>
      </w:r>
      <w:r>
        <w:rPr>
          <w:rFonts w:ascii="Times New Roman" w:hAnsi="Times New Roman" w:eastAsia="Times New Roman" w:cs="Times New Roman"/>
        </w:rPr>
        <w:t xml:space="preserve"> </w:t>
      </w:r>
      <w:r>
        <w:rPr>
          <w:rFonts w:ascii="Myanmar Text" w:hAnsi="Myanmar Text" w:eastAsia="Myanmar Text" w:cs="Myanmar Text"/>
        </w:rPr>
        <w:t>လာအိုဒိကေယလှုပ်ရှားမှုမှ</w:t>
      </w:r>
      <w:r>
        <w:rPr>
          <w:rFonts w:ascii="Times New Roman" w:hAnsi="Times New Roman" w:eastAsia="Times New Roman" w:cs="Times New Roman"/>
        </w:rPr>
        <w:t xml:space="preserve"> </w:t>
      </w:r>
      <w:r>
        <w:rPr>
          <w:rFonts w:ascii="Myanmar Text" w:hAnsi="Myanmar Text" w:eastAsia="Myanmar Text" w:cs="Myanmar Text"/>
        </w:rPr>
        <w:t>တစ်ရာလေးသောင်းလေးထောင်၏</w:t>
      </w:r>
      <w:r>
        <w:rPr>
          <w:rFonts w:ascii="Times New Roman" w:hAnsi="Times New Roman" w:eastAsia="Times New Roman" w:cs="Times New Roman"/>
        </w:rPr>
        <w:t xml:space="preserve"> </w:t>
      </w:r>
      <w:r>
        <w:rPr>
          <w:rFonts w:ascii="Myanmar Text" w:hAnsi="Myanmar Text" w:eastAsia="Myanmar Text" w:cs="Myanmar Text"/>
        </w:rPr>
        <w:t>ဖီလဒယ်ဖီးယားလှုပ်ရှားမှုသို့</w:t>
      </w:r>
      <w:r>
        <w:rPr>
          <w:rFonts w:ascii="Times New Roman" w:hAnsi="Times New Roman" w:eastAsia="Times New Roman" w:cs="Times New Roman"/>
        </w:rPr>
        <w:t xml:space="preserve"> </w:t>
      </w:r>
      <w:r>
        <w:rPr>
          <w:rFonts w:ascii="Myanmar Text" w:hAnsi="Myanmar Text" w:eastAsia="Myanmar Text" w:cs="Myanmar Text"/>
        </w:rPr>
        <w:t>ကူးပြောင်းခြင်းနှင့်</w:t>
      </w:r>
      <w:r>
        <w:rPr>
          <w:rFonts w:ascii="Times New Roman" w:hAnsi="Times New Roman" w:eastAsia="Times New Roman" w:cs="Times New Roman"/>
        </w:rPr>
        <w:t xml:space="preserve"> </w:t>
      </w:r>
      <w:r>
        <w:rPr>
          <w:rFonts w:ascii="Myanmar Text" w:hAnsi="Myanmar Text" w:eastAsia="Myanmar Text" w:cs="Myanmar Text"/>
        </w:rPr>
        <w:t>ကိုက်ညီလျက်ရှိပြီး၊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ဝမ်းနည်းပူဆွေးရသော</w:t>
      </w:r>
      <w:r>
        <w:rPr>
          <w:rFonts w:ascii="Times New Roman" w:hAnsi="Times New Roman" w:eastAsia="Times New Roman" w:cs="Times New Roman"/>
        </w:rPr>
        <w:t xml:space="preserve"> </w:t>
      </w:r>
      <w:r>
        <w:rPr>
          <w:rFonts w:ascii="Myanmar Text" w:hAnsi="Myanmar Text" w:eastAsia="Myanmar Text" w:cs="Myanmar Text"/>
        </w:rPr>
        <w:t>နေ့ရက်များ၌လည်း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ထိုကာလသည်</w:t>
      </w:r>
      <w:r>
        <w:rPr>
          <w:rFonts w:ascii="Times New Roman" w:hAnsi="Times New Roman" w:eastAsia="Times New Roman" w:cs="Times New Roman"/>
        </w:rPr>
        <w:t xml:space="preserve"> </w:t>
      </w:r>
      <w:r>
        <w:rPr>
          <w:rFonts w:ascii="Myanmar Text" w:hAnsi="Myanmar Text" w:eastAsia="Myanmar Text" w:cs="Myanmar Text"/>
        </w:rPr>
        <w:t>တာရှည်စောင့်ဆိုင်းရသော</w:t>
      </w:r>
      <w:r>
        <w:rPr>
          <w:rFonts w:ascii="Times New Roman" w:hAnsi="Times New Roman" w:eastAsia="Times New Roman" w:cs="Times New Roman"/>
        </w:rPr>
        <w:t xml:space="preserve"> </w:t>
      </w:r>
      <w:r>
        <w:rPr>
          <w:rFonts w:ascii="Myanmar Text" w:hAnsi="Myanmar Text" w:eastAsia="Myanmar Text" w:cs="Myanmar Text"/>
        </w:rPr>
        <w:t>အချိန်ကာလဖြစ်ပြီး၊</w:t>
      </w:r>
      <w:r>
        <w:rPr>
          <w:rFonts w:ascii="Times New Roman" w:hAnsi="Times New Roman" w:eastAsia="Times New Roman" w:cs="Times New Roman"/>
        </w:rPr>
        <w:t xml:space="preserve"> “</w:t>
      </w:r>
      <w:r>
        <w:rPr>
          <w:rFonts w:ascii="Myanmar Text" w:hAnsi="Myanmar Text" w:eastAsia="Myanmar Text" w:cs="Myanmar Text"/>
        </w:rPr>
        <w:t>ခုနစ်ကာလ</w:t>
      </w:r>
      <w:r>
        <w:rPr>
          <w:rFonts w:ascii="Times New Roman" w:hAnsi="Times New Roman" w:eastAsia="Times New Roman" w:cs="Times New Roman"/>
        </w:rPr>
        <w:t xml:space="preserve">” </w:t>
      </w:r>
      <w:r>
        <w:rPr>
          <w:rFonts w:ascii="Myanmar Text" w:hAnsi="Myanmar Text" w:eastAsia="Myanmar Text" w:cs="Myanmar Text"/>
        </w:rPr>
        <w:t>အပေါ်</w:t>
      </w:r>
      <w:r>
        <w:rPr>
          <w:rFonts w:ascii="Times New Roman" w:hAnsi="Times New Roman" w:eastAsia="Times New Roman" w:cs="Times New Roman"/>
        </w:rPr>
        <w:t xml:space="preserve"> </w:t>
      </w:r>
      <w:r>
        <w:rPr>
          <w:rFonts w:ascii="Myanmar Text" w:hAnsi="Myanmar Text" w:eastAsia="Myanmar Text" w:cs="Myanmar Text"/>
        </w:rPr>
        <w:t>တိုးမြှင့်သော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ထုတ်ဖော်ပြသရမည့်</w:t>
      </w:r>
      <w:r>
        <w:rPr>
          <w:rFonts w:ascii="Times New Roman" w:hAnsi="Times New Roman" w:eastAsia="Times New Roman" w:cs="Times New Roman"/>
        </w:rPr>
        <w:t xml:space="preserve"> </w:t>
      </w:r>
      <w:r>
        <w:rPr>
          <w:rFonts w:ascii="Myanmar Text" w:hAnsi="Myanmar Text" w:eastAsia="Myanmar Text" w:cs="Myanmar Text"/>
        </w:rPr>
        <w:t>အချိန်လည်း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Belteshazzar représente à la fois un messager et un mouvement. Aux jours de son deuil, le messager doit comprendre la « chose », qui est la Vérité, puis il doit présenter la « chose » à un mouvement, lorsque Michael ressuscite les deux témoins en 2023.</w:t>
      </w:r>
    </w:p>
    <w:p>
      <w:pPr>
        <w:pStyle w:val="ArticleBody"/>
        <w:jc w:val="left"/>
      </w:pPr>
      <w:r>
        <w:rPr>
          <w:rFonts w:ascii="Times New Roman" w:hAnsi="Times New Roman" w:eastAsia="Times New Roman" w:cs="Times New Roman"/>
        </w:rPr>
        <w:t>ʻOku fakahaaʻi ʻi he foʻi lea faka-Hepelū ko e “mareh” (ko e mata-meʻa ʻo e hā mai ʻa Kalaisi), ʻa ia ʻoku fakahā ʻi he veesi ʻuluaki naʻe mahino kia Taniela, ʻoku tuʻu atu tuʻo fā ʻi he mata-meʻa fakaʻosi ʻa Taniela. ʻOku liliu ia tuʻo ua ko e “mata-meʻa,” pea tuʻo ua ko e “hā mai.” ʻI he fuofua taimi ʻoku ngāueʻaki ai ʻe Taniela ʻa e foʻi lea ʻi he veesi ʻuluaki, ʻokú ne fakahaaʻi ai naʻá ne mahinoʻi ʻa e “mata-meʻa,” ka ko e toe lave ʻe tolu ʻoku nau fakahaaʻi ʻa e aʻusia ʻe Taniela ʻa e mata-meʻá. ʻI he veesi ono, ko e fofonga ʻo Kalaisí naʻe “hangē ko e ‘hā mai’ ʻo e ʻuhila.”</w:t>
      </w:r>
    </w:p>
    <w:p>
      <w:pPr>
        <w:pStyle w:val="ArticleScripture"/>
        <w:jc w:val="left"/>
      </w:pPr>
      <w:r>
        <w:rPr>
          <w:rFonts w:ascii="Times New Roman" w:hAnsi="Times New Roman" w:eastAsia="Times New Roman" w:cs="Times New Roman"/>
        </w:rPr>
        <w:t>Na siku ya ishirini na nne ya mwezi wa kwanza, nilipokuwa kando ya ule mto mkubwa, yaani, Hidekeli; ndipo nikainua macho yangu, nikaona, na tazama, mtu mmoja aliyekuwa amevaa kitani, na viuno vyake vimefungwa kwa dhahabu safi ya Ufaazi: mwili wake nao ulikuwa mfano wa zabarajadi, na uso wake kama umbo la umeme, na macho yake kama taa za moto, na mikono yake na miguu yake kama rangi ya shaba iliyosuguliwa sana, na sauti ya maneno yake kama sauti ya umati. Nami, Danieli, peke yangu nikaona maono hayo; kwa maana wale watu waliokuwa pamoja nami hawakuyaona maono hayo; lakini tetemeko kubwa likawaangukia, hata wakakimbia kujificha. Basi nikabaki peke yangu, nikayaona maono haya makubwa, wala nguvu hazikubaki ndani yangu; kwa maana uzuri wangu uligeuka ndani yangu kuwa uharibifu, nami sikubaki na nguvu. Danieli 10:4–8.</w:t>
      </w:r>
    </w:p>
    <w:p>
      <w:pPr>
        <w:pStyle w:val="ArticleBody"/>
        <w:jc w:val="left"/>
      </w:pPr>
      <w:r>
        <w:rPr>
          <w:rFonts w:ascii="Times New Roman" w:hAnsi="Times New Roman" w:eastAsia="Times New Roman" w:cs="Times New Roman"/>
        </w:rPr>
        <w:t>Hay otra palabra hebrea traducida como «visión», que abordaremos después de exponer algunas características de la palabra hebrea «mareh». En los versículos anteriores, la palabra «apariencia» corresponde a la voz hebrea «mareh». La misma palabra se traduce como «visión» en el versículo dieciséis. En el versículo dieciséis, la visión de Cristo ha llenado de tristeza a Daniel.</w:t>
      </w:r>
    </w:p>
    <w:p>
      <w:pPr>
        <w:pStyle w:val="ArticleScripture"/>
        <w:jc w:val="left"/>
      </w:pPr>
      <w:r>
        <w:rPr>
          <w:rFonts w:ascii="Times New Roman" w:hAnsi="Times New Roman" w:eastAsia="Times New Roman" w:cs="Times New Roman"/>
        </w:rPr>
        <w:t>И ето, един, подобен на човешките синове, се допря до устните ми; тогава отворих устата си, проговорих и рекох на онзи, който стоеше пред мене: О, господарю мой, от видението скърбите ме обзеха и не остана в мене сила. Даниил 10:16.</w:t>
      </w:r>
    </w:p>
    <w:p>
      <w:pPr>
        <w:pStyle w:val="ArticleBody"/>
        <w:jc w:val="left"/>
      </w:pPr>
      <w:r>
        <w:rPr>
          <w:rFonts w:ascii="Times New Roman" w:hAnsi="Times New Roman" w:eastAsia="Times New Roman" w:cs="Times New Roman"/>
        </w:rPr>
        <w:t>Neno la Kiebrania lililotafsiriwa kuwa “huzuni” linamaanisha bawaba, na “maono” ya kutokea kwake Kristo ambayo Danieli aliona katika aya hiyo yaligeuka kwenye bawaba. “Bawaba” katika unabii huwakilisha hatua ya kugeukia.</w:t>
      </w:r>
    </w:p>
    <w:p>
      <w:pPr>
        <w:pStyle w:val="ArticleScripture"/>
        <w:jc w:val="left"/>
      </w:pPr>
      <w:r>
        <w:rPr>
          <w:rFonts w:ascii="Times New Roman" w:hAnsi="Times New Roman" w:eastAsia="Times New Roman" w:cs="Times New Roman"/>
        </w:rPr>
        <w:t>"Dagiti adal ket masapul a maadal manipud iti pakasaritaan ti napalabas; ket ti imatang maawis kadagitoy, tapno maawatan ti amin a ti Dios agtrabaho ita kadagiti isu met laeng a linya a naaramidanna iti amin a tiempo. Ti imana ket makita iti Trabahona ken iti tengnga dagiti nasnacion ita, kas met laeng iti pannakakitana manipud idi naipakdaar ti evangelio kenni Adan idiay Eden.</w:t>
      </w:r>
    </w:p>
    <w:p>
      <w:pPr>
        <w:pStyle w:val="ArticleScripture"/>
        <w:jc w:val="left"/>
      </w:pPr>
      <w:r>
        <w:rPr>
          <w:rFonts w:ascii="Times New Roman" w:hAnsi="Times New Roman" w:eastAsia="Times New Roman" w:cs="Times New Roman"/>
        </w:rPr>
        <w:t>“Det finnes perioder som er vendepunkter i nasjonenes og menighetens historie. I Guds forsyn, når disse ulike krisene inntreffer, blir lyset for den tiden gitt. Dersom det blir mottatt, følger åndelig framgang; dersom det blir forkastet, følger åndelig tilbakegang og forlis. Herren har i sitt ord åpenbart evangeliets framrykkende verk, slik det er blitt ført fram i fortiden, og slik det vil være i framtiden, helt til den avsluttende strid, når sataniske makter vil gjøre sitt siste forunderlige fremstøt.” Bible Echo, 26. august 1895.</w:t>
      </w:r>
    </w:p>
    <w:p>
      <w:pPr>
        <w:pStyle w:val="ArticleBody"/>
        <w:jc w:val="left"/>
      </w:pPr>
      <w:r>
        <w:rPr>
          <w:rFonts w:ascii="Nirmala UI" w:hAnsi="Nirmala UI" w:eastAsia="Nirmala UI" w:cs="Nirmala UI"/>
        </w:rPr>
        <w:t>૧૬મો</w:t>
      </w:r>
      <w:r>
        <w:rPr>
          <w:rFonts w:ascii="Times New Roman" w:hAnsi="Times New Roman" w:eastAsia="Times New Roman" w:cs="Times New Roman"/>
        </w:rPr>
        <w:t xml:space="preserve"> </w:t>
      </w:r>
      <w:r>
        <w:rPr>
          <w:rFonts w:ascii="Nirmala UI" w:hAnsi="Nirmala UI" w:eastAsia="Nirmala UI" w:cs="Nirmala UI"/>
        </w:rPr>
        <w:t>શ્લોક</w:t>
      </w:r>
      <w:r>
        <w:rPr>
          <w:rFonts w:ascii="Times New Roman" w:hAnsi="Times New Roman" w:eastAsia="Times New Roman" w:cs="Times New Roman"/>
        </w:rPr>
        <w:t xml:space="preserve"> </w:t>
      </w:r>
      <w:r>
        <w:rPr>
          <w:rFonts w:ascii="Nirmala UI" w:hAnsi="Nirmala UI" w:eastAsia="Nirmala UI" w:cs="Nirmala UI"/>
        </w:rPr>
        <w:t>બેલ્તેશઝ્ઝર</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ઇતિહાસનું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વળાંકબિંદુ</w:t>
      </w:r>
      <w:r>
        <w:rPr>
          <w:rFonts w:ascii="Times New Roman" w:hAnsi="Times New Roman" w:eastAsia="Times New Roman" w:cs="Times New Roman"/>
        </w:rPr>
        <w:t xml:space="preserve"> </w:t>
      </w:r>
      <w:r>
        <w:rPr>
          <w:rFonts w:ascii="Nirmala UI" w:hAnsi="Nirmala UI" w:eastAsia="Nirmala UI" w:cs="Nirmala UI"/>
        </w:rPr>
        <w:t>દર્શાવે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રિપબ્લિકન</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રાષ્ટ્ર</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પ્રોટેસ્ટન્ટ</w:t>
      </w:r>
      <w:r>
        <w:rPr>
          <w:rFonts w:ascii="Times New Roman" w:hAnsi="Times New Roman" w:eastAsia="Times New Roman" w:cs="Times New Roman"/>
        </w:rPr>
        <w:t xml:space="preserve"> </w:t>
      </w:r>
      <w:r>
        <w:rPr>
          <w:rFonts w:ascii="Nirmala UI" w:hAnsi="Nirmala UI" w:eastAsia="Nirmala UI" w:cs="Nirmala UI"/>
        </w:rPr>
        <w:t>શિંગડા</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બંને</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વળાંકબિંદુ</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સંકટનું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બિંદુનું</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વિશેષ</w:t>
      </w:r>
      <w:r>
        <w:rPr>
          <w:rFonts w:ascii="Times New Roman" w:hAnsi="Times New Roman" w:eastAsia="Times New Roman" w:cs="Times New Roman"/>
        </w:rPr>
        <w:t xml:space="preserve"> </w:t>
      </w:r>
      <w:r>
        <w:rPr>
          <w:rFonts w:ascii="Nirmala UI" w:hAnsi="Nirmala UI" w:eastAsia="Nirmala UI" w:cs="Nirmala UI"/>
        </w:rPr>
        <w:t>પ્રકાશ</w:t>
      </w:r>
      <w:r>
        <w:rPr>
          <w:rFonts w:ascii="Times New Roman" w:hAnsi="Times New Roman" w:eastAsia="Times New Roman" w:cs="Times New Roman"/>
        </w:rPr>
        <w:t xml:space="preserve"> </w:t>
      </w:r>
      <w:r>
        <w:rPr>
          <w:rFonts w:ascii="Nirmala UI" w:hAnsi="Nirmala UI" w:eastAsia="Nirmala UI" w:cs="Nirmala UI"/>
        </w:rPr>
        <w:t>આપવામાં</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માટેનો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વળાંક</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સ્પર્શ</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વખતમાંથી</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દાનિયેલને</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વખત</w:t>
      </w:r>
      <w:r>
        <w:rPr>
          <w:rFonts w:ascii="Times New Roman" w:hAnsi="Times New Roman" w:eastAsia="Times New Roman" w:cs="Times New Roman"/>
        </w:rPr>
        <w:t xml:space="preserve"> </w:t>
      </w:r>
      <w:r>
        <w:rPr>
          <w:rFonts w:ascii="Nirmala UI" w:hAnsi="Nirmala UI" w:eastAsia="Nirmala UI" w:cs="Nirmala UI"/>
        </w:rPr>
        <w:t>સ્પર્શ</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આવવાનો</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સ્પર્શ</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આવ્યો</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w:t>
      </w:r>
      <w:r>
        <w:rPr>
          <w:rFonts w:ascii="Nirmala UI" w:hAnsi="Nirmala UI" w:eastAsia="Nirmala UI" w:cs="Nirmala UI"/>
        </w:rPr>
        <w:t>માટે</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વળાંકબિંદુ</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વળાંકબિંદુ</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ત્રણ</w:t>
      </w:r>
      <w:r>
        <w:rPr>
          <w:rFonts w:ascii="Times New Roman" w:hAnsi="Times New Roman" w:eastAsia="Times New Roman" w:cs="Times New Roman"/>
        </w:rPr>
        <w:t xml:space="preserve"> </w:t>
      </w:r>
      <w:r>
        <w:rPr>
          <w:rFonts w:ascii="Nirmala UI" w:hAnsi="Nirmala UI" w:eastAsia="Nirmala UI" w:cs="Nirmala UI"/>
        </w:rPr>
        <w:t>વખતમાંથી</w:t>
      </w:r>
      <w:r>
        <w:rPr>
          <w:rFonts w:ascii="Times New Roman" w:hAnsi="Times New Roman" w:eastAsia="Times New Roman" w:cs="Times New Roman"/>
        </w:rPr>
        <w:t xml:space="preserve"> </w:t>
      </w:r>
      <w:r>
        <w:rPr>
          <w:rFonts w:ascii="Nirmala UI" w:hAnsi="Nirmala UI" w:eastAsia="Nirmala UI" w:cs="Nirmala UI"/>
        </w:rPr>
        <w:t>બીજી</w:t>
      </w:r>
      <w:r>
        <w:rPr>
          <w:rFonts w:ascii="Times New Roman" w:hAnsi="Times New Roman" w:eastAsia="Times New Roman" w:cs="Times New Roman"/>
        </w:rPr>
        <w:t xml:space="preserve"> </w:t>
      </w:r>
      <w:r>
        <w:rPr>
          <w:rFonts w:ascii="Nirmala UI" w:hAnsi="Nirmala UI" w:eastAsia="Nirmala UI" w:cs="Nirmala UI"/>
        </w:rPr>
        <w:t>વાર</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દાનિયેલે</w:t>
      </w:r>
      <w:r>
        <w:rPr>
          <w:rFonts w:ascii="Times New Roman" w:hAnsi="Times New Roman" w:eastAsia="Times New Roman" w:cs="Times New Roman"/>
        </w:rPr>
        <w:t xml:space="preserve"> “mareh”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voici, quelqu’un qui avait l’apparence des fils des hommes toucha mes lèvres ; alors j’ouvris la bouche, je parlai, et je dis à celui qui se tenait devant moi : Ô mon seigneur, à cause de la vision, les douleurs m’ont saisi, et je n’ai conservé aucune force. Daniel 10:16.</w:t>
      </w:r>
    </w:p>
    <w:p>
      <w:pPr>
        <w:pStyle w:val="ArticleBody"/>
        <w:jc w:val="left"/>
      </w:pPr>
      <w:r>
        <w:rPr>
          <w:rFonts w:ascii="Times New Roman" w:hAnsi="Times New Roman" w:eastAsia="Times New Roman" w:cs="Times New Roman"/>
        </w:rPr>
        <w:t>Nous aborderons sous peu les trois attouchements. La première des quatre fois où Daniel emploie le mot « mareh », c’est dans son témoignage qu’il comprenait la vision, et les trois dernières occurrences désignent son expérience lorsqu’il vit réellement l’apparence. La troisième fois où il désigne la vision de l’apparence se trouve au verset dix-huit, où il est touché pour la troisième fois.</w:t>
      </w:r>
    </w:p>
    <w:p>
      <w:pPr>
        <w:pStyle w:val="ArticleScripture"/>
        <w:jc w:val="left"/>
      </w:pPr>
      <w:r>
        <w:rPr>
          <w:rFonts w:ascii="Times New Roman" w:hAnsi="Times New Roman" w:eastAsia="Times New Roman" w:cs="Times New Roman"/>
        </w:rPr>
        <w:t>Alors revint celui qui avait l’apparence d’un homme, il me toucha, et il me fortifia. Daniel 10:18.</w:t>
      </w:r>
    </w:p>
    <w:p>
      <w:pPr>
        <w:pStyle w:val="ArticleBody"/>
        <w:jc w:val="left"/>
      </w:pPr>
      <w:r>
        <w:rPr>
          <w:rFonts w:ascii="Times New Roman" w:hAnsi="Times New Roman" w:eastAsia="Times New Roman" w:cs="Times New Roman"/>
        </w:rPr>
        <w:t>By der twadde oanrekking, yn fers sechstjin, dat de twadde ferwizing nei it “marah”-gesicht is, is syn krêft ferdwûn; mar by de tredde oanrekking wurdt syn krêft wersteld. Yn de fersen tsien, sechstjin en achttjin wurdt Daniël oanrekke. Yn fers seis sjocht Daniël de ferskining fan Kristus, en dêrnei Gabriël, en yn fers tsien rekket Gabriël Daniël foar de earste kear oan.</w:t>
      </w:r>
    </w:p>
    <w:p>
      <w:pPr>
        <w:pStyle w:val="ArticleScripture"/>
        <w:jc w:val="left"/>
      </w:pPr>
      <w:r>
        <w:rPr>
          <w:rFonts w:ascii="Times New Roman" w:hAnsi="Times New Roman" w:eastAsia="Times New Roman" w:cs="Times New Roman"/>
        </w:rPr>
        <w:t>Então levantei os meus olhos e olhei, e eis certo homem vestido de linho, cujos lombos estavam cingidos com ouro fino de Uphaz; o seu corpo também era como o berilo, e o seu rosto como o aspecto de um relâmpago, e os seus olhos como tochas de fogo, e os seus braços e os seus pés como o brilho de bronze polido, e a voz das suas palavras como a voz de uma multidão. E eu, Daniel, vi sozinho a visão; pois os homens que estavam comigo não viram a visão; porém grande tremor caiu sobre eles, de modo que fugiram para se esconder. Portanto, fiquei eu só, e vi esta grande visão, e não restou força em mim; porque a minha formosura se tornou em mim em corrupção, e não retive força.</w:t>
      </w:r>
    </w:p>
    <w:p>
      <w:pPr>
        <w:pStyle w:val="ArticleScripture"/>
        <w:jc w:val="left"/>
      </w:pPr>
      <w:r>
        <w:rPr>
          <w:rFonts w:ascii="Times New Roman" w:hAnsi="Times New Roman" w:eastAsia="Times New Roman" w:cs="Times New Roman"/>
        </w:rPr>
        <w:t>Taču es dzirdēju viņa vārdu balsi; un, kad es dzirdēju viņa vārdu balsi, tad es iegrimu dziļā miegā ar savu vaigu pie zemes. Un, redzi, kāda roka pieskārās man un pacēla mani uz maniem ceļiem un uz manu roku delnām. Un viņš man sacīja: “Ak, Daniēl, ļoti mīļots vīrs, saproti vārdus, ko es tev runāju, un nostājies stāvus, jo tagad es esmu sūtīts pie tevis.” Un, kad viņš bija runājis man šo vārdu, es stāvēju drebēdams. Tad viņš man sacīja: “Nebīsties, Daniēl, jo no pirmās dienas, kad tu savu sirdi nodevi tam, lai saprastu un pazemotos sava Dieva priekšā, tavi vārdi tika uzklausīti, un es esmu nācis tavu vārdu dēļ. Bet Persijas valsts valdnieks stājās man pretī divdesmit vienu dienu; bet, redzi, Mihaēls, viens no augstākajiem valdniekiem, nāca man palīgā; un es paliku tur pie Persijas ķēniņiem. Tagad es esmu nācis, lai tev darītu saprotamu, kas notiks tavai tautai pēdējās dienās, jo parādība vēl attiecas uz daudzām dienām.” Daniēla 10:5–14.</w:t>
      </w:r>
    </w:p>
    <w:p>
      <w:pPr>
        <w:pStyle w:val="ArticleBody"/>
        <w:jc w:val="left"/>
      </w:pPr>
      <w:r>
        <w:rPr>
          <w:rFonts w:ascii="Times New Roman" w:hAnsi="Times New Roman" w:eastAsia="Times New Roman" w:cs="Times New Roman"/>
        </w:rPr>
        <w:t>Puis, au verset seize, Daniel est touché une seconde fois, lorsqu’il voit la vision du Christ.</w:t>
      </w:r>
    </w:p>
    <w:p>
      <w:pPr>
        <w:pStyle w:val="ArticleScripture"/>
        <w:jc w:val="left"/>
      </w:pPr>
      <w:r>
        <w:rPr>
          <w:rFonts w:ascii="Times New Roman" w:hAnsi="Times New Roman" w:eastAsia="Times New Roman" w:cs="Times New Roman"/>
        </w:rPr>
        <w:t>Nuair a labhair e briathran mar sin rium, chuir mi m’aghaidh ris an talamh, agus dh’fhàs mi balbh. Agus, feuch, bhean neach cosmhail ri coltas mhac dhaoine ri m’ bhilean: an sin dh’fhosgail mi mo bheul, agus labhair mi, agus thubhairt mi ris-san a sheas am làthair, O mo thighearna, leis an taisbeanadh thionndaidh mo bhròin orm, agus cha do ghleidheadh mi neart sam bith. Oir cionnas as urrainn seirbhiseach mo thighearna seo labhairt ri mo thighearna seo? oir, air mo shon-sa, air ball cha do mhair neart sam bith annam, agus cha mhò a tha anail air fhàgail annam. Daniel 10:15–17.</w:t>
      </w:r>
    </w:p>
    <w:p>
      <w:pPr>
        <w:pStyle w:val="ArticleBody"/>
        <w:jc w:val="left"/>
      </w:pPr>
      <w:r>
        <w:rPr>
          <w:rFonts w:ascii="Times New Roman" w:hAnsi="Times New Roman" w:eastAsia="Times New Roman" w:cs="Times New Roman"/>
        </w:rPr>
        <w:t>Apre sa, Daniel touche pou twazyèm fwa, lè Gabriyèl parèt, se pa Kris la.</w:t>
      </w:r>
    </w:p>
    <w:p>
      <w:pPr>
        <w:pStyle w:val="ArticleScripture"/>
        <w:jc w:val="left"/>
      </w:pPr>
      <w:r>
        <w:rPr>
          <w:rFonts w:ascii="Times New Roman" w:hAnsi="Times New Roman" w:eastAsia="Times New Roman" w:cs="Times New Roman"/>
        </w:rPr>
        <w:t>Puis un être ayant l’apparence d’un homme s’approcha de nouveau et me toucha, et il me fortifia. Il dit: Ô homme très aimé, ne crains point; que la paix soit avec toi; sois fort, oui, sois fort. Et lorsqu’il m’eut parlé, je fus fortifié, et je dis: Que mon seigneur parle, car tu m’as fortifié. Puis il dit: Sais-tu pourquoi je suis venu vers toi? Maintenant je m’en retournerai pour combattre le prince de Perse; et quand je m’en irai, voici, le prince de Grèce viendra. Mais je te ferai connaître ce qui est écrit dans le livre de la vérité; et nul ne m’aide contre ceux-là, si ce n’est Michel, votre prince. Daniel 10:18–21.</w:t>
      </w:r>
    </w:p>
    <w:p>
      <w:pPr>
        <w:pStyle w:val="ArticleBody"/>
        <w:jc w:val="left"/>
      </w:pPr>
      <w:r>
        <w:rPr>
          <w:rFonts w:ascii="Nirmala UI" w:hAnsi="Nirmala UI" w:eastAsia="Nirmala UI" w:cs="Nirmala UI"/>
        </w:rPr>
        <w:t>দানি</w:t>
      </w:r>
      <w:r>
        <w:rPr>
          <w:rFonts w:ascii="Times New Roman" w:hAnsi="Times New Roman" w:eastAsia="Times New Roman" w:cs="Times New Roman"/>
        </w:rPr>
        <w:t>’</w:t>
      </w:r>
      <w:r>
        <w:rPr>
          <w:rFonts w:ascii="Nirmala UI" w:hAnsi="Nirmala UI" w:eastAsia="Nirmala UI" w:cs="Nirmala UI"/>
        </w:rPr>
        <w:t>য়েলক</w:t>
      </w:r>
      <w:r>
        <w:rPr>
          <w:rFonts w:ascii="Times New Roman" w:hAnsi="Times New Roman" w:eastAsia="Times New Roman" w:cs="Times New Roman"/>
        </w:rPr>
        <w:t xml:space="preserve"> </w:t>
      </w:r>
      <w:r>
        <w:rPr>
          <w:rFonts w:ascii="Nirmala UI" w:hAnsi="Nirmala UI" w:eastAsia="Nirmala UI" w:cs="Nirmala UI"/>
        </w:rPr>
        <w:t>তিনিবাৰ</w:t>
      </w:r>
      <w:r>
        <w:rPr>
          <w:rFonts w:ascii="Times New Roman" w:hAnsi="Times New Roman" w:eastAsia="Times New Roman" w:cs="Times New Roman"/>
        </w:rPr>
        <w:t xml:space="preserve"> </w:t>
      </w:r>
      <w:r>
        <w:rPr>
          <w:rFonts w:ascii="Nirmala UI" w:hAnsi="Nirmala UI" w:eastAsia="Nirmala UI" w:cs="Nirmala UI"/>
        </w:rPr>
        <w:t>স্পৰ্শ</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তৃতীয়বাৰ</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স্বৰ্গদূত</w:t>
      </w:r>
      <w:r>
        <w:rPr>
          <w:rFonts w:ascii="Times New Roman" w:hAnsi="Times New Roman" w:eastAsia="Times New Roman" w:cs="Times New Roman"/>
        </w:rPr>
        <w:t xml:space="preserve"> </w:t>
      </w:r>
      <w:r>
        <w:rPr>
          <w:rFonts w:ascii="Nirmala UI" w:hAnsi="Nirmala UI" w:eastAsia="Nirmala UI" w:cs="Nirmala UI"/>
        </w:rPr>
        <w:t>গাব্ৰীএলে</w:t>
      </w:r>
      <w:r>
        <w:rPr>
          <w:rFonts w:ascii="Times New Roman" w:hAnsi="Times New Roman" w:eastAsia="Times New Roman" w:cs="Times New Roman"/>
        </w:rPr>
        <w:t xml:space="preserve"> </w:t>
      </w:r>
      <w:r>
        <w:rPr>
          <w:rFonts w:ascii="Nirmala UI" w:hAnsi="Nirmala UI" w:eastAsia="Nirmala UI" w:cs="Nirmala UI"/>
        </w:rPr>
        <w:t>স্পৰ্শ</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দ্বিতীয়বাৰ</w:t>
      </w:r>
      <w:r>
        <w:rPr>
          <w:rFonts w:ascii="Times New Roman" w:hAnsi="Times New Roman" w:eastAsia="Times New Roman" w:cs="Times New Roman"/>
        </w:rPr>
        <w:t xml:space="preserve"> </w:t>
      </w:r>
      <w:r>
        <w:rPr>
          <w:rFonts w:ascii="Nirmala UI" w:hAnsi="Nirmala UI" w:eastAsia="Nirmala UI" w:cs="Nirmala UI"/>
        </w:rPr>
        <w:t>তেওঁক</w:t>
      </w:r>
      <w:r>
        <w:rPr>
          <w:rFonts w:ascii="Times New Roman" w:hAnsi="Times New Roman" w:eastAsia="Times New Roman" w:cs="Times New Roman"/>
        </w:rPr>
        <w:t xml:space="preserve"> </w:t>
      </w:r>
      <w:r>
        <w:rPr>
          <w:rFonts w:ascii="Nirmala UI" w:hAnsi="Nirmala UI" w:eastAsia="Nirmala UI" w:cs="Nirmala UI"/>
        </w:rPr>
        <w:t>খ্ৰীষ্টই</w:t>
      </w:r>
      <w:r>
        <w:rPr>
          <w:rFonts w:ascii="Times New Roman" w:hAnsi="Times New Roman" w:eastAsia="Times New Roman" w:cs="Times New Roman"/>
        </w:rPr>
        <w:t xml:space="preserve"> </w:t>
      </w:r>
      <w:r>
        <w:rPr>
          <w:rFonts w:ascii="Nirmala UI" w:hAnsi="Nirmala UI" w:eastAsia="Nirmala UI" w:cs="Nirmala UI"/>
        </w:rPr>
        <w:t>স্পৰ্শ</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w:t>
      </w:r>
      <w:r>
        <w:rPr>
          <w:rFonts w:ascii="Nirmala UI" w:hAnsi="Nirmala UI" w:eastAsia="Nirmala UI" w:cs="Nirmala UI"/>
        </w:rPr>
        <w:t>য়েলে</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হিব্ৰু</w:t>
      </w:r>
      <w:r>
        <w:rPr>
          <w:rFonts w:ascii="Times New Roman" w:hAnsi="Times New Roman" w:eastAsia="Times New Roman" w:cs="Times New Roman"/>
        </w:rPr>
        <w:t xml:space="preserve"> </w:t>
      </w:r>
      <w:r>
        <w:rPr>
          <w:rFonts w:ascii="Nirmala UI" w:hAnsi="Nirmala UI" w:eastAsia="Nirmala UI" w:cs="Nirmala UI"/>
        </w:rPr>
        <w:t>শব্দ</w:t>
      </w:r>
      <w:r>
        <w:rPr>
          <w:rFonts w:ascii="Times New Roman" w:hAnsi="Times New Roman" w:eastAsia="Times New Roman" w:cs="Times New Roman"/>
        </w:rPr>
        <w:t xml:space="preserve"> </w:t>
      </w:r>
      <w:r>
        <w:rPr>
          <w:rFonts w:ascii="Nirmala UI" w:hAnsi="Nirmala UI" w:eastAsia="Nirmala UI" w:cs="Nirmala UI"/>
        </w:rPr>
        <w:t>চাৰিবাৰ</w:t>
      </w:r>
      <w:r>
        <w:rPr>
          <w:rFonts w:ascii="Times New Roman" w:hAnsi="Times New Roman" w:eastAsia="Times New Roman" w:cs="Times New Roman"/>
        </w:rPr>
        <w:t xml:space="preserve"> </w:t>
      </w:r>
      <w:r>
        <w:rPr>
          <w:rFonts w:ascii="Nirmala UI" w:hAnsi="Nirmala UI" w:eastAsia="Nirmala UI" w:cs="Nirmala UI"/>
        </w:rPr>
        <w:t>ব্যৱহাৰ</w:t>
      </w:r>
      <w:r>
        <w:rPr>
          <w:rFonts w:ascii="Times New Roman" w:hAnsi="Times New Roman" w:eastAsia="Times New Roman" w:cs="Times New Roman"/>
        </w:rPr>
        <w:t xml:space="preserve"> </w:t>
      </w:r>
      <w:r>
        <w:rPr>
          <w:rFonts w:ascii="Nirmala UI" w:hAnsi="Nirmala UI" w:eastAsia="Nirmala UI" w:cs="Nirmala UI"/>
        </w:rPr>
        <w:t>কৰিছিল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চাৰিবাৰৰ</w:t>
      </w:r>
      <w:r>
        <w:rPr>
          <w:rFonts w:ascii="Times New Roman" w:hAnsi="Times New Roman" w:eastAsia="Times New Roman" w:cs="Times New Roman"/>
        </w:rPr>
        <w:t xml:space="preserve"> </w:t>
      </w:r>
      <w:r>
        <w:rPr>
          <w:rFonts w:ascii="Nirmala UI" w:hAnsi="Nirmala UI" w:eastAsia="Nirmala UI" w:cs="Nirmala UI"/>
        </w:rPr>
        <w:t>ভিতৰত</w:t>
      </w:r>
      <w:r>
        <w:rPr>
          <w:rFonts w:ascii="Times New Roman" w:hAnsi="Times New Roman" w:eastAsia="Times New Roman" w:cs="Times New Roman"/>
        </w:rPr>
        <w:t xml:space="preserve"> </w:t>
      </w:r>
      <w:r>
        <w:rPr>
          <w:rFonts w:ascii="Nirmala UI" w:hAnsi="Nirmala UI" w:eastAsia="Nirmala UI" w:cs="Nirmala UI"/>
        </w:rPr>
        <w:t>প্ৰথমবাৰত</w:t>
      </w:r>
      <w:r>
        <w:rPr>
          <w:rFonts w:ascii="Times New Roman" w:hAnsi="Times New Roman" w:eastAsia="Times New Roman" w:cs="Times New Roman"/>
        </w:rPr>
        <w:t xml:space="preserve">, </w:t>
      </w:r>
      <w:r>
        <w:rPr>
          <w:rFonts w:ascii="Nirmala UI" w:hAnsi="Nirmala UI" w:eastAsia="Nirmala UI" w:cs="Nirmala UI"/>
        </w:rPr>
        <w:t>প্ৰথম</w:t>
      </w:r>
      <w:r>
        <w:rPr>
          <w:rFonts w:ascii="Times New Roman" w:hAnsi="Times New Roman" w:eastAsia="Times New Roman" w:cs="Times New Roman"/>
        </w:rPr>
        <w:t xml:space="preserve"> </w:t>
      </w:r>
      <w:r>
        <w:rPr>
          <w:rFonts w:ascii="Nirmala UI" w:hAnsi="Nirmala UI" w:eastAsia="Nirmala UI" w:cs="Nirmala UI"/>
        </w:rPr>
        <w:t>পদত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কৈছিল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দৰ্শন</w:t>
      </w:r>
      <w:r>
        <w:rPr>
          <w:rFonts w:ascii="Times New Roman" w:hAnsi="Times New Roman" w:eastAsia="Times New Roman" w:cs="Times New Roman"/>
        </w:rPr>
        <w:t xml:space="preserve">” </w:t>
      </w:r>
      <w:r>
        <w:rPr>
          <w:rFonts w:ascii="Nirmala UI" w:hAnsi="Nirmala UI" w:eastAsia="Nirmala UI" w:cs="Nirmala UI"/>
        </w:rPr>
        <w:t>বুজিছিল।</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বুজি</w:t>
      </w:r>
      <w:r>
        <w:rPr>
          <w:rFonts w:ascii="Times New Roman" w:hAnsi="Times New Roman" w:eastAsia="Times New Roman" w:cs="Times New Roman"/>
        </w:rPr>
        <w:t xml:space="preserve"> </w:t>
      </w:r>
      <w:r>
        <w:rPr>
          <w:rFonts w:ascii="Nirmala UI" w:hAnsi="Nirmala UI" w:eastAsia="Nirmala UI" w:cs="Nirmala UI"/>
        </w:rPr>
        <w:t>পোৱা</w:t>
      </w:r>
      <w:r>
        <w:rPr>
          <w:rFonts w:ascii="Times New Roman" w:hAnsi="Times New Roman" w:eastAsia="Times New Roman" w:cs="Times New Roman"/>
        </w:rPr>
        <w:t xml:space="preserve"> </w:t>
      </w:r>
      <w:r>
        <w:rPr>
          <w:rFonts w:ascii="Nirmala UI" w:hAnsi="Nirmala UI" w:eastAsia="Nirmala UI" w:cs="Nirmala UI"/>
        </w:rPr>
        <w:t>গুৰুত্বপূৰ্ণ</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সেয়া</w:t>
      </w:r>
      <w:r>
        <w:rPr>
          <w:rFonts w:ascii="Times New Roman" w:hAnsi="Times New Roman" w:eastAsia="Times New Roman" w:cs="Times New Roman"/>
        </w:rPr>
        <w:t xml:space="preserve"> </w:t>
      </w:r>
      <w:r>
        <w:rPr>
          <w:rFonts w:ascii="Nirmala UI" w:hAnsi="Nirmala UI" w:eastAsia="Nirmala UI" w:cs="Nirmala UI"/>
        </w:rPr>
        <w:t>সত্যৰ</w:t>
      </w:r>
      <w:r>
        <w:rPr>
          <w:rFonts w:ascii="Times New Roman" w:hAnsi="Times New Roman" w:eastAsia="Times New Roman" w:cs="Times New Roman"/>
        </w:rPr>
        <w:t xml:space="preserve"> </w:t>
      </w:r>
      <w:r>
        <w:rPr>
          <w:rFonts w:ascii="Nirmala UI" w:hAnsi="Nirmala UI" w:eastAsia="Nirmala UI" w:cs="Nirmala UI"/>
        </w:rPr>
        <w:t>অভিজ্ঞতা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কৰাৰ</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নহয়</w:t>
      </w:r>
      <w:r>
        <w:rPr>
          <w:rFonts w:ascii="Times New Roman" w:hAnsi="Times New Roman" w:eastAsia="Times New Roman" w:cs="Times New Roman"/>
        </w:rPr>
        <w:t xml:space="preserve">, </w:t>
      </w:r>
      <w:r>
        <w:rPr>
          <w:rFonts w:ascii="Nirmala UI" w:hAnsi="Nirmala UI" w:eastAsia="Nirmala UI" w:cs="Nirmala UI"/>
        </w:rPr>
        <w:t>যেনেদৰে</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তিনিবাৰত</w:t>
      </w:r>
      <w:r>
        <w:rPr>
          <w:rFonts w:ascii="Times New Roman" w:hAnsi="Times New Roman" w:eastAsia="Times New Roman" w:cs="Times New Roman"/>
        </w:rPr>
        <w:t xml:space="preserve"> </w:t>
      </w:r>
      <w:r>
        <w:rPr>
          <w:rFonts w:ascii="Nirmala UI" w:hAnsi="Nirmala UI" w:eastAsia="Nirmala UI" w:cs="Nirmala UI"/>
        </w:rPr>
        <w:t>কৰিছিল।</w:t>
      </w:r>
    </w:p>
    <w:p>
      <w:pPr>
        <w:pStyle w:val="ArticleBody"/>
        <w:jc w:val="left"/>
      </w:pPr>
      <w:r>
        <w:rPr>
          <w:rFonts w:ascii="Times New Roman" w:hAnsi="Times New Roman" w:eastAsia="Times New Roman" w:cs="Times New Roman"/>
        </w:rPr>
        <w:t>Lorsque les jours de deuil de Daniel prirent fin, il lui fut accordé de vivre l’expérience de la vision, dont il avait déjà l’intelligence avant même que ses jours de deuil ne soient achevés. Cette expérience se compose de trois étapes, représentées par trois attouchements. Le premier et le dernier attouchements furent accomplis par Gabriel, et l’attouchement du milieu le fut par le Christ. Le premier et le dernier attouchements correspondaient à la première et à la dernière lettres de l’alphabet hébreu. Dans cette deuxième étape, Daniel reconnaît sa condition de pécheur rebelle devant son Seigneur, et ainsi l’attouchement du milieu représente la rébellion, telle qu’elle est figurée par la treizième lettre de l’alphabet hébreu.</w:t>
      </w:r>
    </w:p>
    <w:p>
      <w:pPr>
        <w:pStyle w:val="ArticleScripture"/>
        <w:jc w:val="left"/>
      </w:pPr>
      <w:r>
        <w:rPr>
          <w:rFonts w:ascii="Times New Roman" w:hAnsi="Times New Roman" w:eastAsia="Times New Roman" w:cs="Times New Roman"/>
        </w:rPr>
        <w:t>«Tetapi Petrus sekarang tidak lagi menghiraukan perahu ataupun muatannya. Mujizat ini, lebih daripada segala mujizat lain yang pernah disaksikannya, baginya merupakan suatu penyataan kuasa ilahi. Di dalam Yesus ia melihat Seorang yang menguasai seluruh alam di bawah kendali-Nya. Kehadiran keilahian menyingkapkan kenajisannya sendiri. Kasih kepada Gurunya, rasa malu karena ketidakpercayaannya sendiri, syukur atas kerendahan hati Kristus, dan di atas semuanya itu, kesadaran akan kenajisannya di hadapan kemurnian yang tak terbatas, membuatnya sangat terharu. Sementara teman-temannya sedang mengamankan isi jala itu, Petrus tersungkur di kaki Juruselamat, sambil berseru, ‘Tuhan, pergilah dari padaku, karena aku ini seorang berdosa.’»</w:t>
      </w:r>
    </w:p>
    <w:p>
      <w:pPr>
        <w:pStyle w:val="ArticleScripture"/>
        <w:jc w:val="left"/>
      </w:pPr>
      <w:r>
        <w:rPr>
          <w:rFonts w:ascii="Times New Roman" w:hAnsi="Times New Roman" w:eastAsia="Times New Roman" w:cs="Times New Roman"/>
        </w:rPr>
        <w:t>“La même présence de la sainteté divine avait fait tomber le prophète Daniel comme mort devant l’ange de Dieu. Il dit : « Ma vigueur fut changée en corruption, et je ne conservai aucune force. » Ainsi, lorsque Ésaïe contempla la gloire du Seigneur, il s’écria : « Malheur à moi ! car je suis perdu ; parce que je suis un homme aux lèvres impures, et que j’habite au milieu d’un peuple aux lèvres impures ; car mes yeux ont vu le Roi, l’Éternel des armées. » Daniel 10:8 ; Ésaïe 6:5. L’humanité, avec sa faiblesse et son péché, se trouvait mise en contraste avec la perfection de la divinité, et il se sentit entièrement défaillant et impur. Il en a été ainsi pour tous ceux à qui il a été accordé d’avoir une vue de la grandeur et de la majesté de Dieu.</w:t>
      </w:r>
    </w:p>
    <w:p>
      <w:pPr>
        <w:pStyle w:val="ArticleScripture"/>
        <w:jc w:val="left"/>
      </w:pPr>
      <w:r>
        <w:rPr>
          <w:rFonts w:ascii="Times New Roman" w:hAnsi="Times New Roman" w:eastAsia="Times New Roman" w:cs="Times New Roman"/>
        </w:rPr>
        <w:t>Peter berseru, “Enyahlah daripadaku; sebab aku ini seorang berdosa;” namun ia tetap berpegang pada kaki Yesus, karena merasa bahwa ia tidak dapat dipisahkan dari-Nya. Juruselamat menjawab, “Jangan takut; mulai dari sekarang engkau akan menjala manusia.” Setelah Yesaya memandang kekudusan Allah dan menyadari ketidaklayakannya sendiri, barulah kepadanya dipercayakan pekabaran ilahi. Setelah Petrus dibawa kepada penyangkalan diri dan kebergantungan pada kuasa ilahi, barulah ia menerima panggilan kepada pekerjaannya bagi Kristus.” The Desire of Ages, 246.</w:t>
      </w:r>
    </w:p>
    <w:p>
      <w:pPr>
        <w:pStyle w:val="ArticleBody"/>
        <w:jc w:val="left"/>
      </w:pPr>
      <w:r>
        <w:rPr>
          <w:rFonts w:ascii="Times New Roman" w:hAnsi="Times New Roman" w:eastAsia="Times New Roman" w:cs="Times New Roman"/>
        </w:rPr>
        <w:t>Nan “mareh” kaadugol ngal ko ci njappeeji Almasiihu, kono malaa’ika Jibriilu mo ko ci ñaareelu ak ñeenteelu yoon yi Danyel jëfandikoo baat bi. Yoonu jëkk bi, waxu la ne Belteshassar dafa xamoon kaadugol ga, waaye ñetti yoon yi mujj yi dañuy tegtal ne Danyel moo nekk mi di ko jaar. Ci ñetti yoon yi Danyel di jaar kaadugol ga, itam dees na ko laal.</w:t>
      </w:r>
    </w:p>
    <w:p>
      <w:pPr>
        <w:pStyle w:val="ArticleBody"/>
        <w:jc w:val="left"/>
      </w:pPr>
      <w:r>
        <w:rPr>
          <w:rFonts w:ascii="Times New Roman" w:hAnsi="Times New Roman" w:eastAsia="Times New Roman" w:cs="Times New Roman"/>
        </w:rPr>
        <w:t>Wakati wa kwanza alipoguswa na Gabrieli ulikuwa baada ya kuwa ameona mwonekano wa Kristo aliyetukuzwa, nayo tajriba hiyo ikamwacha katika “usingizi mzito juu ya uso wangu, na uso wangu kuelekea chini.” Ono hilo lilikuwa limeleta utengano, kwa maana wale waliokuwa pamoja naye “hawakuona lile ono; lakini tetemeko kubwa liliwaangukia, hata wakakimbia kujificha.” Katika kukatishwa tamaa kwa kwanza, Yeremia “aliketi peke yake, kwa sababu ya mkono wa Mungu,” na katika Belteshaza “hakukubaki nguvu” “kwa maana” “uzuri” wake “uligeuzwa ndani” yake “kuwa uharibifu, wala” haku“bakiza nguvu.”</w:t>
      </w:r>
    </w:p>
    <w:p>
      <w:pPr>
        <w:pStyle w:val="ArticleBody"/>
        <w:jc w:val="left"/>
      </w:pPr>
      <w:r>
        <w:rPr>
          <w:rFonts w:ascii="Microsoft YaHei" w:hAnsi="Microsoft YaHei" w:eastAsia="Microsoft YaHei" w:cs="Microsoft YaHei"/>
        </w:rPr>
        <w:t>鴻儒首次觸摸他之後</w:t>
      </w:r>
      <w:r>
        <w:rPr>
          <w:rFonts w:ascii="Times New Roman" w:hAnsi="Times New Roman" w:eastAsia="Times New Roman" w:cs="Times New Roman"/>
        </w:rPr>
        <w:t>,</w:t>
      </w:r>
      <w:r>
        <w:rPr>
          <w:rFonts w:ascii="Microsoft YaHei" w:hAnsi="Microsoft YaHei" w:eastAsia="Microsoft YaHei" w:cs="Microsoft YaHei"/>
        </w:rPr>
        <w:t>便使但以理俯伏在膝上與手掌之中</w:t>
      </w:r>
      <w:r>
        <w:rPr>
          <w:rFonts w:ascii="Times New Roman" w:hAnsi="Times New Roman" w:eastAsia="Times New Roman" w:cs="Times New Roman"/>
        </w:rPr>
        <w:t>.</w:t>
      </w:r>
      <w:r>
        <w:rPr>
          <w:rFonts w:ascii="Microsoft YaHei" w:hAnsi="Microsoft YaHei" w:eastAsia="Microsoft YaHei" w:cs="Microsoft YaHei"/>
        </w:rPr>
        <w:t>隨後</w:t>
      </w:r>
      <w:r>
        <w:rPr>
          <w:rFonts w:ascii="Times New Roman" w:hAnsi="Times New Roman" w:eastAsia="Times New Roman" w:cs="Times New Roman"/>
        </w:rPr>
        <w:t>,</w:t>
      </w:r>
      <w:r>
        <w:rPr>
          <w:rFonts w:ascii="Microsoft YaHei" w:hAnsi="Microsoft YaHei" w:eastAsia="Microsoft YaHei" w:cs="Microsoft YaHei"/>
        </w:rPr>
        <w:t>他吩咐但以理明白他所說的話</w:t>
      </w:r>
      <w:r>
        <w:rPr>
          <w:rFonts w:ascii="Times New Roman" w:hAnsi="Times New Roman" w:eastAsia="Times New Roman" w:cs="Times New Roman"/>
        </w:rPr>
        <w:t>,</w:t>
      </w:r>
      <w:r>
        <w:rPr>
          <w:rFonts w:ascii="Microsoft YaHei" w:hAnsi="Microsoft YaHei" w:eastAsia="Microsoft YaHei" w:cs="Microsoft YaHei"/>
        </w:rPr>
        <w:t>並站立起來</w:t>
      </w:r>
      <w:r>
        <w:rPr>
          <w:rFonts w:ascii="Times New Roman" w:hAnsi="Times New Roman" w:eastAsia="Times New Roman" w:cs="Times New Roman"/>
        </w:rPr>
        <w:t>;</w:t>
      </w:r>
      <w:r>
        <w:rPr>
          <w:rFonts w:ascii="Microsoft YaHei" w:hAnsi="Microsoft YaHei" w:eastAsia="Microsoft YaHei" w:cs="Microsoft YaHei"/>
        </w:rPr>
        <w:t>但以理便照著行了</w:t>
      </w:r>
      <w:r>
        <w:rPr>
          <w:rFonts w:ascii="Times New Roman" w:hAnsi="Times New Roman" w:eastAsia="Times New Roman" w:cs="Times New Roman"/>
        </w:rPr>
        <w:t>,</w:t>
      </w:r>
      <w:r>
        <w:rPr>
          <w:rFonts w:ascii="Microsoft YaHei" w:hAnsi="Microsoft YaHei" w:eastAsia="Microsoft YaHei" w:cs="Microsoft YaHei"/>
        </w:rPr>
        <w:t>只是仍然戰兢</w:t>
      </w:r>
      <w:r>
        <w:rPr>
          <w:rFonts w:ascii="Times New Roman" w:hAnsi="Times New Roman" w:eastAsia="Times New Roman" w:cs="Times New Roman"/>
        </w:rPr>
        <w:t>.</w:t>
      </w:r>
      <w:r>
        <w:rPr>
          <w:rFonts w:ascii="Microsoft YaHei" w:hAnsi="Microsoft YaHei" w:eastAsia="Microsoft YaHei" w:cs="Microsoft YaHei"/>
        </w:rPr>
        <w:t>接著</w:t>
      </w:r>
      <w:r>
        <w:rPr>
          <w:rFonts w:ascii="Times New Roman" w:hAnsi="Times New Roman" w:eastAsia="Times New Roman" w:cs="Times New Roman"/>
        </w:rPr>
        <w:t>,</w:t>
      </w:r>
      <w:r>
        <w:rPr>
          <w:rFonts w:ascii="Microsoft YaHei" w:hAnsi="Microsoft YaHei" w:eastAsia="Microsoft YaHei" w:cs="Microsoft YaHei"/>
        </w:rPr>
        <w:t>鴻儒向但以理解明了在他哀悼的二十一日之中所發生的事</w:t>
      </w:r>
      <w:r>
        <w:rPr>
          <w:rFonts w:ascii="Times New Roman" w:hAnsi="Times New Roman" w:eastAsia="Times New Roman" w:cs="Times New Roman"/>
        </w:rPr>
        <w:t>.</w:t>
      </w:r>
      <w:r>
        <w:rPr>
          <w:rFonts w:ascii="Microsoft YaHei" w:hAnsi="Microsoft YaHei" w:eastAsia="Microsoft YaHei" w:cs="Microsoft YaHei"/>
        </w:rPr>
        <w:t>他指出</w:t>
      </w:r>
      <w:r>
        <w:rPr>
          <w:rFonts w:ascii="Times New Roman" w:hAnsi="Times New Roman" w:eastAsia="Times New Roman" w:cs="Times New Roman"/>
        </w:rPr>
        <w:t>,</w:t>
      </w:r>
      <w:r>
        <w:rPr>
          <w:rFonts w:ascii="Microsoft YaHei" w:hAnsi="Microsoft YaHei" w:eastAsia="Microsoft YaHei" w:cs="Microsoft YaHei"/>
        </w:rPr>
        <w:t>自己與波斯諸王爭戰二十一日之後</w:t>
      </w:r>
      <w:r>
        <w:rPr>
          <w:rFonts w:ascii="Times New Roman" w:hAnsi="Times New Roman" w:eastAsia="Times New Roman" w:cs="Times New Roman"/>
        </w:rPr>
        <w:t>,</w:t>
      </w:r>
      <w:r>
        <w:rPr>
          <w:rFonts w:ascii="Microsoft YaHei" w:hAnsi="Microsoft YaHei" w:eastAsia="Microsoft YaHei" w:cs="Microsoft YaHei"/>
        </w:rPr>
        <w:t>米迦勒從天而降</w:t>
      </w:r>
      <w:r>
        <w:rPr>
          <w:rFonts w:ascii="Times New Roman" w:hAnsi="Times New Roman" w:eastAsia="Times New Roman" w:cs="Times New Roman"/>
        </w:rPr>
        <w:t>,</w:t>
      </w:r>
      <w:r>
        <w:rPr>
          <w:rFonts w:ascii="Microsoft YaHei" w:hAnsi="Microsoft YaHei" w:eastAsia="Microsoft YaHei" w:cs="Microsoft YaHei"/>
        </w:rPr>
        <w:t>投入爭戰</w:t>
      </w:r>
      <w:r>
        <w:rPr>
          <w:rFonts w:ascii="Times New Roman" w:hAnsi="Times New Roman" w:eastAsia="Times New Roman" w:cs="Times New Roman"/>
        </w:rPr>
        <w:t>;</w:t>
      </w:r>
      <w:r>
        <w:rPr>
          <w:rFonts w:ascii="Microsoft YaHei" w:hAnsi="Microsoft YaHei" w:eastAsia="Microsoft YaHei" w:cs="Microsoft YaHei"/>
        </w:rPr>
        <w:t>其後</w:t>
      </w:r>
      <w:r>
        <w:rPr>
          <w:rFonts w:ascii="Times New Roman" w:hAnsi="Times New Roman" w:eastAsia="Times New Roman" w:cs="Times New Roman"/>
        </w:rPr>
        <w:t>,</w:t>
      </w:r>
      <w:r>
        <w:rPr>
          <w:rFonts w:ascii="Microsoft YaHei" w:hAnsi="Microsoft YaHei" w:eastAsia="Microsoft YaHei" w:cs="Microsoft YaHei"/>
        </w:rPr>
        <w:t>鴻儒前來應允但以理的祈禱</w:t>
      </w:r>
      <w:r>
        <w:rPr>
          <w:rFonts w:ascii="Times New Roman" w:hAnsi="Times New Roman" w:eastAsia="Times New Roman" w:cs="Times New Roman"/>
        </w:rPr>
        <w:t>,</w:t>
      </w:r>
      <w:r>
        <w:rPr>
          <w:rFonts w:ascii="Microsoft YaHei" w:hAnsi="Microsoft YaHei" w:eastAsia="Microsoft YaHei" w:cs="Microsoft YaHei"/>
        </w:rPr>
        <w:t>並向但以理說明「末後之日你本國之民所必遭遇的事」</w:t>
      </w:r>
      <w:r>
        <w:rPr>
          <w:rFonts w:ascii="Times New Roman" w:hAnsi="Times New Roman" w:eastAsia="Times New Roman" w:cs="Times New Roman"/>
        </w:rPr>
        <w:t>.</w:t>
      </w:r>
      <w:r>
        <w:rPr>
          <w:rFonts w:ascii="Microsoft YaHei" w:hAnsi="Microsoft YaHei" w:eastAsia="Microsoft YaHei" w:cs="Microsoft YaHei"/>
        </w:rPr>
        <w:t>當米迦勒從天而降時</w:t>
      </w:r>
      <w:r>
        <w:rPr>
          <w:rFonts w:ascii="Times New Roman" w:hAnsi="Times New Roman" w:eastAsia="Times New Roman" w:cs="Times New Roman"/>
        </w:rPr>
        <w:t>,</w:t>
      </w:r>
      <w:r>
        <w:rPr>
          <w:rFonts w:ascii="Microsoft YaHei" w:hAnsi="Microsoft YaHei" w:eastAsia="Microsoft YaHei" w:cs="Microsoft YaHei"/>
        </w:rPr>
        <w:t>鴻儒便奉差遣</w:t>
      </w:r>
      <w:r>
        <w:rPr>
          <w:rFonts w:ascii="Times New Roman" w:hAnsi="Times New Roman" w:eastAsia="Times New Roman" w:cs="Times New Roman"/>
        </w:rPr>
        <w:t>,</w:t>
      </w:r>
      <w:r>
        <w:rPr>
          <w:rFonts w:ascii="Microsoft YaHei" w:hAnsi="Microsoft YaHei" w:eastAsia="Microsoft YaHei" w:cs="Microsoft YaHei"/>
        </w:rPr>
        <w:t>向但以理講明末後的日子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La explicació de Gabriel fou donada a Daniel al final dels vint-i-un dies de dol, cosa que, en l’aplicació línia sobre línia d’Apocalipsi capítol onze, representa el moment en què Ezequiel, al capítol trenta-set, és manat dues vegades a profetitzar als ossos morts, per tal d’aixecar els dos profetes de llurs sepulcres. Això s’esdevé quan Miquel baixa del cel i ressuscita el cos de Moisès, mentre es nega a entrar en contesa amb Satanàs en el llibre de Judes. Daniel encara haurà de ser tocat dues vegades més després que Gabriel li hagué donat la visió de conjunt dels dies de dol.</w:t>
      </w:r>
    </w:p>
    <w:p>
      <w:pPr>
        <w:pStyle w:val="ArticleBody"/>
        <w:jc w:val="left"/>
      </w:pPr>
      <w:r>
        <w:rPr>
          <w:rFonts w:ascii="Times New Roman" w:hAnsi="Times New Roman" w:eastAsia="Times New Roman" w:cs="Times New Roman"/>
        </w:rPr>
        <w:t>Afta Gabriel finis, Daniel “set his face toward the ground, and he became dumb”, an den Christ Himselven “touched” Danielis “lips,” an den Daniel “opened” his “mouth, and spake, and said unto him that stood before me, O my lord, by the vision my sorrows are turned upon me, and I have retained no strength. For how can the servant of this my lord talk with this my lord? for as for me, straightway there remained no strength in me, neither is there breath left in me.”</w:t>
      </w:r>
    </w:p>
    <w:p>
      <w:pPr>
        <w:pStyle w:val="ArticleBody"/>
        <w:jc w:val="left"/>
      </w:pPr>
      <w:r>
        <w:rPr>
          <w:rFonts w:ascii="Times New Roman" w:hAnsi="Times New Roman" w:eastAsia="Times New Roman" w:cs="Times New Roman"/>
        </w:rPr>
        <w:t>L’expérience de voir le Christ et de parler avec lui abaisse Daniel jusque dans la poussière. Il était muet, et il le serait demeuré si le Christ n’avait touché ses lèvres, comme les lèvres d’Ésaïe avaient été touchées par le charbon de l’autel.</w:t>
      </w:r>
    </w:p>
    <w:p>
      <w:pPr>
        <w:pStyle w:val="ArticleBody"/>
        <w:jc w:val="left"/>
      </w:pPr>
      <w:r>
        <w:rPr>
          <w:rFonts w:ascii="Times New Roman" w:hAnsi="Times New Roman" w:eastAsia="Times New Roman" w:cs="Times New Roman"/>
        </w:rPr>
        <w:t>Nous poursuivrons cette étude dans le prochain article.</w:t>
      </w:r>
    </w:p>
    <w:p>
      <w:pPr>
        <w:pStyle w:val="ArticleScripture"/>
        <w:jc w:val="left"/>
      </w:pPr>
      <w:r>
        <w:rPr>
          <w:rFonts w:ascii="Times New Roman" w:hAnsi="Times New Roman" w:eastAsia="Times New Roman" w:cs="Times New Roman"/>
        </w:rPr>
        <w:t>“Bha Iosiah, mar a chunnaic e am foillseachadh seo de ghlòir agus de mhòrachd a Thighearna, air a lìonadh le mothachadh domhainn air glanachd agus naomhachd Dhè. Nach geur an t-eadar-dhealachadh eadar foirfeachd gun choimeas a Chruitheir, agus slighe pheacach na muinntir sin a bha, maille ris fhèin, fad ùine air an àireamh am measg sluagh taghte Israeil agus Iùdah! ‘Is an-aoibhinn dhomh!’ ghlaodh e; ‘oir tha mi air mo sgrios; a chionn gur duine mi aig a bheil bilean neòghlan, agus gu bheil mi a’ còmhnaidh ann am meadhon sluaigh aig a bheil bilean neòghlan: oir chunnaic mo shùilean an Rìgh, Tighearna nan sluagh.’ Rann 5. Na sheasamh, mar gum b’ ann, ann an làn sholas làthaireachd dhiadhaidh taobh a-staigh an ionaid naoimh, thuig e nan rachadh fhàgail fo a neo-fhoirfeachd agus a neo-chomas fhèin, gum biodh e gu tur neo-chomasach air an teachdaireachd a choileanadh ris an deach a ghairm. Ach chaidh seraph a chur da ionnsaigh a thoirt faochadh dha na àmhghar agus a dheasachadh airson a mhòir-obrach. Chaidh gual beò on altair a chur air a bhilean, leis na briathran, ‘Feuch, bhean seo rid bhilean; agus tha d’ aingidheachd air a toirt air falbh, agus do pheacadh air a ghlanadh.’ An sin chualas guth Dhè ag ràdh, ‘Cò a chuireas mise, agus cò a thèid air ar son-ne?’ agus fhreagair Isaiah, ‘Seo mise; cuir mise.’ Rannan 7, 8.”</w:t>
      </w:r>
    </w:p>
    <w:p>
      <w:pPr>
        <w:pStyle w:val="ArticleScripture"/>
        <w:jc w:val="left"/>
      </w:pPr>
      <w:r>
        <w:rPr>
          <w:rFonts w:ascii="Times New Roman" w:hAnsi="Times New Roman" w:eastAsia="Times New Roman" w:cs="Times New Roman"/>
        </w:rPr>
        <w:t>„Mbërritësi qiellor i urdhëroi lajmëtarit që priste: ‘Shko dhe i thuaj këtij populli: Dëgjoni me të vërtetë, por mos kuptoni; Dhe shihni me të vërtetë, por mos dalloni. Bëje zemrën e këtij populli të mpaket, Dhe bëji veshët e tyre të rënduar, dhe mbyllua sytë; Që të mos shohin me sytë e tyre, dhe të mos dëgjojnë me veshët e tyre, Dhe të mos kuptojnë me zemrën e tyre, Dhe të kthehen, dhe të shërohen.’ Vargjet 9, 10.</w:t>
      </w:r>
    </w:p>
    <w:p>
      <w:pPr>
        <w:pStyle w:val="ArticleScripture"/>
        <w:jc w:val="left"/>
      </w:pPr>
      <w:r>
        <w:rPr>
          <w:rFonts w:ascii="Times New Roman" w:hAnsi="Times New Roman" w:eastAsia="Times New Roman" w:cs="Times New Roman"/>
        </w:rPr>
        <w:t>“Le devoir du prophète était clair ; il devait élever la voix pour protester contre les maux dominants. Mais il redoutait d’entreprendre cette œuvre sans quelque assurance d’espérance. « Seigneur, jusqu’à quand ? » demanda-t-il. Verset 11. Aucun de ceux que Tu as choisis ne parviendra-t-il jamais à comprendre, à se repentir et à être guéri ?”</w:t>
      </w:r>
    </w:p>
    <w:p>
      <w:pPr>
        <w:pStyle w:val="ArticleScripture"/>
        <w:jc w:val="left"/>
      </w:pPr>
      <w:r>
        <w:rPr>
          <w:rFonts w:ascii="Times New Roman" w:hAnsi="Times New Roman" w:eastAsia="Times New Roman" w:cs="Times New Roman"/>
        </w:rPr>
        <w:t>“Onun yanlış yola sapmış Yahuda uğruna duyduğu ruhsal yük boş yere taşınmayacaktı. Görevi bütünüyle sonuçsuz kalmayacaktı. Ne var ki, nice kuşaklar boyunca birikmiş olan kötülükler onun günlerinde ortadan kaldırılamazdı. Yaşamı boyunca sabırlı, yürekli bir öğretmen—yıkımın olduğu kadar umudun da peygamberi—olması gerekiyordu. Sonunda gerçekleşecek olan ilahî amaçla birlikte, onun çabalarının ve Tanrı’nın bütün sadık habercilerinin emeklerinin tam meyvesi ortaya çıkacaktı. Bir bakiye kurtulacaktı. Bunun gerçekleşebilmesi için, uyarı ve yakarış mesajlarının asi ulusa iletilmesi gerekiyordu; Rab şöyle bildirmişti: ‘Şehirler oturansız kalıp viran oluncaya, Evler insansız kalıncaya, Ülke büsbütün ıssız oluncaya, Rab insanları uzaklara sürünceye, Ve memleketin ortasında büyük bir terk edilmişlik oluncaya dek.’ 11, 12. ayetler.”</w:t>
      </w:r>
    </w:p>
    <w:p>
      <w:pPr>
        <w:pStyle w:val="ArticleScripture"/>
        <w:jc w:val="left"/>
      </w:pPr>
      <w:r>
        <w:rPr>
          <w:rFonts w:ascii="Times New Roman" w:hAnsi="Times New Roman" w:eastAsia="Times New Roman" w:cs="Times New Roman"/>
        </w:rPr>
        <w:t>“</w:t>
      </w:r>
      <w:r>
        <w:rPr>
          <w:rFonts w:ascii="Nirmala UI" w:hAnsi="Nirmala UI" w:eastAsia="Nirmala UI" w:cs="Nirmala UI"/>
        </w:rPr>
        <w:t>তওবা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লোকদের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গুরুতর</w:t>
      </w:r>
      <w:r>
        <w:rPr>
          <w:rFonts w:ascii="Times New Roman" w:hAnsi="Times New Roman" w:eastAsia="Times New Roman" w:cs="Times New Roman"/>
        </w:rPr>
        <w:t xml:space="preserve"> </w:t>
      </w:r>
      <w:r>
        <w:rPr>
          <w:rFonts w:ascii="Nirmala UI" w:hAnsi="Nirmala UI" w:eastAsia="Nirmala UI" w:cs="Nirmala UI"/>
        </w:rPr>
        <w:t>বিচারসমূহ</w:t>
      </w:r>
      <w:r>
        <w:rPr>
          <w:rFonts w:ascii="Times New Roman" w:hAnsi="Times New Roman" w:eastAsia="Times New Roman" w:cs="Times New Roman"/>
        </w:rPr>
        <w:t xml:space="preserve"> </w:t>
      </w:r>
      <w:r>
        <w:rPr>
          <w:rFonts w:ascii="Nirmala UI" w:hAnsi="Nirmala UI" w:eastAsia="Nirmala UI" w:cs="Nirmala UI"/>
        </w:rPr>
        <w:t>আপতিত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নির্বাসন</w:t>
      </w:r>
      <w:r>
        <w:rPr>
          <w:rFonts w:ascii="Times New Roman" w:hAnsi="Times New Roman" w:eastAsia="Times New Roman" w:cs="Times New Roman"/>
        </w:rPr>
        <w:t xml:space="preserve">, </w:t>
      </w:r>
      <w:r>
        <w:rPr>
          <w:rFonts w:ascii="Nirmala UI" w:hAnsi="Nirmala UI" w:eastAsia="Nirmala UI" w:cs="Nirmala UI"/>
        </w:rPr>
        <w:t>নিপীড়ন</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ক্ষমতা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মর্যাদার</w:t>
      </w:r>
      <w:r>
        <w:rPr>
          <w:rFonts w:ascii="Times New Roman" w:hAnsi="Times New Roman" w:eastAsia="Times New Roman" w:cs="Times New Roman"/>
        </w:rPr>
        <w:t xml:space="preserve"> </w:t>
      </w:r>
      <w:r>
        <w:rPr>
          <w:rFonts w:ascii="Nirmala UI" w:hAnsi="Nirmala UI" w:eastAsia="Nirmala UI" w:cs="Nirmala UI"/>
        </w:rPr>
        <w:t>ক্ষতি</w:t>
      </w:r>
      <w:r>
        <w:rPr>
          <w:rFonts w:ascii="Times New Roman" w:hAnsi="Times New Roman" w:eastAsia="Times New Roman" w:cs="Times New Roman"/>
        </w:rPr>
        <w:t>—</w:t>
      </w:r>
      <w:r>
        <w:rPr>
          <w:rFonts w:ascii="Nirmala UI" w:hAnsi="Nirmala UI" w:eastAsia="Nirmala UI" w:cs="Nirmala UI"/>
        </w:rPr>
        <w:t>এসবই</w:t>
      </w:r>
      <w:r>
        <w:rPr>
          <w:rFonts w:ascii="Times New Roman" w:hAnsi="Times New Roman" w:eastAsia="Times New Roman" w:cs="Times New Roman"/>
        </w:rPr>
        <w:t xml:space="preserve"> </w:t>
      </w:r>
      <w:r>
        <w:rPr>
          <w:rFonts w:ascii="Nirmala UI" w:hAnsi="Nirmala UI" w:eastAsia="Nirmala UI" w:cs="Nirmala UI"/>
        </w:rPr>
        <w:t>আসিবার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যেন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ঘটনার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অপমানিত</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হস্ত</w:t>
      </w:r>
      <w:r>
        <w:rPr>
          <w:rFonts w:ascii="Times New Roman" w:hAnsi="Times New Roman" w:eastAsia="Times New Roman" w:cs="Times New Roman"/>
        </w:rPr>
        <w:t xml:space="preserve"> </w:t>
      </w:r>
      <w:r>
        <w:rPr>
          <w:rFonts w:ascii="Nirmala UI" w:hAnsi="Nirmala UI" w:eastAsia="Nirmala UI" w:cs="Nirmala UI"/>
        </w:rPr>
        <w:t>চিনিয়া</w:t>
      </w:r>
      <w:r>
        <w:rPr>
          <w:rFonts w:ascii="Times New Roman" w:hAnsi="Times New Roman" w:eastAsia="Times New Roman" w:cs="Times New Roman"/>
        </w:rPr>
        <w:t xml:space="preserve"> </w:t>
      </w:r>
      <w:r>
        <w:rPr>
          <w:rFonts w:ascii="Nirmala UI" w:hAnsi="Nirmala UI" w:eastAsia="Nirmala UI" w:cs="Nirmala UI"/>
        </w:rPr>
        <w:t>লইবে</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অনুতাপের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গোত্র</w:t>
      </w:r>
      <w:r>
        <w:rPr>
          <w:rFonts w:ascii="Times New Roman" w:hAnsi="Times New Roman" w:eastAsia="Times New Roman" w:cs="Times New Roman"/>
        </w:rPr>
        <w:t xml:space="preserve"> </w:t>
      </w:r>
      <w:r>
        <w:rPr>
          <w:rFonts w:ascii="Nirmala UI" w:hAnsi="Nirmala UI" w:eastAsia="Nirmala UI" w:cs="Nirmala UI"/>
        </w:rPr>
        <w:t>শীঘ্রই</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ছিন্নভিন্ন</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নগরসমূহ</w:t>
      </w:r>
      <w:r>
        <w:rPr>
          <w:rFonts w:ascii="Times New Roman" w:hAnsi="Times New Roman" w:eastAsia="Times New Roman" w:cs="Times New Roman"/>
        </w:rPr>
        <w:t xml:space="preserve"> </w:t>
      </w:r>
      <w:r>
        <w:rPr>
          <w:rFonts w:ascii="Nirmala UI" w:hAnsi="Nirmala UI" w:eastAsia="Nirmala UI" w:cs="Nirmala UI"/>
        </w:rPr>
        <w:t>উজাড়</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পড়িয়া</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শত্রু</w:t>
      </w:r>
      <w:r>
        <w:rPr>
          <w:rFonts w:ascii="Times New Roman" w:hAnsi="Times New Roman" w:eastAsia="Times New Roman" w:cs="Times New Roman"/>
        </w:rPr>
        <w:t xml:space="preserve"> </w:t>
      </w:r>
      <w:r>
        <w:rPr>
          <w:rFonts w:ascii="Nirmala UI" w:hAnsi="Nirmala UI" w:eastAsia="Nirmala UI" w:cs="Nirmala UI"/>
        </w:rPr>
        <w:t>জাতিসমূহের</w:t>
      </w:r>
      <w:r>
        <w:rPr>
          <w:rFonts w:ascii="Times New Roman" w:hAnsi="Times New Roman" w:eastAsia="Times New Roman" w:cs="Times New Roman"/>
        </w:rPr>
        <w:t xml:space="preserve"> </w:t>
      </w:r>
      <w:r>
        <w:rPr>
          <w:rFonts w:ascii="Nirmala UI" w:hAnsi="Nirmala UI" w:eastAsia="Nirmala UI" w:cs="Nirmala UI"/>
        </w:rPr>
        <w:t>বিনাশকারী</w:t>
      </w:r>
      <w:r>
        <w:rPr>
          <w:rFonts w:ascii="Times New Roman" w:hAnsi="Times New Roman" w:eastAsia="Times New Roman" w:cs="Times New Roman"/>
        </w:rPr>
        <w:t xml:space="preserve"> </w:t>
      </w:r>
      <w:r>
        <w:rPr>
          <w:rFonts w:ascii="Nirmala UI" w:hAnsi="Nirmala UI" w:eastAsia="Nirmala UI" w:cs="Nirmala UI"/>
        </w:rPr>
        <w:t>সৈন্যবাহিনী</w:t>
      </w:r>
      <w:r>
        <w:rPr>
          <w:rFonts w:ascii="Times New Roman" w:hAnsi="Times New Roman" w:eastAsia="Times New Roman" w:cs="Times New Roman"/>
        </w:rPr>
        <w:t xml:space="preserve"> </w:t>
      </w:r>
      <w:r>
        <w:rPr>
          <w:rFonts w:ascii="Nirmala UI" w:hAnsi="Nirmala UI" w:eastAsia="Nirmala UI" w:cs="Nirmala UI"/>
        </w:rPr>
        <w:t>বারবার</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দেশের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বয়ে</w:t>
      </w:r>
      <w:r>
        <w:rPr>
          <w:rFonts w:ascii="Times New Roman" w:hAnsi="Times New Roman" w:eastAsia="Times New Roman" w:cs="Times New Roman"/>
        </w:rPr>
        <w:t xml:space="preserve"> </w:t>
      </w:r>
      <w:r>
        <w:rPr>
          <w:rFonts w:ascii="Nirmala UI" w:hAnsi="Nirmala UI" w:eastAsia="Nirmala UI" w:cs="Nirmala UI"/>
        </w:rPr>
        <w:t>যাইবে</w:t>
      </w:r>
      <w:r>
        <w:rPr>
          <w:rFonts w:ascii="Times New Roman" w:hAnsi="Times New Roman" w:eastAsia="Times New Roman" w:cs="Times New Roman"/>
        </w:rPr>
        <w:t xml:space="preserve">; </w:t>
      </w:r>
      <w:r>
        <w:rPr>
          <w:rFonts w:ascii="Nirmala UI" w:hAnsi="Nirmala UI" w:eastAsia="Nirmala UI" w:cs="Nirmala UI"/>
        </w:rPr>
        <w:t>এমনকি</w:t>
      </w:r>
      <w:r>
        <w:rPr>
          <w:rFonts w:ascii="Times New Roman" w:hAnsi="Times New Roman" w:eastAsia="Times New Roman" w:cs="Times New Roman"/>
        </w:rPr>
        <w:t xml:space="preserve"> </w:t>
      </w:r>
      <w:r>
        <w:rPr>
          <w:rFonts w:ascii="Nirmala UI" w:hAnsi="Nirmala UI" w:eastAsia="Nirmala UI" w:cs="Nirmala UI"/>
        </w:rPr>
        <w:t>অবশেষে</w:t>
      </w:r>
      <w:r>
        <w:rPr>
          <w:rFonts w:ascii="Times New Roman" w:hAnsi="Times New Roman" w:eastAsia="Times New Roman" w:cs="Times New Roman"/>
        </w:rPr>
        <w:t xml:space="preserve"> </w:t>
      </w:r>
      <w:r>
        <w:rPr>
          <w:rFonts w:ascii="Nirmala UI" w:hAnsi="Nirmala UI" w:eastAsia="Nirmala UI" w:cs="Nirmala UI"/>
        </w:rPr>
        <w:t>যিরূশালেমও</w:t>
      </w:r>
      <w:r>
        <w:rPr>
          <w:rFonts w:ascii="Times New Roman" w:hAnsi="Times New Roman" w:eastAsia="Times New Roman" w:cs="Times New Roman"/>
        </w:rPr>
        <w:t xml:space="preserve"> </w:t>
      </w:r>
      <w:r>
        <w:rPr>
          <w:rFonts w:ascii="Nirmala UI" w:hAnsi="Nirmala UI" w:eastAsia="Nirmala UI" w:cs="Nirmala UI"/>
        </w:rPr>
        <w:t>পতিত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যিহূদাকে</w:t>
      </w:r>
      <w:r>
        <w:rPr>
          <w:rFonts w:ascii="Times New Roman" w:hAnsi="Times New Roman" w:eastAsia="Times New Roman" w:cs="Times New Roman"/>
        </w:rPr>
        <w:t xml:space="preserve"> </w:t>
      </w:r>
      <w:r>
        <w:rPr>
          <w:rFonts w:ascii="Nirmala UI" w:hAnsi="Nirmala UI" w:eastAsia="Nirmala UI" w:cs="Nirmala UI"/>
        </w:rPr>
        <w:t>বন্দী</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যাওয়া</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প্রতিজ্ঞাত</w:t>
      </w:r>
      <w:r>
        <w:rPr>
          <w:rFonts w:ascii="Times New Roman" w:hAnsi="Times New Roman" w:eastAsia="Times New Roman" w:cs="Times New Roman"/>
        </w:rPr>
        <w:t xml:space="preserve"> </w:t>
      </w:r>
      <w:r>
        <w:rPr>
          <w:rFonts w:ascii="Nirmala UI" w:hAnsi="Nirmala UI" w:eastAsia="Nirmala UI" w:cs="Nirmala UI"/>
        </w:rPr>
        <w:t>দেশ</w:t>
      </w:r>
      <w:r>
        <w:rPr>
          <w:rFonts w:ascii="Times New Roman" w:hAnsi="Times New Roman" w:eastAsia="Times New Roman" w:cs="Times New Roman"/>
        </w:rPr>
        <w:t xml:space="preserve"> </w:t>
      </w:r>
      <w:r>
        <w:rPr>
          <w:rFonts w:ascii="Nirmala UI" w:hAnsi="Nirmala UI" w:eastAsia="Nirmala UI" w:cs="Nirmala UI"/>
        </w:rPr>
        <w:t>চিরকালের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সম্পূর্ণরূপে</w:t>
      </w:r>
      <w:r>
        <w:rPr>
          <w:rFonts w:ascii="Times New Roman" w:hAnsi="Times New Roman" w:eastAsia="Times New Roman" w:cs="Times New Roman"/>
        </w:rPr>
        <w:t xml:space="preserve"> </w:t>
      </w:r>
      <w:r>
        <w:rPr>
          <w:rFonts w:ascii="Nirmala UI" w:hAnsi="Nirmala UI" w:eastAsia="Nirmala UI" w:cs="Nirmala UI"/>
        </w:rPr>
        <w:t>পরিত্যক্ত</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স্বর্গীয়</w:t>
      </w:r>
      <w:r>
        <w:rPr>
          <w:rFonts w:ascii="Times New Roman" w:hAnsi="Times New Roman" w:eastAsia="Times New Roman" w:cs="Times New Roman"/>
        </w:rPr>
        <w:t xml:space="preserve"> </w:t>
      </w:r>
      <w:r>
        <w:rPr>
          <w:rFonts w:ascii="Nirmala UI" w:hAnsi="Nirmala UI" w:eastAsia="Nirmala UI" w:cs="Nirmala UI"/>
        </w:rPr>
        <w:t>দর্শনার্থীর</w:t>
      </w:r>
      <w:r>
        <w:rPr>
          <w:rFonts w:ascii="Times New Roman" w:hAnsi="Times New Roman" w:eastAsia="Times New Roman" w:cs="Times New Roman"/>
        </w:rPr>
        <w:t xml:space="preserve"> </w:t>
      </w:r>
      <w:r>
        <w:rPr>
          <w:rFonts w:ascii="Nirmala UI" w:hAnsi="Nirmala UI" w:eastAsia="Nirmala UI" w:cs="Nirmala UI"/>
        </w:rPr>
        <w:t>আশ্বাস</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দশমাংশ</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তাহা</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ফিরিয়া</w:t>
      </w:r>
      <w:r>
        <w:rPr>
          <w:rFonts w:ascii="Times New Roman" w:hAnsi="Times New Roman" w:eastAsia="Times New Roman" w:cs="Times New Roman"/>
        </w:rPr>
        <w:t xml:space="preserve"> </w:t>
      </w:r>
      <w:r>
        <w:rPr>
          <w:rFonts w:ascii="Nirmala UI" w:hAnsi="Nirmala UI" w:eastAsia="Nirmala UI" w:cs="Nirmala UI"/>
        </w:rPr>
        <w:t>আসিবে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ভক্ষণ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টেরেবিন্থ</w:t>
      </w:r>
      <w:r>
        <w:rPr>
          <w:rFonts w:ascii="Times New Roman" w:hAnsi="Times New Roman" w:eastAsia="Times New Roman" w:cs="Times New Roman"/>
        </w:rPr>
        <w:t xml:space="preserve"> </w:t>
      </w:r>
      <w:r>
        <w:rPr>
          <w:rFonts w:ascii="Nirmala UI" w:hAnsi="Nirmala UI" w:eastAsia="Nirmala UI" w:cs="Nirmala UI"/>
        </w:rPr>
        <w:t>বৃক্ষ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ওক</w:t>
      </w:r>
      <w:r>
        <w:rPr>
          <w:rFonts w:ascii="Times New Roman" w:hAnsi="Times New Roman" w:eastAsia="Times New Roman" w:cs="Times New Roman"/>
        </w:rPr>
        <w:t xml:space="preserve"> </w:t>
      </w:r>
      <w:r>
        <w:rPr>
          <w:rFonts w:ascii="Nirmala UI" w:hAnsi="Nirmala UI" w:eastAsia="Nirmala UI" w:cs="Nirmala UI"/>
        </w:rPr>
        <w:t>বৃক্ষ</w:t>
      </w:r>
      <w:r>
        <w:rPr>
          <w:rFonts w:ascii="Times New Roman" w:hAnsi="Times New Roman" w:eastAsia="Times New Roman" w:cs="Times New Roman"/>
        </w:rPr>
        <w:t xml:space="preserve">, </w:t>
      </w:r>
      <w:r>
        <w:rPr>
          <w:rFonts w:ascii="Nirmala UI" w:hAnsi="Nirmala UI" w:eastAsia="Nirmala UI" w:cs="Nirmala UI"/>
        </w:rPr>
        <w:t>যাহাদের</w:t>
      </w:r>
      <w:r>
        <w:rPr>
          <w:rFonts w:ascii="Times New Roman" w:hAnsi="Times New Roman" w:eastAsia="Times New Roman" w:cs="Times New Roman"/>
        </w:rPr>
        <w:t xml:space="preserve"> </w:t>
      </w:r>
      <w:r>
        <w:rPr>
          <w:rFonts w:ascii="Nirmala UI" w:hAnsi="Nirmala UI" w:eastAsia="Nirmala UI" w:cs="Nirmala UI"/>
        </w:rPr>
        <w:t>পত্রপাতে</w:t>
      </w:r>
      <w:r>
        <w:rPr>
          <w:rFonts w:ascii="Times New Roman" w:hAnsi="Times New Roman" w:eastAsia="Times New Roman" w:cs="Times New Roman"/>
        </w:rPr>
        <w:t xml:space="preserve"> </w:t>
      </w:r>
      <w:r>
        <w:rPr>
          <w:rFonts w:ascii="Nirmala UI" w:hAnsi="Nirmala UI" w:eastAsia="Nirmala UI" w:cs="Nirmala UI"/>
        </w:rPr>
        <w:t>পরেও</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মূলসত্তা</w:t>
      </w:r>
      <w:r>
        <w:rPr>
          <w:rFonts w:ascii="Times New Roman" w:hAnsi="Times New Roman" w:eastAsia="Times New Roman" w:cs="Times New Roman"/>
        </w:rPr>
        <w:t xml:space="preserve"> </w:t>
      </w:r>
      <w:r>
        <w:rPr>
          <w:rFonts w:ascii="Nirmala UI" w:hAnsi="Nirmala UI" w:eastAsia="Nirmala UI" w:cs="Nirmala UI"/>
        </w:rPr>
        <w:t>তাহাদের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তদ্রূপ</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বীজই</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মূলসত্তা</w:t>
      </w:r>
      <w:r>
        <w:rPr>
          <w:rFonts w:ascii="Times New Roman" w:hAnsi="Times New Roman" w:eastAsia="Times New Roman" w:cs="Times New Roman"/>
        </w:rPr>
        <w:t xml:space="preserve"> </w:t>
      </w:r>
      <w:r>
        <w:rPr>
          <w:rFonts w:ascii="Nirmala UI" w:hAnsi="Nirmala UI" w:eastAsia="Nirmala UI" w:cs="Nirmala UI"/>
        </w:rPr>
        <w:t>হইবে।</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การทรงรับรองถึงความสำเร็จอันสมบูรณ์ในที่สุดแห่งพระประสงค์ของพระเจ้านี้</w:t>
      </w:r>
      <w:r>
        <w:rPr>
          <w:rFonts w:ascii="Times New Roman" w:hAnsi="Times New Roman" w:eastAsia="Times New Roman" w:cs="Times New Roman"/>
        </w:rPr>
        <w:t xml:space="preserve"> </w:t>
      </w:r>
      <w:r>
        <w:rPr>
          <w:rFonts w:ascii="Leelawadee UI" w:hAnsi="Leelawadee UI" w:eastAsia="Leelawadee UI" w:cs="Leelawadee UI"/>
        </w:rPr>
        <w:t>ได้นำความกล้าหาญมาสู่จิตใจของอิสยาห์</w:t>
      </w:r>
      <w:r>
        <w:rPr>
          <w:rFonts w:ascii="Times New Roman" w:hAnsi="Times New Roman" w:eastAsia="Times New Roman" w:cs="Times New Roman"/>
        </w:rPr>
        <w:t xml:space="preserve"> </w:t>
      </w:r>
      <w:r>
        <w:rPr>
          <w:rFonts w:ascii="Leelawadee UI" w:hAnsi="Leelawadee UI" w:eastAsia="Leelawadee UI" w:cs="Leelawadee UI"/>
        </w:rPr>
        <w:t>แม้อำนาจฝ่ายโลกจะตั้งขบวนต่อต้านยูดาห์แล้วจะเป็นอย่างไรเล่า</w:t>
      </w:r>
      <w:r>
        <w:rPr>
          <w:rFonts w:ascii="Times New Roman" w:hAnsi="Times New Roman" w:eastAsia="Times New Roman" w:cs="Times New Roman"/>
        </w:rPr>
        <w:t xml:space="preserve">? </w:t>
      </w:r>
      <w:r>
        <w:rPr>
          <w:rFonts w:ascii="Leelawadee UI" w:hAnsi="Leelawadee UI" w:eastAsia="Leelawadee UI" w:cs="Leelawadee UI"/>
        </w:rPr>
        <w:t>แม้ผู้สื่อสารขององค์พระผู้เป็นเจ้าจะประสบกับการคัดค้านและการขัดขืนแล้วจะเป็นอย่างไรเล่า</w:t>
      </w:r>
      <w:r>
        <w:rPr>
          <w:rFonts w:ascii="Times New Roman" w:hAnsi="Times New Roman" w:eastAsia="Times New Roman" w:cs="Times New Roman"/>
        </w:rPr>
        <w:t xml:space="preserve">? </w:t>
      </w:r>
      <w:r>
        <w:rPr>
          <w:rFonts w:ascii="Leelawadee UI" w:hAnsi="Leelawadee UI" w:eastAsia="Leelawadee UI" w:cs="Leelawadee UI"/>
        </w:rPr>
        <w:t>อิสยาห์ได้เห็นกษัตริย์</w:t>
      </w:r>
      <w:r>
        <w:rPr>
          <w:rFonts w:ascii="Times New Roman" w:hAnsi="Times New Roman" w:eastAsia="Times New Roman" w:cs="Times New Roman"/>
        </w:rPr>
        <w:t xml:space="preserve"> </w:t>
      </w:r>
      <w:r>
        <w:rPr>
          <w:rFonts w:ascii="Leelawadee UI" w:hAnsi="Leelawadee UI" w:eastAsia="Leelawadee UI" w:cs="Leelawadee UI"/>
        </w:rPr>
        <w:t>คือองค์พระผู้เป็นเจ้าจอมโยธา</w:t>
      </w:r>
      <w:r>
        <w:rPr>
          <w:rFonts w:ascii="Times New Roman" w:hAnsi="Times New Roman" w:eastAsia="Times New Roman" w:cs="Times New Roman"/>
        </w:rPr>
        <w:t xml:space="preserve">; </w:t>
      </w:r>
      <w:r>
        <w:rPr>
          <w:rFonts w:ascii="Leelawadee UI" w:hAnsi="Leelawadee UI" w:eastAsia="Leelawadee UI" w:cs="Leelawadee UI"/>
        </w:rPr>
        <w:t>เขาได้ยินบทเพลงของเสราฟิมว่า</w:t>
      </w:r>
      <w:r>
        <w:rPr>
          <w:rFonts w:ascii="Times New Roman" w:hAnsi="Times New Roman" w:eastAsia="Times New Roman" w:cs="Times New Roman"/>
        </w:rPr>
        <w:t xml:space="preserve"> ‘</w:t>
      </w:r>
      <w:r>
        <w:rPr>
          <w:rFonts w:ascii="Leelawadee UI" w:hAnsi="Leelawadee UI" w:eastAsia="Leelawadee UI" w:cs="Leelawadee UI"/>
        </w:rPr>
        <w:t>แผ่นดินโลกทั้งสิ้นเต็มด้วยพระสิริของพระองค์</w:t>
      </w:r>
      <w:r>
        <w:rPr>
          <w:rFonts w:ascii="Times New Roman" w:hAnsi="Times New Roman" w:eastAsia="Times New Roman" w:cs="Times New Roman"/>
        </w:rPr>
        <w:t xml:space="preserve">;’ </w:t>
      </w:r>
      <w:r>
        <w:rPr>
          <w:rFonts w:ascii="Leelawadee UI" w:hAnsi="Leelawadee UI" w:eastAsia="Leelawadee UI" w:cs="Leelawadee UI"/>
        </w:rPr>
        <w:t>เขาได้รับพระสัญญาว่า</w:t>
      </w:r>
      <w:r>
        <w:rPr>
          <w:rFonts w:ascii="Times New Roman" w:hAnsi="Times New Roman" w:eastAsia="Times New Roman" w:cs="Times New Roman"/>
        </w:rPr>
        <w:t xml:space="preserve"> </w:t>
      </w:r>
      <w:r>
        <w:rPr>
          <w:rFonts w:ascii="Leelawadee UI" w:hAnsi="Leelawadee UI" w:eastAsia="Leelawadee UI" w:cs="Leelawadee UI"/>
        </w:rPr>
        <w:t>ข่าวสารของพระยาห์เวห์ถึงยูดาห์ผู้ถอยหลังจะมาพร้อมกับฤทธิ์อำนาจแห่งการทรงให้สำนึกผิดของพระวิญญาณบริสุทธิ์</w:t>
      </w:r>
      <w:r>
        <w:rPr>
          <w:rFonts w:ascii="Times New Roman" w:hAnsi="Times New Roman" w:eastAsia="Times New Roman" w:cs="Times New Roman"/>
        </w:rPr>
        <w:t xml:space="preserve">; </w:t>
      </w:r>
      <w:r>
        <w:rPr>
          <w:rFonts w:ascii="Leelawadee UI" w:hAnsi="Leelawadee UI" w:eastAsia="Leelawadee UI" w:cs="Leelawadee UI"/>
        </w:rPr>
        <w:t>และผู้เผยพระวจนะก็มีกำลังใจและความเข้มแข็งสำหรับงานที่อยู่เบื้องหน้าเขา</w:t>
      </w:r>
      <w:r>
        <w:rPr>
          <w:rFonts w:ascii="Times New Roman" w:hAnsi="Times New Roman" w:eastAsia="Times New Roman" w:cs="Times New Roman"/>
        </w:rPr>
        <w:t xml:space="preserve"> </w:t>
      </w:r>
      <w:r>
        <w:rPr>
          <w:rFonts w:ascii="Leelawadee UI" w:hAnsi="Leelawadee UI" w:eastAsia="Leelawadee UI" w:cs="Leelawadee UI"/>
        </w:rPr>
        <w:t>ข้อ</w:t>
      </w:r>
      <w:r>
        <w:rPr>
          <w:rFonts w:ascii="Times New Roman" w:hAnsi="Times New Roman" w:eastAsia="Times New Roman" w:cs="Times New Roman"/>
        </w:rPr>
        <w:t xml:space="preserve"> 3 </w:t>
      </w:r>
      <w:r>
        <w:rPr>
          <w:rFonts w:ascii="Leelawadee UI" w:hAnsi="Leelawadee UI" w:eastAsia="Leelawadee UI" w:cs="Leelawadee UI"/>
        </w:rPr>
        <w:t>ตลอดภารกิจอันยาวนานและหนักหน่วงของเขา</w:t>
      </w:r>
      <w:r>
        <w:rPr>
          <w:rFonts w:ascii="Times New Roman" w:hAnsi="Times New Roman" w:eastAsia="Times New Roman" w:cs="Times New Roman"/>
        </w:rPr>
        <w:t xml:space="preserve"> </w:t>
      </w:r>
      <w:r>
        <w:rPr>
          <w:rFonts w:ascii="Leelawadee UI" w:hAnsi="Leelawadee UI" w:eastAsia="Leelawadee UI" w:cs="Leelawadee UI"/>
        </w:rPr>
        <w:t>เขาได้เก็บรักษาความทรงจำแห่งนิมิตนี้ไว้กับตัว</w:t>
      </w:r>
      <w:r>
        <w:rPr>
          <w:rFonts w:ascii="Times New Roman" w:hAnsi="Times New Roman" w:eastAsia="Times New Roman" w:cs="Times New Roman"/>
        </w:rPr>
        <w:t xml:space="preserve"> </w:t>
      </w:r>
      <w:r>
        <w:rPr>
          <w:rFonts w:ascii="Leelawadee UI" w:hAnsi="Leelawadee UI" w:eastAsia="Leelawadee UI" w:cs="Leelawadee UI"/>
        </w:rPr>
        <w:t>สำหรับเวลาหกสิบปีหรือมากกว่านั้น</w:t>
      </w:r>
      <w:r>
        <w:rPr>
          <w:rFonts w:ascii="Times New Roman" w:hAnsi="Times New Roman" w:eastAsia="Times New Roman" w:cs="Times New Roman"/>
        </w:rPr>
        <w:t xml:space="preserve"> </w:t>
      </w:r>
      <w:r>
        <w:rPr>
          <w:rFonts w:ascii="Leelawadee UI" w:hAnsi="Leelawadee UI" w:eastAsia="Leelawadee UI" w:cs="Leelawadee UI"/>
        </w:rPr>
        <w:t>เขาได้ยืนอยู่ต่อหน้าชนยูดาห์ในฐานะผู้เผยพระวจนะแห่งความหวัง</w:t>
      </w:r>
      <w:r>
        <w:rPr>
          <w:rFonts w:ascii="Times New Roman" w:hAnsi="Times New Roman" w:eastAsia="Times New Roman" w:cs="Times New Roman"/>
        </w:rPr>
        <w:t xml:space="preserve"> </w:t>
      </w:r>
      <w:r>
        <w:rPr>
          <w:rFonts w:ascii="Leelawadee UI" w:hAnsi="Leelawadee UI" w:eastAsia="Leelawadee UI" w:cs="Leelawadee UI"/>
        </w:rPr>
        <w:t>โดยทวีความกล้าหาญขึ้นเรื่อย</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และยิ่งกล้าหาญขึ้นอีกในการพยากรณ์ของเขาเกี่ยวกับชัยชนะในอนาคตของคริสตจักร</w:t>
      </w:r>
      <w:r>
        <w:rPr>
          <w:rFonts w:ascii="Times New Roman" w:hAnsi="Times New Roman" w:eastAsia="Times New Roman" w:cs="Times New Roman"/>
        </w:rPr>
        <w:t>” Prophets and Kings,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Hamsini na Nane</dc:title>
  <dc:subject>Dévoiler la vision : Comprendre les jours de deuil dans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