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cinquante-neuf</w:t>
      </w:r>
    </w:p>
    <w:p>
      <w:pPr>
        <w:pStyle w:val="ArticleSubtitle"/>
        <w:jc w:val="left"/>
      </w:pPr>
      <w:r>
        <w:rPr>
          <w:rFonts w:ascii="Arial" w:hAnsi="Arial" w:eastAsia="Arial" w:cs="Arial"/>
        </w:rPr>
        <w:t>Révélation des trois attouchements angéliques dans la vision de Daniel : une révélation prophétique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Ar sapit y degvet pennad, Daniel a vez stoket teir gwech, hag an teir stok-se a glot gant an teir gwech ma ra Daniel e-unan anavezout ar “mareh”, ar weledigezh. Ar gentañ hag an diwezhañ gwech ma teuas war wel e oa Gabriel, kelaouour Diskuliadur Jezuz-Krist. Gabriel eo an hini a gemer ar gemennadenn digant Krist, a oa bet roet dezhañ gant an Tad, hag a zegas anezhi d’ar profed, a rank he c’has d’an ilizoù.</w:t>
      </w:r>
    </w:p>
    <w:p>
      <w:pPr>
        <w:pStyle w:val="ArticleScripture"/>
        <w:jc w:val="left"/>
      </w:pPr>
      <w:r>
        <w:rPr>
          <w:rFonts w:ascii="Times New Roman" w:hAnsi="Times New Roman" w:eastAsia="Times New Roman" w:cs="Times New Roman"/>
        </w:rPr>
        <w:t>Men mwen va montre w sa ki ekri nan liv verite a; e pa gen pèsonn ki kanpe ansanm avè m nan bagay sa yo, eksepte Mikaèl, chèf nou an. Daniel 10:21.</w:t>
      </w:r>
    </w:p>
    <w:p>
      <w:pPr>
        <w:pStyle w:val="ArticleBody"/>
        <w:jc w:val="left"/>
      </w:pPr>
      <w:r>
        <w:rPr>
          <w:rFonts w:ascii="Times New Roman" w:hAnsi="Times New Roman" w:eastAsia="Times New Roman" w:cs="Times New Roman"/>
        </w:rPr>
        <w:t>Jibreel wuxuu og yahay inuu yahay makhluuq la abuuray, waana sababta uu si toos ah Yooxanaa ugu wargeliyey inuusan isaga caabudin kitaabka Muujintii.</w:t>
      </w:r>
    </w:p>
    <w:p>
      <w:pPr>
        <w:pStyle w:val="ArticleScripture"/>
        <w:jc w:val="left"/>
      </w:pPr>
      <w:r>
        <w:rPr>
          <w:rFonts w:ascii="Times New Roman" w:hAnsi="Times New Roman" w:eastAsia="Times New Roman" w:cs="Times New Roman"/>
        </w:rPr>
        <w:t>At doon ay nagpatirapa ako sa kaniyang paanan upang sambahin siya. At sinabi niya sa akin, Huwag mong gawin iyan: ako ay kapuwa mo alipin, at ng iyong mga kapatid na may patotoo ni Jesus: sambahin mo ang Diyos: sapagkat ang patotoo ni Jesus ay siyang diwa ng hula. Apocalipsis 19:10.</w:t>
      </w:r>
    </w:p>
    <w:p>
      <w:pPr>
        <w:pStyle w:val="ArticleBody"/>
        <w:jc w:val="left"/>
      </w:pPr>
      <w:r>
        <w:rPr>
          <w:rFonts w:ascii="Times New Roman" w:hAnsi="Times New Roman" w:eastAsia="Times New Roman" w:cs="Times New Roman"/>
        </w:rPr>
        <w:t>Le disciple de la prophétie doit donc comprendre que la raison pour laquelle Gabriel déclare qu’il n’y a au-dessus de lui personne, en rapport avec ce qui « est écrit dans l’Écriture de vérité », répond à un dessein prophétique précis. Lorsqu’il affirme que seul Christ comprend les Écritures mieux que lui-même, il désigne Christ comme « Michel, votre prince ». Mais Michel n’est pas seulement un prince, il est l’archange.</w:t>
      </w:r>
    </w:p>
    <w:p>
      <w:pPr>
        <w:pStyle w:val="ArticleScripture"/>
        <w:jc w:val="left"/>
      </w:pPr>
      <w:r>
        <w:rPr>
          <w:rFonts w:ascii="Times New Roman" w:hAnsi="Times New Roman" w:eastAsia="Times New Roman" w:cs="Times New Roman"/>
        </w:rPr>
        <w:t>Por Mikael, hovedengelen, da han stred med djevelen og tviste om Moses’ legeme, våget ikke å fremføre en spottende anklage mot ham, men sa: Herren refse deg. Judas 7.</w:t>
      </w:r>
    </w:p>
    <w:p>
      <w:pPr>
        <w:pStyle w:val="ArticleBody"/>
        <w:jc w:val="left"/>
      </w:pPr>
      <w:r>
        <w:rPr>
          <w:rFonts w:ascii="Times New Roman" w:hAnsi="Times New Roman" w:eastAsia="Times New Roman" w:cs="Times New Roman"/>
        </w:rPr>
        <w:t>Le tre tocchi sono dunque tutti tocchi angelici, e le tre volte in cui Daniele sperimenta la “mareh”, la visione, essa è angelica. La terza volta che Daniele viene toccato, ciò avviene perché sia rafforzato, poiché in precedenza, al secondo tocco, aveva perduto la sua forza.</w:t>
      </w:r>
    </w:p>
    <w:p>
      <w:pPr>
        <w:pStyle w:val="ArticleScripture"/>
        <w:jc w:val="left"/>
      </w:pPr>
      <w:r>
        <w:rPr>
          <w:rFonts w:ascii="Times New Roman" w:hAnsi="Times New Roman" w:eastAsia="Times New Roman" w:cs="Times New Roman"/>
        </w:rPr>
        <w:t>Ensuite, celui qui avait l’apparence d’un homme me toucha de nouveau et me fortifia. Il me dit : Homme bien-aimé, ne crains point ; que la paix soit avec toi. Prends courage, prends courage. Lorsqu’il m’eut parlé, je repris des forces et je dis : Que mon seigneur parle, car tu m’as fortifié. Il me dit alors : Sais-tu pourquoi je suis venu vers toi ? Maintenant je m’en retourne pour combattre le prince de la Perse ; et quand je partirai, voici, le prince de la Grèce viendra. Daniel 10:18–20.</w:t>
      </w:r>
    </w:p>
    <w:p>
      <w:pPr>
        <w:pStyle w:val="ArticleBody"/>
        <w:jc w:val="left"/>
      </w:pP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နောက်ဆုံးကာလများ၌</w:t>
      </w:r>
      <w:r>
        <w:rPr>
          <w:rFonts w:ascii="Times New Roman" w:hAnsi="Times New Roman" w:eastAsia="Times New Roman" w:cs="Times New Roman"/>
        </w:rPr>
        <w:t xml:space="preserve"> </w:t>
      </w:r>
      <w:r>
        <w:rPr>
          <w:rFonts w:ascii="Myanmar Text" w:hAnsi="Myanmar Text" w:eastAsia="Myanmar Text" w:cs="Myanmar Text"/>
        </w:rPr>
        <w:t>သင်၏လူမျိုးအပေါ်</w:t>
      </w:r>
      <w:r>
        <w:rPr>
          <w:rFonts w:ascii="Times New Roman" w:hAnsi="Times New Roman" w:eastAsia="Times New Roman" w:cs="Times New Roman"/>
        </w:rPr>
        <w:t xml:space="preserve"> </w:t>
      </w:r>
      <w:r>
        <w:rPr>
          <w:rFonts w:ascii="Myanmar Text" w:hAnsi="Myanmar Text" w:eastAsia="Myanmar Text" w:cs="Myanmar Text"/>
        </w:rPr>
        <w:t>အဘယ်အရာကျရောက်မည်ကို</w:t>
      </w:r>
      <w:r>
        <w:rPr>
          <w:rFonts w:ascii="Times New Roman" w:hAnsi="Times New Roman" w:eastAsia="Times New Roman" w:cs="Times New Roman"/>
        </w:rPr>
        <w:t xml:space="preserve"> </w:t>
      </w:r>
      <w:r>
        <w:rPr>
          <w:rFonts w:ascii="Myanmar Text" w:hAnsi="Myanmar Text" w:eastAsia="Myanmar Text" w:cs="Myanmar Text"/>
        </w:rPr>
        <w:t>သင်နားလည်စေခြင်းငှာ</w:t>
      </w:r>
      <w:r>
        <w:rPr>
          <w:rFonts w:ascii="Times New Roman" w:hAnsi="Times New Roman" w:eastAsia="Times New Roman" w:cs="Times New Roman"/>
        </w:rPr>
        <w:t xml:space="preserve">” </w:t>
      </w:r>
      <w:r>
        <w:rPr>
          <w:rFonts w:ascii="Myanmar Text" w:hAnsi="Myanmar Text" w:eastAsia="Myanmar Text" w:cs="Myanmar Text"/>
        </w:rPr>
        <w:t>မိမိသည်</w:t>
      </w:r>
      <w:r>
        <w:rPr>
          <w:rFonts w:ascii="Times New Roman" w:hAnsi="Times New Roman" w:eastAsia="Times New Roman" w:cs="Times New Roman"/>
        </w:rPr>
        <w:t xml:space="preserve"> “</w:t>
      </w:r>
      <w:r>
        <w:rPr>
          <w:rFonts w:ascii="Myanmar Text" w:hAnsi="Myanmar Text" w:eastAsia="Myanmar Text" w:cs="Myanmar Text"/>
        </w:rPr>
        <w:t>ရောက်လာခဲ့</w:t>
      </w:r>
      <w:r>
        <w:rPr>
          <w:rFonts w:ascii="Times New Roman" w:hAnsi="Times New Roman" w:eastAsia="Times New Roman" w:cs="Times New Roman"/>
        </w:rPr>
        <w:t xml:space="preserve">” </w:t>
      </w:r>
      <w:r>
        <w:rPr>
          <w:rFonts w:ascii="Myanmar Text" w:hAnsi="Myanmar Text" w:eastAsia="Myanmar Text" w:cs="Myanmar Text"/>
        </w:rPr>
        <w:t>သည်ဟု</w:t>
      </w:r>
      <w:r>
        <w:rPr>
          <w:rFonts w:ascii="Times New Roman" w:hAnsi="Times New Roman" w:eastAsia="Times New Roman" w:cs="Times New Roman"/>
        </w:rPr>
        <w:t xml:space="preserve"> </w:t>
      </w:r>
      <w:r>
        <w:rPr>
          <w:rFonts w:ascii="Myanmar Text" w:hAnsi="Myanmar Text" w:eastAsia="Myanmar Text" w:cs="Myanmar Text"/>
        </w:rPr>
        <w:t>သတိပေးပြန်ဆိုသည်။</w:t>
      </w:r>
      <w:r>
        <w:rPr>
          <w:rFonts w:ascii="Times New Roman" w:hAnsi="Times New Roman" w:eastAsia="Times New Roman" w:cs="Times New Roman"/>
        </w:rPr>
        <w:t xml:space="preserve"> </w:t>
      </w:r>
      <w:r>
        <w:rPr>
          <w:rFonts w:ascii="Myanmar Text" w:hAnsi="Myanmar Text" w:eastAsia="Myanmar Text" w:cs="Myanmar Text"/>
        </w:rPr>
        <w:t>ထိုသို့ဆိုရာတွင်</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သင့်ထံသို့</w:t>
      </w:r>
      <w:r>
        <w:rPr>
          <w:rFonts w:ascii="Times New Roman" w:hAnsi="Times New Roman" w:eastAsia="Times New Roman" w:cs="Times New Roman"/>
        </w:rPr>
        <w:t xml:space="preserve"> </w:t>
      </w:r>
      <w:r>
        <w:rPr>
          <w:rFonts w:ascii="Myanmar Text" w:hAnsi="Myanmar Text" w:eastAsia="Myanmar Text" w:cs="Myanmar Text"/>
        </w:rPr>
        <w:t>အဘယ်ကြောင့်</w:t>
      </w:r>
      <w:r>
        <w:rPr>
          <w:rFonts w:ascii="Times New Roman" w:hAnsi="Times New Roman" w:eastAsia="Times New Roman" w:cs="Times New Roman"/>
        </w:rPr>
        <w:t xml:space="preserve"> </w:t>
      </w:r>
      <w:r>
        <w:rPr>
          <w:rFonts w:ascii="Myanmar Text" w:hAnsi="Myanmar Text" w:eastAsia="Myanmar Text" w:cs="Myanmar Text"/>
        </w:rPr>
        <w:t>ရောက်လာသည်ကို</w:t>
      </w:r>
      <w:r>
        <w:rPr>
          <w:rFonts w:ascii="Times New Roman" w:hAnsi="Times New Roman" w:eastAsia="Times New Roman" w:cs="Times New Roman"/>
        </w:rPr>
        <w:t xml:space="preserve"> </w:t>
      </w:r>
      <w:r>
        <w:rPr>
          <w:rFonts w:ascii="Myanmar Text" w:hAnsi="Myanmar Text" w:eastAsia="Myanmar Text" w:cs="Myanmar Text"/>
        </w:rPr>
        <w:t>သင်သိသလော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မေးခဲ့သည်။</w:t>
      </w:r>
      <w:r>
        <w:rPr>
          <w:rFonts w:ascii="Times New Roman" w:hAnsi="Times New Roman" w:eastAsia="Times New Roman" w:cs="Times New Roman"/>
        </w:rPr>
        <w:t xml:space="preserve"> </w:t>
      </w:r>
      <w:r>
        <w:rPr>
          <w:rFonts w:ascii="Myanmar Text" w:hAnsi="Myanmar Text" w:eastAsia="Myanmar Text" w:cs="Myanmar Text"/>
        </w:rPr>
        <w:t>နောက်ဆုံးကာလများအကြောင်း</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မိမိသင်ကြားပေးခဲ့သည့်အရာနှင့်</w:t>
      </w:r>
      <w:r>
        <w:rPr>
          <w:rFonts w:ascii="Times New Roman" w:hAnsi="Times New Roman" w:eastAsia="Times New Roman" w:cs="Times New Roman"/>
        </w:rPr>
        <w:t xml:space="preserve"> </w:t>
      </w:r>
      <w:r>
        <w:rPr>
          <w:rFonts w:ascii="Myanmar Text" w:hAnsi="Myanmar Text" w:eastAsia="Myanmar Text" w:cs="Myanmar Text"/>
        </w:rPr>
        <w:t>ကိုက်ညီစွာ၊</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ဂါဗြေလက</w:t>
      </w:r>
      <w:r>
        <w:rPr>
          <w:rFonts w:ascii="Times New Roman" w:hAnsi="Times New Roman" w:eastAsia="Times New Roman" w:cs="Times New Roman"/>
        </w:rPr>
        <w:t xml:space="preserve"> </w:t>
      </w:r>
      <w:r>
        <w:rPr>
          <w:rFonts w:ascii="Myanmar Text" w:hAnsi="Myanmar Text" w:eastAsia="Myanmar Text" w:cs="Myanmar Text"/>
        </w:rPr>
        <w:t>မိမိသည်</w:t>
      </w:r>
      <w:r>
        <w:rPr>
          <w:rFonts w:ascii="Times New Roman" w:hAnsi="Times New Roman" w:eastAsia="Times New Roman" w:cs="Times New Roman"/>
        </w:rPr>
        <w:t xml:space="preserve"> “</w:t>
      </w:r>
      <w:r>
        <w:rPr>
          <w:rFonts w:ascii="Myanmar Text" w:hAnsi="Myanmar Text" w:eastAsia="Myanmar Text" w:cs="Myanmar Text"/>
        </w:rPr>
        <w:t>ပါရှားမင်းသားနှင့်</w:t>
      </w:r>
      <w:r>
        <w:rPr>
          <w:rFonts w:ascii="Times New Roman" w:hAnsi="Times New Roman" w:eastAsia="Times New Roman" w:cs="Times New Roman"/>
        </w:rPr>
        <w:t xml:space="preserve"> </w:t>
      </w:r>
      <w:r>
        <w:rPr>
          <w:rFonts w:ascii="Myanmar Text" w:hAnsi="Myanmar Text" w:eastAsia="Myanmar Text" w:cs="Myanmar Text"/>
        </w:rPr>
        <w:t>စစ်တိုက်ရန်</w:t>
      </w:r>
      <w:r>
        <w:rPr>
          <w:rFonts w:ascii="Times New Roman" w:hAnsi="Times New Roman" w:eastAsia="Times New Roman" w:cs="Times New Roman"/>
        </w:rPr>
        <w:t xml:space="preserve"> </w:t>
      </w:r>
      <w:r>
        <w:rPr>
          <w:rFonts w:ascii="Myanmar Text" w:hAnsi="Myanmar Text" w:eastAsia="Myanmar Text" w:cs="Myanmar Text"/>
        </w:rPr>
        <w:t>ပြန်သွားမည်။</w:t>
      </w:r>
      <w:r>
        <w:rPr>
          <w:rFonts w:ascii="Times New Roman" w:hAnsi="Times New Roman" w:eastAsia="Times New Roman" w:cs="Times New Roman"/>
        </w:rPr>
        <w:t xml:space="preserve"> </w:t>
      </w:r>
      <w:r>
        <w:rPr>
          <w:rFonts w:ascii="Myanmar Text" w:hAnsi="Myanmar Text" w:eastAsia="Myanmar Text" w:cs="Myanmar Text"/>
        </w:rPr>
        <w:t>ငါထွက်ခွာသွားသောအခါ၊</w:t>
      </w:r>
      <w:r>
        <w:rPr>
          <w:rFonts w:ascii="Times New Roman" w:hAnsi="Times New Roman" w:eastAsia="Times New Roman" w:cs="Times New Roman"/>
        </w:rPr>
        <w:t xml:space="preserve"> </w:t>
      </w:r>
      <w:r>
        <w:rPr>
          <w:rFonts w:ascii="Myanmar Text" w:hAnsi="Myanmar Text" w:eastAsia="Myanmar Text" w:cs="Myanmar Text"/>
        </w:rPr>
        <w:t>ဂရိမင်းသားသည်</w:t>
      </w:r>
      <w:r>
        <w:rPr>
          <w:rFonts w:ascii="Times New Roman" w:hAnsi="Times New Roman" w:eastAsia="Times New Roman" w:cs="Times New Roman"/>
        </w:rPr>
        <w:t xml:space="preserve"> </w:t>
      </w:r>
      <w:r>
        <w:rPr>
          <w:rFonts w:ascii="Myanmar Text" w:hAnsi="Myanmar Text" w:eastAsia="Myanmar Text" w:cs="Myanmar Text"/>
        </w:rPr>
        <w:t>လာလိမ့်မည်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ဇာတ်ကြောင်းကို</w:t>
      </w:r>
      <w:r>
        <w:rPr>
          <w:rFonts w:ascii="Times New Roman" w:hAnsi="Times New Roman" w:eastAsia="Times New Roman" w:cs="Times New Roman"/>
        </w:rPr>
        <w:t xml:space="preserve"> </w:t>
      </w:r>
      <w:r>
        <w:rPr>
          <w:rFonts w:ascii="Myanmar Text" w:hAnsi="Myanmar Text" w:eastAsia="Myanmar Text" w:cs="Myanmar Text"/>
        </w:rPr>
        <w:t>စတင်ပြီး၊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နောက်ဆုံးကာလများ၌</w:t>
      </w:r>
      <w:r>
        <w:rPr>
          <w:rFonts w:ascii="Times New Roman" w:hAnsi="Times New Roman" w:eastAsia="Times New Roman" w:cs="Times New Roman"/>
        </w:rPr>
        <w:t xml:space="preserve"> </w:t>
      </w:r>
      <w:r>
        <w:rPr>
          <w:rFonts w:ascii="Myanmar Text" w:hAnsi="Myanmar Text" w:eastAsia="Myanmar Text" w:cs="Myanmar Text"/>
        </w:rPr>
        <w:t>တစ်သိန်းလေးသောင်းလေးထောင်အပေါ်</w:t>
      </w:r>
      <w:r>
        <w:rPr>
          <w:rFonts w:ascii="Times New Roman" w:hAnsi="Times New Roman" w:eastAsia="Times New Roman" w:cs="Times New Roman"/>
        </w:rPr>
        <w:t xml:space="preserve"> </w:t>
      </w:r>
      <w:r>
        <w:rPr>
          <w:rFonts w:ascii="Myanmar Text" w:hAnsi="Myanmar Text" w:eastAsia="Myanmar Text" w:cs="Myanmar Text"/>
        </w:rPr>
        <w:t>ကျရောက်မည့်အရာများကို</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ထိုပရောဖက်ပြုချက်ဆိုင်ရာ</w:t>
      </w:r>
      <w:r>
        <w:rPr>
          <w:rFonts w:ascii="Times New Roman" w:hAnsi="Times New Roman" w:eastAsia="Times New Roman" w:cs="Times New Roman"/>
        </w:rPr>
        <w:t xml:space="preserve"> </w:t>
      </w:r>
      <w:r>
        <w:rPr>
          <w:rFonts w:ascii="Myanmar Text" w:hAnsi="Myanmar Text" w:eastAsia="Myanmar Text" w:cs="Myanmar Text"/>
        </w:rPr>
        <w:t>ဇာတ်ကြောင်းကို</w:t>
      </w:r>
      <w:r>
        <w:rPr>
          <w:rFonts w:ascii="Times New Roman" w:hAnsi="Times New Roman" w:eastAsia="Times New Roman" w:cs="Times New Roman"/>
        </w:rPr>
        <w:t xml:space="preserve"> “</w:t>
      </w:r>
      <w:r>
        <w:rPr>
          <w:rFonts w:ascii="Myanmar Text" w:hAnsi="Myanmar Text" w:eastAsia="Myanmar Text" w:cs="Myanmar Text"/>
        </w:rPr>
        <w:t>ပါရှားမင်းသား</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ဂရိမင်းသား</w:t>
      </w:r>
      <w:r>
        <w:rPr>
          <w:rFonts w:ascii="Times New Roman" w:hAnsi="Times New Roman" w:eastAsia="Times New Roman" w:cs="Times New Roman"/>
        </w:rPr>
        <w:t xml:space="preserve">” </w:t>
      </w:r>
      <w:r>
        <w:rPr>
          <w:rFonts w:ascii="Myanmar Text" w:hAnsi="Myanmar Text" w:eastAsia="Myanmar Text" w:cs="Myanmar Text"/>
        </w:rPr>
        <w:t>တို့နှင့်</w:t>
      </w:r>
      <w:r>
        <w:rPr>
          <w:rFonts w:ascii="Times New Roman" w:hAnsi="Times New Roman" w:eastAsia="Times New Roman" w:cs="Times New Roman"/>
        </w:rPr>
        <w:t xml:space="preserve"> </w:t>
      </w:r>
      <w:r>
        <w:rPr>
          <w:rFonts w:ascii="Myanmar Text" w:hAnsi="Myanmar Text" w:eastAsia="Myanmar Text" w:cs="Myanmar Text"/>
        </w:rPr>
        <w:t>ဖြစ်ပွားသော</w:t>
      </w:r>
      <w:r>
        <w:rPr>
          <w:rFonts w:ascii="Times New Roman" w:hAnsi="Times New Roman" w:eastAsia="Times New Roman" w:cs="Times New Roman"/>
        </w:rPr>
        <w:t xml:space="preserve"> </w:t>
      </w:r>
      <w:r>
        <w:rPr>
          <w:rFonts w:ascii="Myanmar Text" w:hAnsi="Myanmar Text" w:eastAsia="Myanmar Text" w:cs="Myanmar Text"/>
        </w:rPr>
        <w:t>တိုက်ပွဲ၏</w:t>
      </w:r>
      <w:r>
        <w:rPr>
          <w:rFonts w:ascii="Times New Roman" w:hAnsi="Times New Roman" w:eastAsia="Times New Roman" w:cs="Times New Roman"/>
        </w:rPr>
        <w:t xml:space="preserve"> </w:t>
      </w:r>
      <w:r>
        <w:rPr>
          <w:rFonts w:ascii="Myanmar Text" w:hAnsi="Myanmar Text" w:eastAsia="Myanmar Text" w:cs="Myanmar Text"/>
        </w:rPr>
        <w:t>အခြေအနေဘောင်အတွင်း၌</w:t>
      </w:r>
      <w:r>
        <w:rPr>
          <w:rFonts w:ascii="Times New Roman" w:hAnsi="Times New Roman" w:eastAsia="Times New Roman" w:cs="Times New Roman"/>
        </w:rPr>
        <w:t xml:space="preserve"> </w:t>
      </w:r>
      <w:r>
        <w:rPr>
          <w:rFonts w:ascii="Myanmar Text" w:hAnsi="Myanmar Text" w:eastAsia="Myanmar Text" w:cs="Myanmar Text"/>
        </w:rPr>
        <w:t>ထားရှိထားသည်။</w:t>
      </w:r>
    </w:p>
    <w:p>
      <w:pPr>
        <w:pStyle w:val="ArticleBody"/>
        <w:jc w:val="left"/>
      </w:pPr>
      <w:r>
        <w:rPr>
          <w:rFonts w:ascii="Times New Roman" w:hAnsi="Times New Roman" w:eastAsia="Times New Roman" w:cs="Times New Roman"/>
        </w:rPr>
        <w:t>A historia real entre Ciro, o Grande, e Alexandre, o Grande, abrangeu mais de duzentos anos. Mas, no grande terremoto de Apocalipse, capítulo onze, os movimentos finais são rápidos; e, tão logo o sexto reino é conquistado pelo rei do norte falsificado, o sétimo reino, os dez reis, representados pela Grécia, imediatamente concorda em entregar o seu reino à besta.</w:t>
      </w:r>
    </w:p>
    <w:p>
      <w:pPr>
        <w:pStyle w:val="ArticleBody"/>
        <w:jc w:val="left"/>
      </w:pPr>
      <w:r>
        <w:rPr>
          <w:rFonts w:ascii="Times New Roman" w:hAnsi="Times New Roman" w:eastAsia="Times New Roman" w:cs="Times New Roman"/>
        </w:rPr>
        <w:t>Na ko tisa, “mareh” kikite na vakayagataki vakavitu ena wase tini ni ivola i Taniela. Keitou sa dikeva e va vei ira na vitu oqori, ka vakadewataka ni imatai ni kena vakamacalataki sai koya ni kilai koya o Taniela ni bera na ikatolu ni yabaki i Koyaresi ni sa kila oti na kikite. Ena tolu na kena vakamacalataki tarava, na tolu na tarai ena dua yadua na kikite e vakatakila na veika e lako curuma o Taniela ni sa yadra cake mai na nona tagi ni rua na kalou ka dua na siga. Na nona yadra cake ni vakabulabulataki vou e tauyavutaki ena iwalewale tolu-na-kalawa ni kosipeli tawamudu, ka vakatakarakarataki na tolu na kalawa oqori ena agilosi, e dina ga ni kalawa naba rua o Maikeli na Agilosi Levu, o Koya ga ka vakaturi Mosese mai na mate, ka vakadewataki koya ki lomalagi.</w:t>
      </w:r>
    </w:p>
    <w:p>
      <w:pPr>
        <w:pStyle w:val="ArticleBody"/>
        <w:jc w:val="left"/>
      </w:pP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“vision”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“mareh”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“marah” </w:t>
      </w:r>
      <w:r>
        <w:rPr>
          <w:rFonts w:ascii="Nirmala UI" w:hAnsi="Nirmala UI" w:eastAsia="Nirmala UI" w:cs="Nirmala UI"/>
        </w:rPr>
        <w:t>है।</w:t>
      </w:r>
      <w:r>
        <w:rPr>
          <w:rFonts w:ascii="Times New Roman" w:hAnsi="Times New Roman" w:eastAsia="Times New Roman" w:cs="Times New Roman"/>
        </w:rPr>
        <w:t xml:space="preserve"> “Marah,” “mareh”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स्त्रीलिंग</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कार्यकारक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दर्पण</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आईना</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परिभाषा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कार्यकारक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“the appearance”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परिभाषा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दर्पण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प्रतिबिंब</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तत्व</w:t>
      </w:r>
      <w:r>
        <w:rPr>
          <w:rFonts w:ascii="Times New Roman" w:hAnsi="Times New Roman" w:eastAsia="Times New Roman" w:cs="Times New Roman"/>
        </w:rPr>
        <w:t xml:space="preserve"> “</w:t>
      </w:r>
      <w:r>
        <w:rPr>
          <w:rFonts w:ascii="Nirmala UI" w:hAnsi="Nirmala UI" w:eastAsia="Nirmala UI" w:cs="Nirmala UI"/>
        </w:rPr>
        <w:t>कार्यकारक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“Marah”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कार्यकारक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परिभाषा</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गहन</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 terme « causatif » se rapporte à la notion de causalité ou à l’action de faire advenir quelque chose. En linguistique, plus précisément dans la morphologie verbale, la forme causative est une construction grammaticale qui indique que le sujet d’un verbe amène une autre personne ou une autre chose à accomplir l’action décrite par le verbe. Par exemple, en anglais, le verbe « to read » devient causatif lorsque l’on dit « to make someone read ». Ici, le sujet fait en sorte qu’une autre personne accomplisse l’action de lire.</w:t>
      </w:r>
    </w:p>
    <w:p>
      <w:pPr>
        <w:pStyle w:val="ArticleBody"/>
        <w:jc w:val="left"/>
      </w:pPr>
      <w:r>
        <w:rPr>
          <w:rFonts w:ascii="Times New Roman" w:hAnsi="Times New Roman" w:eastAsia="Times New Roman" w:cs="Times New Roman"/>
        </w:rPr>
        <w:t>Het causatieve vormtype duidt aan dat het onderwerp verantwoordelijk is voor het teweegbrengen van de door het werkwoord beschreven handeling. “Causatief” verwijst naar de wijze waarop een handeling of gebeurtenis wordt veroorzaakt om plaats te vinden. In de drie gevallen waarin Daniël het Hebreeuwse woord “marah” gebruikt, bewerkt het aanschouwde visioen dat de beschouwer veranderd wordt naar het beeld dat hij aanschouwt.</w:t>
      </w:r>
    </w:p>
    <w:p>
      <w:pPr>
        <w:pStyle w:val="ArticleScripture"/>
        <w:jc w:val="left"/>
      </w:pPr>
      <w:r>
        <w:rPr>
          <w:rFonts w:ascii="Times New Roman" w:hAnsi="Times New Roman" w:eastAsia="Times New Roman" w:cs="Times New Roman"/>
        </w:rPr>
        <w:t>وفي اليوم الرابع والعشرين من الشهر الأول، إذ كنتُ عند جانب النهر العظيم، وهو حدِّاقل؛ رفعتُ عينيَّ ونظرتُ، وإذا برجلٍ واحدٍ لابسٍ كتانًا، وحقواه منطَّقتان بذهب أوفاز الإبريز: وكان جسده أيضًا كالزبرجد، ووجهه كمنظر (mareh) البرق، وعيناه كمصباحي نار، وذراعاه ورجلاه كتلألؤ النحاس المصقول، وصوت كلامه كصوت جمهور. وأنا دانيال وحدي رأيتُ الرؤيا (marah): وأما الرجال الذين كانوا معي فلم يروا الرؤيا (marah)؛ ولكن وقعت عليهم رعدة عظيمة، فهربوا ليختبئوا. فبقيتُ أنا وحدي، ورأيتُ هذه الرؤيا العظيمة (marah)، ولم تبقَ فيَّ قوة: إذ تحوَّل بهائي فيَّ إلى فساد، ولم أحتفظ بقوة. وسمعتُ صوت كلامه؛ ولما سمعتُ صوت كلامه، كنتُ في سباتٍ عميقٍ على وجهي، ووجهي نحو الأرض. دانيال 10:4–9.</w:t>
      </w:r>
    </w:p>
    <w:p>
      <w:pPr>
        <w:pStyle w:val="ArticleBody"/>
        <w:jc w:val="left"/>
      </w:pPr>
      <w:r>
        <w:rPr>
          <w:rFonts w:ascii="Microsoft YaHei" w:hAnsi="Microsoft YaHei" w:eastAsia="Microsoft YaHei" w:cs="Microsoft YaHei"/>
        </w:rPr>
        <w:t>二十一日</w:t>
      </w:r>
      <w:r>
        <w:rPr>
          <w:rFonts w:ascii="MS Gothic" w:hAnsi="MS Gothic" w:eastAsia="MS Gothic" w:cs="MS Gothic"/>
        </w:rPr>
        <w:t>の</w:t>
      </w:r>
      <w:r>
        <w:rPr>
          <w:rFonts w:ascii="Microsoft YaHei" w:hAnsi="Microsoft YaHei" w:eastAsia="Microsoft YaHei" w:cs="Microsoft YaHei"/>
        </w:rPr>
        <w:t>嘆</w:t>
      </w:r>
      <w:r>
        <w:rPr>
          <w:rFonts w:ascii="MS Gothic" w:hAnsi="MS Gothic" w:eastAsia="MS Gothic" w:cs="MS Gothic"/>
        </w:rPr>
        <w:t>きの</w:t>
      </w:r>
      <w:r>
        <w:rPr>
          <w:rFonts w:ascii="Microsoft YaHei" w:hAnsi="Microsoft YaHei" w:eastAsia="Microsoft YaHei" w:cs="Microsoft YaHei"/>
        </w:rPr>
        <w:t>期間</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わりに</w:t>
      </w:r>
      <w:r>
        <w:rPr>
          <w:rFonts w:ascii="Microsoft YaHei" w:hAnsi="Microsoft YaHei" w:eastAsia="Microsoft YaHei" w:cs="Microsoft YaHei"/>
        </w:rPr>
        <w:t>、</w:t>
      </w:r>
      <w:r>
        <w:rPr>
          <w:rFonts w:ascii="MS Gothic" w:hAnsi="MS Gothic" w:eastAsia="MS Gothic" w:cs="MS Gothic"/>
        </w:rPr>
        <w:t>これは</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w:t>
      </w:r>
      <w:r>
        <w:rPr>
          <w:rFonts w:ascii="MS Gothic" w:hAnsi="MS Gothic" w:eastAsia="MS Gothic" w:cs="MS Gothic"/>
        </w:rPr>
        <w:t>において</w:t>
      </w:r>
      <w:r>
        <w:rPr>
          <w:rFonts w:ascii="Microsoft YaHei" w:hAnsi="Microsoft YaHei" w:eastAsia="Microsoft YaHei" w:cs="Microsoft YaHei"/>
        </w:rPr>
        <w:t>二人</w:t>
      </w:r>
      <w:r>
        <w:rPr>
          <w:rFonts w:ascii="MS Gothic" w:hAnsi="MS Gothic" w:eastAsia="MS Gothic" w:cs="MS Gothic"/>
        </w:rPr>
        <w:t>の</w:t>
      </w:r>
      <w:r>
        <w:rPr>
          <w:rFonts w:ascii="Microsoft YaHei" w:hAnsi="Microsoft YaHei" w:eastAsia="Microsoft YaHei" w:cs="Microsoft YaHei"/>
        </w:rPr>
        <w:t>証人</w:t>
      </w:r>
      <w:r>
        <w:rPr>
          <w:rFonts w:ascii="MS Gothic" w:hAnsi="MS Gothic" w:eastAsia="MS Gothic" w:cs="MS Gothic"/>
        </w:rPr>
        <w:t>が</w:t>
      </w:r>
      <w:r>
        <w:rPr>
          <w:rFonts w:ascii="Microsoft YaHei" w:hAnsi="Microsoft YaHei" w:eastAsia="Microsoft YaHei" w:cs="Microsoft YaHei"/>
        </w:rPr>
        <w:t>町</w:t>
      </w:r>
      <w:r>
        <w:rPr>
          <w:rFonts w:ascii="MS Gothic" w:hAnsi="MS Gothic" w:eastAsia="MS Gothic" w:cs="MS Gothic"/>
        </w:rPr>
        <w:t>の</w:t>
      </w:r>
      <w:r>
        <w:rPr>
          <w:rFonts w:ascii="Microsoft YaHei" w:hAnsi="Microsoft YaHei" w:eastAsia="Microsoft YaHei" w:cs="Microsoft YaHei"/>
        </w:rPr>
        <w:t>大路</w:t>
      </w:r>
      <w:r>
        <w:rPr>
          <w:rFonts w:ascii="MS Gothic" w:hAnsi="MS Gothic" w:eastAsia="MS Gothic" w:cs="MS Gothic"/>
        </w:rPr>
        <w:t>に</w:t>
      </w:r>
      <w:r>
        <w:rPr>
          <w:rFonts w:ascii="Microsoft YaHei" w:hAnsi="Microsoft YaHei" w:eastAsia="Microsoft YaHei" w:cs="Microsoft YaHei"/>
        </w:rPr>
        <w:t>死</w:t>
      </w:r>
      <w:r>
        <w:rPr>
          <w:rFonts w:ascii="MS Gothic" w:hAnsi="MS Gothic" w:eastAsia="MS Gothic" w:cs="MS Gothic"/>
        </w:rPr>
        <w:t>んでいる</w:t>
      </w:r>
      <w:r>
        <w:rPr>
          <w:rFonts w:ascii="Microsoft YaHei" w:hAnsi="Microsoft YaHei" w:eastAsia="Microsoft YaHei" w:cs="Microsoft YaHei"/>
        </w:rPr>
        <w:t>三日半</w:t>
      </w:r>
      <w:r>
        <w:rPr>
          <w:rFonts w:ascii="MS Gothic" w:hAnsi="MS Gothic" w:eastAsia="MS Gothic" w:cs="MS Gothic"/>
        </w:rPr>
        <w:t>に</w:t>
      </w:r>
      <w:r>
        <w:rPr>
          <w:rFonts w:ascii="Microsoft YaHei" w:hAnsi="Microsoft YaHei" w:eastAsia="Microsoft YaHei" w:cs="Microsoft YaHei"/>
        </w:rPr>
        <w:t>対応</w:t>
      </w:r>
      <w:r>
        <w:rPr>
          <w:rFonts w:ascii="MS Gothic" w:hAnsi="MS Gothic" w:eastAsia="MS Gothic" w:cs="MS Gothic"/>
        </w:rPr>
        <w:t>するのであるが</w:t>
      </w:r>
      <w:r>
        <w:rPr>
          <w:rFonts w:ascii="Microsoft YaHei" w:hAnsi="Microsoft YaHei" w:eastAsia="Microsoft YaHei" w:cs="Microsoft YaHei"/>
        </w:rPr>
        <w:t>、</w:t>
      </w:r>
      <w:r>
        <w:rPr>
          <w:rFonts w:ascii="MS Gothic" w:hAnsi="MS Gothic" w:eastAsia="MS Gothic" w:cs="MS Gothic"/>
        </w:rPr>
        <w:t>ダニエルは</w:t>
      </w:r>
      <w:r>
        <w:rPr>
          <w:rFonts w:ascii="Microsoft YaHei" w:hAnsi="Microsoft YaHei" w:eastAsia="Microsoft YaHei" w:cs="Microsoft YaHei"/>
        </w:rPr>
        <w:t>突如</w:t>
      </w:r>
      <w:r>
        <w:rPr>
          <w:rFonts w:ascii="MS Gothic" w:hAnsi="MS Gothic" w:eastAsia="MS Gothic" w:cs="MS Gothic"/>
        </w:rPr>
        <w:t>としてキリストの</w:t>
      </w:r>
      <w:r>
        <w:rPr>
          <w:rFonts w:ascii="Microsoft YaHei" w:hAnsi="Microsoft YaHei" w:eastAsia="Microsoft YaHei" w:cs="Microsoft YaHei"/>
        </w:rPr>
        <w:t>現</w:t>
      </w:r>
      <w:r>
        <w:rPr>
          <w:rFonts w:ascii="MS Gothic" w:hAnsi="MS Gothic" w:eastAsia="MS Gothic" w:cs="MS Gothic"/>
        </w:rPr>
        <w:t>れを</w:t>
      </w:r>
      <w:r>
        <w:rPr>
          <w:rFonts w:ascii="Microsoft YaHei" w:hAnsi="Microsoft YaHei" w:eastAsia="Microsoft YaHei" w:cs="Microsoft YaHei"/>
        </w:rPr>
        <w:t>見</w:t>
      </w:r>
      <w:r>
        <w:rPr>
          <w:rFonts w:ascii="MS Gothic" w:hAnsi="MS Gothic" w:eastAsia="MS Gothic" w:cs="MS Gothic"/>
        </w:rPr>
        <w:t>るようにさせられ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現</w:t>
      </w:r>
      <w:r>
        <w:rPr>
          <w:rFonts w:ascii="MS Gothic" w:hAnsi="MS Gothic" w:eastAsia="MS Gothic" w:cs="MS Gothic"/>
        </w:rPr>
        <w:t>れは</w:t>
      </w:r>
      <w:r>
        <w:rPr>
          <w:rFonts w:ascii="Microsoft YaHei" w:hAnsi="Microsoft YaHei" w:eastAsia="Microsoft YaHei" w:cs="Microsoft YaHei"/>
        </w:rPr>
        <w:t>「稲妻</w:t>
      </w:r>
      <w:r>
        <w:rPr>
          <w:rFonts w:ascii="MS Gothic" w:hAnsi="MS Gothic" w:eastAsia="MS Gothic" w:cs="MS Gothic"/>
        </w:rPr>
        <w:t>のような</w:t>
      </w:r>
      <w:r>
        <w:rPr>
          <w:rFonts w:ascii="Microsoft YaHei" w:hAnsi="Microsoft YaHei" w:eastAsia="Microsoft YaHei" w:cs="Microsoft YaHei"/>
        </w:rPr>
        <w:t>姿（</w:t>
      </w:r>
      <w:r>
        <w:rPr>
          <w:rFonts w:ascii="Times New Roman" w:hAnsi="Times New Roman" w:eastAsia="Times New Roman" w:cs="Times New Roman"/>
        </w:rPr>
        <w:t>mareh</w:t>
      </w:r>
      <w:r>
        <w:rPr>
          <w:rFonts w:ascii="Microsoft YaHei" w:hAnsi="Microsoft YaHei" w:eastAsia="Microsoft YaHei" w:cs="Microsoft YaHei"/>
        </w:rPr>
        <w:t>）」</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黙示録第十一章</w:t>
      </w:r>
      <w:r>
        <w:rPr>
          <w:rFonts w:ascii="MS Gothic" w:hAnsi="MS Gothic" w:eastAsia="MS Gothic" w:cs="MS Gothic"/>
        </w:rPr>
        <w:t>の</w:t>
      </w:r>
      <w:r>
        <w:rPr>
          <w:rFonts w:ascii="Microsoft YaHei" w:hAnsi="Microsoft YaHei" w:eastAsia="Microsoft YaHei" w:cs="Microsoft YaHei"/>
        </w:rPr>
        <w:t>三日半</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わりにおけるその</w:t>
      </w:r>
      <w:r>
        <w:rPr>
          <w:rFonts w:ascii="Microsoft YaHei" w:hAnsi="Microsoft YaHei" w:eastAsia="Microsoft YaHei" w:cs="Microsoft YaHei"/>
        </w:rPr>
        <w:t>出来事</w:t>
      </w:r>
      <w:r>
        <w:rPr>
          <w:rFonts w:ascii="MS Gothic" w:hAnsi="MS Gothic" w:eastAsia="MS Gothic" w:cs="MS Gothic"/>
        </w:rPr>
        <w:t>は</w:t>
      </w:r>
      <w:r>
        <w:rPr>
          <w:rFonts w:ascii="Microsoft YaHei" w:hAnsi="Microsoft YaHei" w:eastAsia="Microsoft YaHei" w:cs="Microsoft YaHei"/>
        </w:rPr>
        <w:t>、分離</w:t>
      </w:r>
      <w:r>
        <w:rPr>
          <w:rFonts w:ascii="MS Gothic" w:hAnsi="MS Gothic" w:eastAsia="MS Gothic" w:cs="MS Gothic"/>
        </w:rPr>
        <w:t>を</w:t>
      </w:r>
      <w:r>
        <w:rPr>
          <w:rFonts w:ascii="Microsoft YaHei" w:hAnsi="Microsoft YaHei" w:eastAsia="Microsoft YaHei" w:cs="Microsoft YaHei"/>
        </w:rPr>
        <w:t>生</w:t>
      </w:r>
      <w:r>
        <w:rPr>
          <w:rFonts w:ascii="MS Gothic" w:hAnsi="MS Gothic" w:eastAsia="MS Gothic" w:cs="MS Gothic"/>
        </w:rPr>
        <w:t>じさせる</w:t>
      </w:r>
      <w:r>
        <w:rPr>
          <w:rFonts w:ascii="Times New Roman" w:hAnsi="Times New Roman" w:eastAsia="Times New Roman" w:cs="Times New Roman"/>
        </w:rPr>
        <w:t>.</w:t>
      </w:r>
      <w:r>
        <w:rPr>
          <w:rFonts w:ascii="MS Gothic" w:hAnsi="MS Gothic" w:eastAsia="MS Gothic" w:cs="MS Gothic"/>
        </w:rPr>
        <w:t>というのは</w:t>
      </w:r>
      <w:r>
        <w:rPr>
          <w:rFonts w:ascii="Microsoft YaHei" w:hAnsi="Microsoft YaHei" w:eastAsia="Microsoft YaHei" w:cs="Microsoft YaHei"/>
        </w:rPr>
        <w:t>、「</w:t>
      </w:r>
      <w:r>
        <w:rPr>
          <w:rFonts w:ascii="MS Gothic" w:hAnsi="MS Gothic" w:eastAsia="MS Gothic" w:cs="MS Gothic"/>
        </w:rPr>
        <w:t>ダニエルと</w:t>
      </w:r>
      <w:r>
        <w:rPr>
          <w:rFonts w:ascii="Microsoft YaHei" w:hAnsi="Microsoft YaHei" w:eastAsia="Microsoft YaHei" w:cs="Microsoft YaHei"/>
        </w:rPr>
        <w:t>共</w:t>
      </w:r>
      <w:r>
        <w:rPr>
          <w:rFonts w:ascii="MS Gothic" w:hAnsi="MS Gothic" w:eastAsia="MS Gothic" w:cs="MS Gothic"/>
        </w:rPr>
        <w:t>にいた</w:t>
      </w:r>
      <w:r>
        <w:rPr>
          <w:rFonts w:ascii="Microsoft YaHei" w:hAnsi="Microsoft YaHei" w:eastAsia="Microsoft YaHei" w:cs="Microsoft YaHei"/>
        </w:rPr>
        <w:t>人々」</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幻（</w:t>
      </w:r>
      <w:r>
        <w:rPr>
          <w:rFonts w:ascii="Times New Roman" w:hAnsi="Times New Roman" w:eastAsia="Times New Roman" w:cs="Times New Roman"/>
        </w:rPr>
        <w:t>marah</w:t>
      </w:r>
      <w:r>
        <w:rPr>
          <w:rFonts w:ascii="Microsoft YaHei" w:hAnsi="Microsoft YaHei" w:eastAsia="Microsoft YaHei" w:cs="Microsoft YaHei"/>
        </w:rPr>
        <w:t>）</w:t>
      </w:r>
      <w:r>
        <w:rPr>
          <w:rFonts w:ascii="MS Gothic" w:hAnsi="MS Gothic" w:eastAsia="MS Gothic" w:cs="MS Gothic"/>
        </w:rPr>
        <w:t>を</w:t>
      </w:r>
      <w:r>
        <w:rPr>
          <w:rFonts w:ascii="Microsoft YaHei" w:hAnsi="Microsoft YaHei" w:eastAsia="Microsoft YaHei" w:cs="Microsoft YaHei"/>
        </w:rPr>
        <w:t>見</w:t>
      </w:r>
      <w:r>
        <w:rPr>
          <w:rFonts w:ascii="MS Gothic" w:hAnsi="MS Gothic" w:eastAsia="MS Gothic" w:cs="MS Gothic"/>
        </w:rPr>
        <w:t>なかった</w:t>
      </w:r>
      <w:r>
        <w:rPr>
          <w:rFonts w:ascii="Microsoft YaHei" w:hAnsi="Microsoft YaHei" w:eastAsia="Microsoft YaHei" w:cs="Microsoft YaHei"/>
        </w:rPr>
        <w:t>」</w:t>
      </w:r>
      <w:r>
        <w:rPr>
          <w:rFonts w:ascii="MS Gothic" w:hAnsi="MS Gothic" w:eastAsia="MS Gothic" w:cs="MS Gothic"/>
        </w:rPr>
        <w:t>が</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震</w:t>
      </w:r>
      <w:r>
        <w:rPr>
          <w:rFonts w:ascii="MS Gothic" w:hAnsi="MS Gothic" w:eastAsia="MS Gothic" w:cs="MS Gothic"/>
        </w:rPr>
        <w:t>えが</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臨</w:t>
      </w:r>
      <w:r>
        <w:rPr>
          <w:rFonts w:ascii="MS Gothic" w:hAnsi="MS Gothic" w:eastAsia="MS Gothic" w:cs="MS Gothic"/>
        </w:rPr>
        <w:t>んだので</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身</w:t>
      </w:r>
      <w:r>
        <w:rPr>
          <w:rFonts w:ascii="MS Gothic" w:hAnsi="MS Gothic" w:eastAsia="MS Gothic" w:cs="MS Gothic"/>
        </w:rPr>
        <w:t>を</w:t>
      </w:r>
      <w:r>
        <w:rPr>
          <w:rFonts w:ascii="Microsoft YaHei" w:hAnsi="Microsoft YaHei" w:eastAsia="Microsoft YaHei" w:cs="Microsoft YaHei"/>
        </w:rPr>
        <w:t>隠</w:t>
      </w:r>
      <w:r>
        <w:rPr>
          <w:rFonts w:ascii="MS Gothic" w:hAnsi="MS Gothic" w:eastAsia="MS Gothic" w:cs="MS Gothic"/>
        </w:rPr>
        <w:t>すために</w:t>
      </w:r>
      <w:r>
        <w:rPr>
          <w:rFonts w:ascii="Microsoft YaHei" w:hAnsi="Microsoft YaHei" w:eastAsia="Microsoft YaHei" w:cs="Microsoft YaHei"/>
        </w:rPr>
        <w:t>逃</w:t>
      </w:r>
      <w:r>
        <w:rPr>
          <w:rFonts w:ascii="MS Gothic" w:hAnsi="MS Gothic" w:eastAsia="MS Gothic" w:cs="MS Gothic"/>
        </w:rPr>
        <w:t>げ</w:t>
      </w:r>
      <w:r>
        <w:rPr>
          <w:rFonts w:ascii="Microsoft YaHei" w:hAnsi="Microsoft YaHei" w:eastAsia="Microsoft YaHei" w:cs="Microsoft YaHei"/>
        </w:rPr>
        <w:t>去</w:t>
      </w:r>
      <w:r>
        <w:rPr>
          <w:rFonts w:ascii="MS Gothic" w:hAnsi="MS Gothic" w:eastAsia="MS Gothic" w:cs="MS Gothic"/>
        </w:rPr>
        <w:t>った</w:t>
      </w:r>
      <w:r>
        <w:rPr>
          <w:rFonts w:ascii="Times New Roman" w:hAnsi="Times New Roman" w:eastAsia="Times New Roman" w:cs="Times New Roman"/>
        </w:rPr>
        <w:t>.</w:t>
      </w:r>
      <w:r>
        <w:rPr>
          <w:rFonts w:ascii="MS Gothic" w:hAnsi="MS Gothic" w:eastAsia="MS Gothic" w:cs="MS Gothic"/>
        </w:rPr>
        <w:t>それゆえ</w:t>
      </w:r>
      <w:r>
        <w:rPr>
          <w:rFonts w:ascii="Microsoft YaHei" w:hAnsi="Microsoft YaHei" w:eastAsia="Microsoft YaHei" w:cs="Microsoft YaHei"/>
        </w:rPr>
        <w:t>」</w:t>
      </w:r>
      <w:r>
        <w:rPr>
          <w:rFonts w:ascii="MS Gothic" w:hAnsi="MS Gothic" w:eastAsia="MS Gothic" w:cs="MS Gothic"/>
        </w:rPr>
        <w:t>ダニエルは</w:t>
      </w:r>
      <w:r>
        <w:rPr>
          <w:rFonts w:ascii="Microsoft YaHei" w:hAnsi="Microsoft YaHei" w:eastAsia="Microsoft YaHei" w:cs="Microsoft YaHei"/>
        </w:rPr>
        <w:t>「</w:t>
      </w:r>
      <w:r>
        <w:rPr>
          <w:rFonts w:ascii="MS Gothic" w:hAnsi="MS Gothic" w:eastAsia="MS Gothic" w:cs="MS Gothic"/>
        </w:rPr>
        <w:t>ただひとり</w:t>
      </w:r>
      <w:r>
        <w:rPr>
          <w:rFonts w:ascii="Microsoft YaHei" w:hAnsi="Microsoft YaHei" w:eastAsia="Microsoft YaHei" w:cs="Microsoft YaHei"/>
        </w:rPr>
        <w:t>残</w:t>
      </w:r>
      <w:r>
        <w:rPr>
          <w:rFonts w:ascii="MS Gothic" w:hAnsi="MS Gothic" w:eastAsia="MS Gothic" w:cs="MS Gothic"/>
        </w:rPr>
        <w:t>された</w:t>
      </w:r>
      <w:r>
        <w:rPr>
          <w:rFonts w:ascii="Microsoft YaHei" w:hAnsi="Microsoft YaHei" w:eastAsia="Microsoft YaHei" w:cs="Microsoft YaHei"/>
        </w:rPr>
        <w:t>」</w:t>
      </w:r>
      <w:r>
        <w:rPr>
          <w:rFonts w:ascii="MS Gothic" w:hAnsi="MS Gothic" w:eastAsia="MS Gothic" w:cs="MS Gothic"/>
        </w:rPr>
        <w:t>のであり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「私</w:t>
      </w:r>
      <w:r>
        <w:rPr>
          <w:rFonts w:ascii="MS Gothic" w:hAnsi="MS Gothic" w:eastAsia="MS Gothic" w:cs="MS Gothic"/>
        </w:rPr>
        <w:t>と</w:t>
      </w:r>
      <w:r>
        <w:rPr>
          <w:rFonts w:ascii="Microsoft YaHei" w:hAnsi="Microsoft YaHei" w:eastAsia="Microsoft YaHei" w:cs="Microsoft YaHei"/>
        </w:rPr>
        <w:t>共</w:t>
      </w:r>
      <w:r>
        <w:rPr>
          <w:rFonts w:ascii="MS Gothic" w:hAnsi="MS Gothic" w:eastAsia="MS Gothic" w:cs="MS Gothic"/>
        </w:rPr>
        <w:t>にいた</w:t>
      </w:r>
      <w:r>
        <w:rPr>
          <w:rFonts w:ascii="Microsoft YaHei" w:hAnsi="Microsoft YaHei" w:eastAsia="Microsoft YaHei" w:cs="Microsoft YaHei"/>
        </w:rPr>
        <w:t>人々</w:t>
      </w:r>
      <w:r>
        <w:rPr>
          <w:rFonts w:ascii="MS Gothic" w:hAnsi="MS Gothic" w:eastAsia="MS Gothic" w:cs="MS Gothic"/>
        </w:rPr>
        <w:t>はその</w:t>
      </w:r>
      <w:r>
        <w:rPr>
          <w:rFonts w:ascii="Microsoft YaHei" w:hAnsi="Microsoft YaHei" w:eastAsia="Microsoft YaHei" w:cs="Microsoft YaHei"/>
        </w:rPr>
        <w:t>幻（</w:t>
      </w:r>
      <w:r>
        <w:rPr>
          <w:rFonts w:ascii="Times New Roman" w:hAnsi="Times New Roman" w:eastAsia="Times New Roman" w:cs="Times New Roman"/>
        </w:rPr>
        <w:t>marah</w:t>
      </w:r>
      <w:r>
        <w:rPr>
          <w:rFonts w:ascii="Microsoft YaHei" w:hAnsi="Microsoft YaHei" w:eastAsia="Microsoft YaHei" w:cs="Microsoft YaHei"/>
        </w:rPr>
        <w:t>）</w:t>
      </w:r>
      <w:r>
        <w:rPr>
          <w:rFonts w:ascii="MS Gothic" w:hAnsi="MS Gothic" w:eastAsia="MS Gothic" w:cs="MS Gothic"/>
        </w:rPr>
        <w:t>を</w:t>
      </w:r>
      <w:r>
        <w:rPr>
          <w:rFonts w:ascii="Microsoft YaHei" w:hAnsi="Microsoft YaHei" w:eastAsia="Microsoft YaHei" w:cs="Microsoft YaHei"/>
        </w:rPr>
        <w:t>見</w:t>
      </w:r>
      <w:r>
        <w:rPr>
          <w:rFonts w:ascii="MS Gothic" w:hAnsi="MS Gothic" w:eastAsia="MS Gothic" w:cs="MS Gothic"/>
        </w:rPr>
        <w:t>なかったが</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震</w:t>
      </w:r>
      <w:r>
        <w:rPr>
          <w:rFonts w:ascii="MS Gothic" w:hAnsi="MS Gothic" w:eastAsia="MS Gothic" w:cs="MS Gothic"/>
        </w:rPr>
        <w:t>えが</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臨</w:t>
      </w:r>
      <w:r>
        <w:rPr>
          <w:rFonts w:ascii="MS Gothic" w:hAnsi="MS Gothic" w:eastAsia="MS Gothic" w:cs="MS Gothic"/>
        </w:rPr>
        <w:t>んだので</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身</w:t>
      </w:r>
      <w:r>
        <w:rPr>
          <w:rFonts w:ascii="MS Gothic" w:hAnsi="MS Gothic" w:eastAsia="MS Gothic" w:cs="MS Gothic"/>
        </w:rPr>
        <w:t>を</w:t>
      </w:r>
      <w:r>
        <w:rPr>
          <w:rFonts w:ascii="Microsoft YaHei" w:hAnsi="Microsoft YaHei" w:eastAsia="Microsoft YaHei" w:cs="Microsoft YaHei"/>
        </w:rPr>
        <w:t>隠</w:t>
      </w:r>
      <w:r>
        <w:rPr>
          <w:rFonts w:ascii="MS Gothic" w:hAnsi="MS Gothic" w:eastAsia="MS Gothic" w:cs="MS Gothic"/>
        </w:rPr>
        <w:t>すために</w:t>
      </w:r>
      <w:r>
        <w:rPr>
          <w:rFonts w:ascii="Microsoft YaHei" w:hAnsi="Microsoft YaHei" w:eastAsia="Microsoft YaHei" w:cs="Microsoft YaHei"/>
        </w:rPr>
        <w:t>逃</w:t>
      </w:r>
      <w:r>
        <w:rPr>
          <w:rFonts w:ascii="MS Gothic" w:hAnsi="MS Gothic" w:eastAsia="MS Gothic" w:cs="MS Gothic"/>
        </w:rPr>
        <w:t>げ</w:t>
      </w:r>
      <w:r>
        <w:rPr>
          <w:rFonts w:ascii="Microsoft YaHei" w:hAnsi="Microsoft YaHei" w:eastAsia="Microsoft YaHei" w:cs="Microsoft YaHei"/>
        </w:rPr>
        <w:t>去</w:t>
      </w:r>
      <w:r>
        <w:rPr>
          <w:rFonts w:ascii="MS Gothic" w:hAnsi="MS Gothic" w:eastAsia="MS Gothic" w:cs="MS Gothic"/>
        </w:rPr>
        <w:t>った</w:t>
      </w:r>
      <w:r>
        <w:rPr>
          <w:rFonts w:ascii="Microsoft YaHei" w:hAnsi="Microsoft YaHei" w:eastAsia="Microsoft YaHei" w:cs="Microsoft YaHei"/>
        </w:rPr>
        <w:t>」</w:t>
      </w:r>
      <w:r>
        <w:rPr>
          <w:rFonts w:ascii="MS Gothic" w:hAnsi="MS Gothic" w:eastAsia="MS Gothic" w:cs="MS Gothic"/>
        </w:rPr>
        <w:t>のである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Die Erscheinung, die Daniel sah, als er allein war, war die weibliche, ursächliche Erscheinung, die Daniel in das Bild der Erscheinung verwandelte. Die Verwandlung wurde dadurch vollzogen, dass Daniels menschliche Kraft von ihm genommen und seine Anmut in Verderbnis verwandelt wurde.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해</w:t>
      </w:r>
      <w:r>
        <w:rPr>
          <w:rFonts w:ascii="Times New Roman" w:hAnsi="Times New Roman" w:eastAsia="Times New Roman" w:cs="Times New Roman"/>
        </w:rPr>
        <w:t xml:space="preserve"> soul</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거하며</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활동하는</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육체는</w:t>
      </w:r>
      <w:r>
        <w:rPr>
          <w:rFonts w:ascii="Times New Roman" w:hAnsi="Times New Roman" w:eastAsia="Times New Roman" w:cs="Times New Roman"/>
        </w:rPr>
        <w:t xml:space="preserve"> </w:t>
      </w:r>
      <w:r>
        <w:rPr>
          <w:rFonts w:ascii="Malgun Gothic" w:hAnsi="Malgun Gothic" w:eastAsia="Malgun Gothic" w:cs="Malgun Gothic"/>
        </w:rPr>
        <w:t>주님의</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기계의</w:t>
      </w:r>
      <w:r>
        <w:rPr>
          <w:rFonts w:ascii="Times New Roman" w:hAnsi="Times New Roman" w:eastAsia="Times New Roman" w:cs="Times New Roman"/>
        </w:rPr>
        <w:t xml:space="preserve"> </w:t>
      </w:r>
      <w:r>
        <w:rPr>
          <w:rFonts w:ascii="Malgun Gothic" w:hAnsi="Malgun Gothic" w:eastAsia="Malgun Gothic" w:cs="Malgun Gothic"/>
        </w:rPr>
        <w:t>어느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부분도</w:t>
      </w:r>
      <w:r>
        <w:rPr>
          <w:rFonts w:ascii="Times New Roman" w:hAnsi="Times New Roman" w:eastAsia="Times New Roman" w:cs="Times New Roman"/>
        </w:rPr>
        <w:t xml:space="preserve"> </w:t>
      </w:r>
      <w:r>
        <w:rPr>
          <w:rFonts w:ascii="Malgun Gothic" w:hAnsi="Malgun Gothic" w:eastAsia="Malgun Gothic" w:cs="Malgun Gothic"/>
        </w:rPr>
        <w:t>소홀히</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권리가</w:t>
      </w:r>
      <w:r>
        <w:rPr>
          <w:rFonts w:ascii="Times New Roman" w:hAnsi="Times New Roman" w:eastAsia="Times New Roman" w:cs="Times New Roman"/>
        </w:rPr>
        <w:t xml:space="preserve"> </w:t>
      </w:r>
      <w:r>
        <w:rPr>
          <w:rFonts w:ascii="Malgun Gothic" w:hAnsi="Malgun Gothic" w:eastAsia="Malgun Gothic" w:cs="Malgun Gothic"/>
        </w:rPr>
        <w:t>없다</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유기체의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부분은</w:t>
      </w:r>
      <w:r>
        <w:rPr>
          <w:rFonts w:ascii="Times New Roman" w:hAnsi="Times New Roman" w:eastAsia="Times New Roman" w:cs="Times New Roman"/>
        </w:rPr>
        <w:t xml:space="preserve"> </w:t>
      </w:r>
      <w:r>
        <w:rPr>
          <w:rFonts w:ascii="Malgun Gothic" w:hAnsi="Malgun Gothic" w:eastAsia="Malgun Gothic" w:cs="Malgun Gothic"/>
        </w:rPr>
        <w:t>주님의</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신체적</w:t>
      </w:r>
      <w:r>
        <w:rPr>
          <w:rFonts w:ascii="Times New Roman" w:hAnsi="Times New Roman" w:eastAsia="Times New Roman" w:cs="Times New Roman"/>
        </w:rPr>
        <w:t xml:space="preserve"> </w:t>
      </w:r>
      <w:r>
        <w:rPr>
          <w:rFonts w:ascii="Malgun Gothic" w:hAnsi="Malgun Gothic" w:eastAsia="Malgun Gothic" w:cs="Malgun Gothic"/>
        </w:rPr>
        <w:t>유기체에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지식은</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지체가</w:t>
      </w:r>
      <w:r>
        <w:rPr>
          <w:rFonts w:ascii="Times New Roman" w:hAnsi="Times New Roman" w:eastAsia="Times New Roman" w:cs="Times New Roman"/>
        </w:rPr>
        <w:t xml:space="preserve"> </w:t>
      </w:r>
      <w:r>
        <w:rPr>
          <w:rFonts w:ascii="Malgun Gothic" w:hAnsi="Malgun Gothic" w:eastAsia="Malgun Gothic" w:cs="Malgun Gothic"/>
        </w:rPr>
        <w:t>의의</w:t>
      </w:r>
      <w:r>
        <w:rPr>
          <w:rFonts w:ascii="Times New Roman" w:hAnsi="Times New Roman" w:eastAsia="Times New Roman" w:cs="Times New Roman"/>
        </w:rPr>
        <w:t xml:space="preserve"> </w:t>
      </w:r>
      <w:r>
        <w:rPr>
          <w:rFonts w:ascii="Malgun Gothic" w:hAnsi="Malgun Gothic" w:eastAsia="Malgun Gothic" w:cs="Malgun Gothic"/>
        </w:rPr>
        <w:t>도구로서</w:t>
      </w:r>
      <w:r>
        <w:rPr>
          <w:rFonts w:ascii="Times New Roman" w:hAnsi="Times New Roman" w:eastAsia="Times New Roman" w:cs="Times New Roman"/>
        </w:rPr>
        <w:t xml:space="preserve"> </w:t>
      </w:r>
      <w:r>
        <w:rPr>
          <w:rFonts w:ascii="Malgun Gothic" w:hAnsi="Malgun Gothic" w:eastAsia="Malgun Gothic" w:cs="Malgun Gothic"/>
        </w:rPr>
        <w:t>하나님을</w:t>
      </w:r>
      <w:r>
        <w:rPr>
          <w:rFonts w:ascii="Times New Roman" w:hAnsi="Times New Roman" w:eastAsia="Times New Roman" w:cs="Times New Roman"/>
        </w:rPr>
        <w:t xml:space="preserve"> </w:t>
      </w:r>
      <w:r>
        <w:rPr>
          <w:rFonts w:ascii="Malgun Gothic" w:hAnsi="Malgun Gothic" w:eastAsia="Malgun Gothic" w:cs="Malgun Gothic"/>
        </w:rPr>
        <w:t>섬겨야</w:t>
      </w:r>
      <w:r>
        <w:rPr>
          <w:rFonts w:ascii="Times New Roman" w:hAnsi="Times New Roman" w:eastAsia="Times New Roman" w:cs="Times New Roman"/>
        </w:rPr>
        <w:t xml:space="preserve"> </w:t>
      </w:r>
      <w:r>
        <w:rPr>
          <w:rFonts w:ascii="Malgun Gothic" w:hAnsi="Malgun Gothic" w:eastAsia="Malgun Gothic" w:cs="Malgun Gothic"/>
        </w:rPr>
        <w:t>함을</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가르쳐야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“Isol God tas yeddi ad isers tayri n temẓi n wul n umdan. Ur nezmir ara ad nekkes iman-nneɣ. Ur nezmir ara ad nales talalit n yimannen-nneɣ. Deg iɣallen igenwanen ur d-ttwasleɣ ara usefru iqqaren: I nekk iḥemlen iman-is, i yesseɣslen iman-is, i yesnujjen iman-is, i nekk ad tili tgemmi d ccrif, lbaraka d usenqed. Maca aya d asentel agejdan n usefru i d-ttwasleɣen aṭas dagi deg umaḍal. Ur ssinen ara acu yebɣa ad tili d ameẓyan n wul d amcic; yerna ur bɣin ara ad ssinen aya, ma zemren ad t-ḥebsen. Lɛinǧil merra yebna ɣef uselmed seg Krist, tamcict-is d tmeẓyant-is n wul.”</w:t>
      </w:r>
    </w:p>
    <w:p>
      <w:pPr>
        <w:pStyle w:val="ArticleScripture"/>
        <w:jc w:val="left"/>
      </w:pPr>
      <w:r>
        <w:rPr>
          <w:rFonts w:ascii="Times New Roman" w:hAnsi="Times New Roman" w:eastAsia="Times New Roman" w:cs="Times New Roman"/>
        </w:rPr>
        <w:t>« Qu’est-ce que la justification par la foi ? C’est l’œuvre de Dieu qui abat dans la poussière la gloire de l’homme et qui fait pour l’homme ce qu’il n’est pas en son pouvoir de faire pour lui-même. » Testimonies to Ministers, 456.</w:t>
      </w:r>
    </w:p>
    <w:p>
      <w:pPr>
        <w:pStyle w:val="ArticleBody"/>
        <w:jc w:val="left"/>
      </w:pPr>
      <w:r>
        <w:rPr>
          <w:rFonts w:ascii="Times New Roman" w:hAnsi="Times New Roman" w:eastAsia="Times New Roman" w:cs="Times New Roman"/>
        </w:rPr>
        <w:t>L’expérience de la justification par la foi est l’œuvre de Dieu consistant à abaisser la gloire de l’homme jusque dans la poussière. La vision qui fit fuir les hommes qui étaient avec Daniel était la vision féminine « causative » de l’apparition du Christ, et immédiatement après que la propre justice de Daniel eut été abaissée dans la poussière, les trois attouchements angéliques furent appliqués, lesquels donnèrent finalement à Daniel la force de porter le message.</w:t>
      </w:r>
    </w:p>
    <w:p>
      <w:pPr>
        <w:pStyle w:val="ArticleBody"/>
        <w:jc w:val="left"/>
      </w:pPr>
      <w:r>
        <w:rPr>
          <w:rFonts w:ascii="Times New Roman" w:hAnsi="Times New Roman" w:eastAsia="Times New Roman" w:cs="Times New Roman"/>
        </w:rPr>
        <w:t>In 1888, stieġel l-anġlu qawwi bil-messaġġ tal-ġustifikazzjoni bil-fidi, kif ippreżentat mill-Anzjani Jones u Waggoner. Dak l-istess anġlu nnifsu reġa’ niżel fil-11 ta’ Settembru, 2001, bl-istess messaġġ eżatt tal-ġustifikazzjoni bil-fidi. Dan immarka l-bidu tas-siġillar tal-mija u erbgħa u erbgħin elf. Fit-tmiem tas-siġillar tal-mija u erbgħa u erbgħin elf, il-messaġġ tal-bidu jiġi ripetut, għax Ġesù dejjem juri t-tmiem ta’ ħaġa permezz tal-bidu ta’ ħaġa.</w:t>
      </w:r>
    </w:p>
    <w:p>
      <w:pPr>
        <w:pStyle w:val="ArticleBody"/>
        <w:jc w:val="left"/>
      </w:pPr>
      <w:r>
        <w:rPr>
          <w:rFonts w:ascii="Times New Roman" w:hAnsi="Times New Roman" w:eastAsia="Times New Roman" w:cs="Times New Roman"/>
        </w:rPr>
        <w:t>Ngei August 11, 1840, denselben Engel hiabkema und huet ufanga die drei Schritte, wo vollführt worda sind von 1840 bis 1844. Diese drei Schritte hend agfanga mit dr Bevollmächtigung vom erste Engel am August 11, 1840, mit dr Aakunft vom zweite Engel am April 19, 1844, und mit dr Aakunft vom dritte Engel am October 22, 1844. Diese Gschicht het d’Hiabkunft vom erste vo drei Engel am September 11, 2001, vorbildet, worauf dr zweite Engel bi dr Enttäuschig vom July 18, 2020, gfolgt isch, und das schliesst mit dr Aakunft vom dritte Engel bi em bald kommende Sonntagsgesetz.</w:t>
      </w:r>
    </w:p>
    <w:p>
      <w:pPr>
        <w:pStyle w:val="ArticleBody"/>
        <w:jc w:val="left"/>
      </w:pPr>
      <w:r>
        <w:rPr>
          <w:rFonts w:ascii="Times New Roman" w:hAnsi="Times New Roman" w:eastAsia="Times New Roman" w:cs="Times New Roman"/>
        </w:rPr>
        <w:t>في ختام ذلك التاريخ، عندما ينزل ميخائيل ليقيم موسى وإيليا بعد ثلاثة أيام ونصف من الموت في الشوارع، كما هو مُصوَّر في رؤيا الإصحاح الحادي عشر، وكما هو مُمثَّل أيضًا في واحد وعشرين يومًا من نوح دانيال، ينزل المسيح مرة أخرى. وهو أولًا يعرض رؤيا مجده، تلك الرؤيا التي تُمرِّغ مجد الإنسان في التراب وتُحدث انفصالًا. وحين يكون دانيال في التراب، وبعد أن يكون قد تغيَّر من جراء التحديق في الرؤيا المؤنثة «السببية»، يلمسه جبرائيل للمرة الأولى، ويُقيمه على قدميه المرتعشتين.</w:t>
      </w:r>
    </w:p>
    <w:p>
      <w:pPr>
        <w:pStyle w:val="ArticleBody"/>
        <w:jc w:val="left"/>
      </w:pPr>
      <w:r>
        <w:rPr>
          <w:rFonts w:ascii="Times New Roman" w:hAnsi="Times New Roman" w:eastAsia="Times New Roman" w:cs="Times New Roman"/>
        </w:rPr>
        <w:t>Ar c’houlz-se e tiskenn Mikael an Arc’hael da “adsav-bevaat Moizez” ha bezañs e stok ouzh Daniel evit an eil gwech, o lezel anezhañ hep nerzh dre bezañ trec’het gant gwirvoud bezañs e oa o komz e gwirionez ouzh e Aotrou. Neuze e teu Gabriel hag e stok outañ evit an trede gwech, hag e nerzh anezhañ evit al labour da vezañ arouezenn en al lezenn Sul a zo da zont a-benn nebeut. An tri stokadenn zo simboloù tri ael Diskuliadur pevarzek, bezañ ma c’hoarvezont e-pad un devezh hepken.</w:t>
      </w:r>
    </w:p>
    <w:p>
      <w:pPr>
        <w:pStyle w:val="ArticleBody"/>
        <w:jc w:val="left"/>
      </w:pPr>
      <w:r>
        <w:rPr>
          <w:rFonts w:ascii="Times New Roman" w:hAnsi="Times New Roman" w:eastAsia="Times New Roman" w:cs="Times New Roman"/>
        </w:rPr>
        <w:t>L’expérience du premier ange comprend l’apparition du Christ comme l’éclair, la vision « causative » qui opère une séparation, et le premier attouchement qui relève Daniel de la poussière de sa gloire humaine. Le premier ange possède ces trois étapes comprises dans le premier, car il représente le premier message. Ce n’est pas un hasard si le premier attouchement est consigné aux versets NEUF à ONZE.</w:t>
      </w:r>
    </w:p>
    <w:p>
      <w:pPr>
        <w:pStyle w:val="ArticleScripture"/>
        <w:jc w:val="left"/>
      </w:pPr>
      <w:r>
        <w:rPr>
          <w:rFonts w:ascii="Times New Roman" w:hAnsi="Times New Roman" w:eastAsia="Times New Roman" w:cs="Times New Roman"/>
        </w:rPr>
        <w:t>Nokho ngezwa izwi lamazwi akhe; kwathi lapho ngizwa izwi lamazwi akhe, ngase ngilele ubuthongo obunzima ngobuso bami, ubuso bami bubheke phansi emhlabathini. Futhi, bheka, isandla sangithinta, sangimisa ngamadolo ami nasezintendeni zezandla zami. Wayesethi kimi: O Daniyeli, muntu othandwa kakhulu, qonda amazwi engiwakhuluma kuwe, ume uqonde; ngokuba manje ngithunyelwe kuwe. Kwathi esekhulume leli zwi kimi, ngema ngithuthumela. Daniyeli 10:9–11.</w:t>
      </w:r>
    </w:p>
    <w:p>
      <w:pPr>
        <w:pStyle w:val="ArticleBody"/>
        <w:jc w:val="left"/>
      </w:pPr>
      <w:r>
        <w:rPr>
          <w:rFonts w:ascii="Times New Roman" w:hAnsi="Times New Roman" w:eastAsia="Times New Roman" w:cs="Times New Roman"/>
        </w:rPr>
        <w:t>L’expérience du second attouchement, administré par le Christ Lui-même, transforme Daniel, le faisant passer de l’incapacité de parler à la capacité de parler avec son Seigneur. Lors du second attouchement, Daniel n’a point de souffle ; il est donc ici représenté au stade du premier message d’Ézéchiel au chapitre trente-sept.</w:t>
      </w:r>
    </w:p>
    <w:p>
      <w:pPr>
        <w:pStyle w:val="ArticleScripture"/>
        <w:jc w:val="left"/>
      </w:pPr>
      <w:r>
        <w:rPr>
          <w:rFonts w:ascii="Times New Roman" w:hAnsi="Times New Roman" w:eastAsia="Times New Roman" w:cs="Times New Roman"/>
        </w:rPr>
        <w:t>At de gotong dispela kain tok long mi, mi putim pes bilong mi i luk i go daun long graun, na mi kamap mauspas. Na, lukim, wanpela i wankain olsem ol pikinini man i tasim maus bilong mi: orait mi opim maus bilong mi, na mi tok, na mi tokim em husat i sanap long ai bilong mi, O bikpela bilong mi, long dispela driman sori bilong mi i tanim i kamap long mi, na mi no holim strong. Long wanem, wokboi bilong dispela bikpela bilong mi bai inap olsem wanem long toktok wantaim dispela bikpela bilong mi? long wanem, long mi yet, wantu tasol i no gat strong i stap long mi moa, na win bilong pulim i no stap long mi moa. Daniel 10:15–17.</w:t>
      </w:r>
    </w:p>
    <w:p>
      <w:pPr>
        <w:pStyle w:val="ArticleBody"/>
        <w:jc w:val="left"/>
      </w:pPr>
      <w:r>
        <w:rPr>
          <w:rFonts w:ascii="Times New Roman" w:hAnsi="Times New Roman" w:eastAsia="Times New Roman" w:cs="Times New Roman"/>
        </w:rPr>
        <w:t>Dans le second message d’Ézéchiel, un message venant des quatre vents doit être soufflé sur les os, afin qu’ils vivent et se tiennent debout comme une armée puissante. La puissance conférée à cette armée est représentée par le troisième toucher.</w:t>
      </w:r>
    </w:p>
    <w:p>
      <w:pPr>
        <w:pStyle w:val="ArticleScripture"/>
        <w:jc w:val="left"/>
      </w:pPr>
      <w:r>
        <w:rPr>
          <w:rFonts w:ascii="Times New Roman" w:hAnsi="Times New Roman" w:eastAsia="Times New Roman" w:cs="Times New Roman"/>
        </w:rPr>
        <w:t>Puis revint celui qui avait l’apparence d’un homme; il me toucha de nouveau et me fortifia. Et il dit: Ô homme bien-aimé, ne crains point; que la paix soit avec toi; sois fort, oui, sois fort. Lorsqu’il m’eut parlé, je fus fortifié, et je dis: Que mon seigneur parle, car tu m’as fortifié. Puis il dit: Sais-tu pourquoi je suis venu vers toi? Maintenant je m’en retournerai pour combattre contre le prince de Perse; et quand je partirai, voici, le prince de Grèce viendra. Mais je te déclarerai ce qui est écrit dans le livre de la vérité; et il n’y a personne qui tienne ferme avec moi en ces choses, sinon Michel, votre prince. Moi aussi, la première année de Darius le Mède, je me tins là pour l’aider et le fortifier. Et maintenant, je te ferai connaître la vérité. Voici, il s’élèvera encore trois rois en Perse; et le quatrième sera beaucoup plus riche qu’eux tous; et par sa puissance, au moyen de ses richesses, il soulèvera tout contre le royaume de Grèce. Daniel 10:18–11:2.</w:t>
      </w:r>
    </w:p>
    <w:p>
      <w:pPr>
        <w:pStyle w:val="ArticleBody"/>
        <w:jc w:val="left"/>
      </w:pPr>
      <w:r>
        <w:rPr>
          <w:rFonts w:ascii="Leelawadee UI" w:hAnsi="Leelawadee UI" w:eastAsia="Leelawadee UI" w:cs="Leelawadee UI"/>
        </w:rPr>
        <w:t>មេស្សាស៍ដែលនាំសាក្សីទាំងពីរឲ្យមានជីវិតឡើងវិញនៅក្នុងអេសេគាល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៣៧</w:t>
      </w:r>
      <w:r>
        <w:rPr>
          <w:rFonts w:ascii="Times New Roman" w:hAnsi="Times New Roman" w:eastAsia="Times New Roman" w:cs="Times New Roman"/>
        </w:rPr>
        <w:t xml:space="preserve"> </w:t>
      </w:r>
      <w:r>
        <w:rPr>
          <w:rFonts w:ascii="Leelawadee UI" w:hAnsi="Leelawadee UI" w:eastAsia="Leelawadee UI" w:cs="Leelawadee UI"/>
        </w:rPr>
        <w:t>គឺជាមេស្សាស៍នៃអ៊ីស្លាមនៃវេទនាទីបី</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តាមបន្ទាត់លើបន្ទាត់</w:t>
      </w:r>
      <w:r>
        <w:rPr>
          <w:rFonts w:ascii="Times New Roman" w:hAnsi="Times New Roman" w:eastAsia="Times New Roman" w:cs="Times New Roman"/>
        </w:rPr>
        <w:t xml:space="preserve"> </w:t>
      </w:r>
      <w:r>
        <w:rPr>
          <w:rFonts w:ascii="Leelawadee UI" w:hAnsi="Leelawadee UI" w:eastAsia="Leelawadee UI" w:cs="Leelawadee UI"/>
        </w:rPr>
        <w:t>មេស្សាស៍ដែលកាប្រ៊ីយ៉ែលកំណត់អត្តសញ្ញាណនៅក្នុងរូបភាពប្រៀបធៀបអំពីមីកាអែលលើកម៉ូសេឲ្យឈរឡើង</w:t>
      </w:r>
      <w:r>
        <w:rPr>
          <w:rFonts w:ascii="Times New Roman" w:hAnsi="Times New Roman" w:eastAsia="Times New Roman" w:cs="Times New Roman"/>
        </w:rPr>
        <w:t xml:space="preserve"> </w:t>
      </w:r>
      <w:r>
        <w:rPr>
          <w:rFonts w:ascii="Leelawadee UI" w:hAnsi="Leelawadee UI" w:eastAsia="Leelawadee UI" w:cs="Leelawadee UI"/>
        </w:rPr>
        <w:t>ហើយនាំគាត់ឡើងទៅស្ថានសួគ៌ជាទង់សញ្ញា</w:t>
      </w:r>
      <w:r>
        <w:rPr>
          <w:rFonts w:ascii="Times New Roman" w:hAnsi="Times New Roman" w:eastAsia="Times New Roman" w:cs="Times New Roman"/>
        </w:rPr>
        <w:t xml:space="preserve"> </w:t>
      </w:r>
      <w:r>
        <w:rPr>
          <w:rFonts w:ascii="Leelawadee UI" w:hAnsi="Leelawadee UI" w:eastAsia="Leelawadee UI" w:cs="Leelawadee UI"/>
        </w:rPr>
        <w:t>គឺជាមេស្សាស៍នៃប្រធានាធិបតីចុងក្រោយនៃសហរដ្ឋអាមេរិក។</w:t>
      </w:r>
      <w:r>
        <w:rPr>
          <w:rFonts w:ascii="Times New Roman" w:hAnsi="Times New Roman" w:eastAsia="Times New Roman" w:cs="Times New Roman"/>
        </w:rPr>
        <w:t xml:space="preserve"> </w:t>
      </w:r>
      <w:r>
        <w:rPr>
          <w:rFonts w:ascii="Leelawadee UI" w:hAnsi="Leelawadee UI" w:eastAsia="Leelawadee UI" w:cs="Leelawadee UI"/>
        </w:rPr>
        <w:t>វាគឺជាមេស្សាស៍នៃប្រធានាធិបតីទីប្រាំមួយ</w:t>
      </w:r>
      <w:r>
        <w:rPr>
          <w:rFonts w:ascii="Times New Roman" w:hAnsi="Times New Roman" w:eastAsia="Times New Roman" w:cs="Times New Roman"/>
        </w:rPr>
        <w:t xml:space="preserve"> (</w:t>
      </w:r>
      <w:r>
        <w:rPr>
          <w:rFonts w:ascii="Leelawadee UI" w:hAnsi="Leelawadee UI" w:eastAsia="Leelawadee UI" w:cs="Leelawadee UI"/>
        </w:rPr>
        <w:t>ស្នែងសាធារណរដ្ឋ</w:t>
      </w:r>
      <w:r>
        <w:rPr>
          <w:rFonts w:ascii="Times New Roman" w:hAnsi="Times New Roman" w:eastAsia="Times New Roman" w:cs="Times New Roman"/>
        </w:rPr>
        <w:t xml:space="preserve">) </w:t>
      </w:r>
      <w:r>
        <w:rPr>
          <w:rFonts w:ascii="Leelawadee UI" w:hAnsi="Leelawadee UI" w:eastAsia="Leelawadee UI" w:cs="Leelawadee UI"/>
        </w:rPr>
        <w:t>ដែលត្រូវបានសម្លាប់នៅក្នុងឆ្នាំ</w:t>
      </w:r>
      <w:r>
        <w:rPr>
          <w:rFonts w:ascii="Times New Roman" w:hAnsi="Times New Roman" w:eastAsia="Times New Roman" w:cs="Times New Roman"/>
        </w:rPr>
        <w:t xml:space="preserve"> </w:t>
      </w:r>
      <w:r>
        <w:rPr>
          <w:rFonts w:ascii="Leelawadee UI" w:hAnsi="Leelawadee UI" w:eastAsia="Leelawadee UI" w:cs="Leelawadee UI"/>
        </w:rPr>
        <w:t>២០២០</w:t>
      </w:r>
      <w:r>
        <w:rPr>
          <w:rFonts w:ascii="Times New Roman" w:hAnsi="Times New Roman" w:eastAsia="Times New Roman" w:cs="Times New Roman"/>
        </w:rPr>
        <w:t xml:space="preserve"> </w:t>
      </w:r>
      <w:r>
        <w:rPr>
          <w:rFonts w:ascii="Leelawadee UI" w:hAnsi="Leelawadee UI" w:eastAsia="Leelawadee UI" w:cs="Leelawadee UI"/>
        </w:rPr>
        <w:t>ដូចដែលស្នែងប្រូតេស្តង់ពិតក៏ត្រូវបានសម្លាប់ដែរ។</w:t>
      </w:r>
      <w:r>
        <w:rPr>
          <w:rFonts w:ascii="Times New Roman" w:hAnsi="Times New Roman" w:eastAsia="Times New Roman" w:cs="Times New Roman"/>
        </w:rPr>
        <w:t xml:space="preserve"> </w:t>
      </w:r>
      <w:r>
        <w:rPr>
          <w:rFonts w:ascii="Leelawadee UI" w:hAnsi="Leelawadee UI" w:eastAsia="Leelawadee UI" w:cs="Leelawadee UI"/>
        </w:rPr>
        <w:t>នៅក្នុងការនិទានរបស់ដានីយ៉ែល</w:t>
      </w:r>
      <w:r>
        <w:rPr>
          <w:rFonts w:ascii="Times New Roman" w:hAnsi="Times New Roman" w:eastAsia="Times New Roman" w:cs="Times New Roman"/>
        </w:rPr>
        <w:t xml:space="preserve"> </w:t>
      </w:r>
      <w:r>
        <w:rPr>
          <w:rFonts w:ascii="Leelawadee UI" w:hAnsi="Leelawadee UI" w:eastAsia="Leelawadee UI" w:cs="Leelawadee UI"/>
        </w:rPr>
        <w:t>ការរស់ឡើងវិញចេញពីថ្ងៃនៃការកាន់ទុក្ខសម្រាប់ស្នែងប្រូតេស្តង់ពិត</w:t>
      </w:r>
      <w:r>
        <w:rPr>
          <w:rFonts w:ascii="Times New Roman" w:hAnsi="Times New Roman" w:eastAsia="Times New Roman" w:cs="Times New Roman"/>
        </w:rPr>
        <w:t xml:space="preserve"> </w:t>
      </w:r>
      <w:r>
        <w:rPr>
          <w:rFonts w:ascii="Leelawadee UI" w:hAnsi="Leelawadee UI" w:eastAsia="Leelawadee UI" w:cs="Leelawadee UI"/>
        </w:rPr>
        <w:t>បាននាំទៅកាន់ការកំណត់អត្តសញ្ញាណនៃការរស់ឡើងវិញរបស់ស្នែងសាធារណរដ្ឋ។</w:t>
      </w:r>
    </w:p>
    <w:p>
      <w:pPr>
        <w:pStyle w:val="ArticleBody"/>
        <w:jc w:val="left"/>
      </w:pPr>
      <w:r>
        <w:rPr>
          <w:rFonts w:ascii="Times New Roman" w:hAnsi="Times New Roman" w:eastAsia="Times New Roman" w:cs="Times New Roman"/>
        </w:rPr>
        <w:t>در فصل دهم کتاب دانیال، واژهٔ «رؤیا» یا «ظهور» هفت بار به کار رفته است. آن هفت مورد، همگی با همان واژهٔ عبری مشخص شده‌اند، جز آنکه در سه مورد این واژه به صورت مؤنث آمده و در چهار مورد دیگر به صورت مذکر. از آنجا که هفت عدد کمال است، و ترکیب سه و چهار که حاصلش هفت می‌شود از ویژگی‌های اصلی کتاب مکاشفه است—جایی که سه کلیسای آخر از هفت کلیسا، و سه مُهر آخر از هفت مُهر، و سه شیپور آخر از هفت شیپور، به‌طور مشخص از چهار مورد نخست متمایز می‌شوند.</w:t>
      </w:r>
    </w:p>
    <w:p>
      <w:pPr>
        <w:pStyle w:val="ArticleBody"/>
        <w:jc w:val="left"/>
      </w:pPr>
      <w:r>
        <w:rPr>
          <w:rFonts w:ascii="Times New Roman" w:hAnsi="Times New Roman" w:eastAsia="Times New Roman" w:cs="Times New Roman"/>
        </w:rPr>
        <w:t>Ang mga aklat ng Daniel ug Pinadayag mao ra ang usa ka aklat, ug niining kahulogan si Daniel ug si Juan mao ra ang usa ka simbolo sa ulahing mga adlaw. Ang panan-awon kang Cristo sa kapitulo diyes mao ang panan-awon kang Cristo sa Pinadayag kapitulo uno.</w:t>
      </w:r>
    </w:p>
    <w:p>
      <w:pPr>
        <w:pStyle w:val="ArticleBody"/>
        <w:jc w:val="left"/>
      </w:pPr>
      <w:r>
        <w:rPr>
          <w:rFonts w:ascii="Times New Roman" w:hAnsi="Times New Roman" w:eastAsia="Times New Roman" w:cs="Times New Roman"/>
        </w:rPr>
        <w:t>In Revelation chapitre un, Jean entend une voix derrière lui et se retourne pour voir celui qui parle.</w:t>
      </w:r>
    </w:p>
    <w:p>
      <w:pPr>
        <w:pStyle w:val="ArticleScripture"/>
        <w:jc w:val="left"/>
      </w:pPr>
      <w:r>
        <w:rPr>
          <w:rFonts w:ascii="Times New Roman" w:hAnsi="Times New Roman" w:eastAsia="Times New Roman" w:cs="Times New Roman"/>
        </w:rPr>
        <w:t>Eram no Espírito no dia do Senhor, e ouvi detrás de mim uma grande voz, como de trombeta, que dizia: Eu sou o Alfa e o Ômega, o primeiro e o último; e: O que vês, escreve-o num livro, e envia-o às sete igrejas que estão na Ásia: a Éfeso, e a Esmirna, e a Pérgamo, e a Tiatira, e a Sardes, e a Filadélfia, e a Laodiceia. Apocalipse 1:10, 11.</w:t>
      </w:r>
    </w:p>
    <w:p>
      <w:pPr>
        <w:pStyle w:val="ArticleBody"/>
        <w:jc w:val="left"/>
      </w:pPr>
      <w:r>
        <w:rPr>
          <w:rFonts w:ascii="Times New Roman" w:hAnsi="Times New Roman" w:eastAsia="Times New Roman" w:cs="Times New Roman"/>
        </w:rPr>
        <w:t>Sei es die dreifache Berührung in Daniel Kapitel zehn, oder dieselbe Vision in Kapitel eins der Offenbarung, oder die zwei Botschaften Hesekiels in Kapitel siebenunddreißig, oder dass Jesaja mit einer glühenden Kohle vom Altar berührt wurde—die Erfahrung kennzeichnet die Bevollmächtigung der abschließenden Warnungsbotschaft, und diese Botschaft beginnt bei der Auferstehung der zwei Zeugen im Juli 2023. Daniel, Johannes, Hesekiel und Jesaja stellen allesamt einen Boten dar, der die „Stimme“ von den „alten Pfaden“ hinter sich hört, die fragt: „Wen soll ich senden?“ Wenn jener Bote antwortet: „Hier bin ich, sende mich“, wird er gestärkt und erhebt seine Stimme wie einer, der in der Wüste ruft. „Wer ein Ohr hat, der höre, was der Geist den Gemeinden sagt.“</w:t>
      </w:r>
    </w:p>
    <w:p>
      <w:pPr>
        <w:pStyle w:val="ArticleBody"/>
        <w:jc w:val="left"/>
      </w:pPr>
      <w:r>
        <w:rPr>
          <w:rFonts w:ascii="Times New Roman" w:hAnsi="Times New Roman" w:eastAsia="Times New Roman" w:cs="Times New Roman"/>
        </w:rPr>
        <w:t>Mo studim long dispela bai i go yet long nekis atikol bilong mipela.</w:t>
      </w:r>
    </w:p>
    <w:p>
      <w:pPr>
        <w:pStyle w:val="ArticleScripture"/>
        <w:jc w:val="left"/>
      </w:pPr>
      <w:r>
        <w:rPr>
          <w:rFonts w:ascii="Times New Roman" w:hAnsi="Times New Roman" w:eastAsia="Times New Roman" w:cs="Times New Roman"/>
        </w:rPr>
        <w:t>À l’occasion qui vient d’être décrite, l’ange Gabriel communiqua à Daniel toute l’instruction qu’il était alors capable de recevoir. Quelques années plus tard, toutefois, le prophète désira en apprendre davantage sur des sujets qui n’avaient pas encore été pleinement expliqués, et il s’appliqua de nouveau à rechercher auprès de Dieu lumière et sagesse. « En ce temps-là, moi, Daniel, je fus trois semaines dans le deuil. Je ne mangeai aucun mets délicat, il n’entra dans ma bouche ni chair ni vin, et je ne m’oignis point du tout…. Puis je levai les yeux, et je regardai, et voici, il y avait un homme vêtu de lin, et ses reins étaient ceints d’or pur d’Uphaz. Son corps était comme de chrysolithe, son visage brillait comme l’éclair, ses yeux étaient comme des flambeaux de feu, ses bras et ses pieds ressemblaient à de l’airain poli, et le son de ses paroles était comme le bruit d’une multitude » (Daniel 10:2–6).</w:t>
      </w:r>
    </w:p>
    <w:p>
      <w:pPr>
        <w:pStyle w:val="ArticleScripture"/>
        <w:jc w:val="left"/>
      </w:pPr>
      <w:r>
        <w:rPr>
          <w:rFonts w:ascii="Times New Roman" w:hAnsi="Times New Roman" w:eastAsia="Times New Roman" w:cs="Times New Roman"/>
        </w:rPr>
        <w:t>«Тај опис је сличан ономе који је дао Јован када му се Христос открио на острву Патмос. Нико мањи до сам Син Божји јавио се Данилу. Наш Господ долази с другим небеским весником да поучи Данила о ономе што ће се збити у последње дане. »</w:t>
      </w:r>
    </w:p>
    <w:p>
      <w:pPr>
        <w:pStyle w:val="ArticleScripture"/>
        <w:jc w:val="left"/>
      </w:pPr>
      <w:r>
        <w:rPr>
          <w:rFonts w:ascii="Times New Roman" w:hAnsi="Times New Roman" w:eastAsia="Times New Roman" w:cs="Times New Roman"/>
        </w:rPr>
        <w:t>“</w:t>
      </w:r>
      <w:r>
        <w:rPr>
          <w:rFonts w:ascii="Ebrima" w:hAnsi="Ebrima" w:eastAsia="Ebrima" w:cs="Ebrima"/>
        </w:rPr>
        <w:t>የዓለም</w:t>
      </w:r>
      <w:r>
        <w:rPr>
          <w:rFonts w:ascii="Times New Roman" w:hAnsi="Times New Roman" w:eastAsia="Times New Roman" w:cs="Times New Roman"/>
        </w:rPr>
        <w:t xml:space="preserve"> </w:t>
      </w:r>
      <w:r>
        <w:rPr>
          <w:rFonts w:ascii="Ebrima" w:hAnsi="Ebrima" w:eastAsia="Ebrima" w:cs="Ebrima"/>
        </w:rPr>
        <w:t>ቤዛ</w:t>
      </w:r>
      <w:r>
        <w:rPr>
          <w:rFonts w:ascii="Times New Roman" w:hAnsi="Times New Roman" w:eastAsia="Times New Roman" w:cs="Times New Roman"/>
        </w:rPr>
        <w:t xml:space="preserve"> </w:t>
      </w:r>
      <w:r>
        <w:rPr>
          <w:rFonts w:ascii="Ebrima" w:hAnsi="Ebrima" w:eastAsia="Ebrima" w:cs="Ebrima"/>
        </w:rPr>
        <w:t>የገለጣቸው</w:t>
      </w:r>
      <w:r>
        <w:rPr>
          <w:rFonts w:ascii="Times New Roman" w:hAnsi="Times New Roman" w:eastAsia="Times New Roman" w:cs="Times New Roman"/>
        </w:rPr>
        <w:t xml:space="preserve"> </w:t>
      </w:r>
      <w:r>
        <w:rPr>
          <w:rFonts w:ascii="Ebrima" w:hAnsi="Ebrima" w:eastAsia="Ebrima" w:cs="Ebrima"/>
        </w:rPr>
        <w:t>ታላላቅ</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ተሰወሩ</w:t>
      </w:r>
      <w:r>
        <w:rPr>
          <w:rFonts w:ascii="Times New Roman" w:hAnsi="Times New Roman" w:eastAsia="Times New Roman" w:cs="Times New Roman"/>
        </w:rPr>
        <w:t xml:space="preserve"> </w:t>
      </w:r>
      <w:r>
        <w:rPr>
          <w:rFonts w:ascii="Ebrima" w:hAnsi="Ebrima" w:eastAsia="Ebrima" w:cs="Ebrima"/>
        </w:rPr>
        <w:t>መዝገቦች</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ለሚፈልጉ</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ዕድሜው</w:t>
      </w:r>
      <w:r>
        <w:rPr>
          <w:rFonts w:ascii="Times New Roman" w:hAnsi="Times New Roman" w:eastAsia="Times New Roman" w:cs="Times New Roman"/>
        </w:rPr>
        <w:t xml:space="preserve"> </w:t>
      </w:r>
      <w:r>
        <w:rPr>
          <w:rFonts w:ascii="Ebrima" w:hAnsi="Ebrima" w:eastAsia="Ebrima" w:cs="Ebrima"/>
        </w:rPr>
        <w:t>የገፋ</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ሕይወቱ</w:t>
      </w:r>
      <w:r>
        <w:rPr>
          <w:rFonts w:ascii="Times New Roman" w:hAnsi="Times New Roman" w:eastAsia="Times New Roman" w:cs="Times New Roman"/>
        </w:rPr>
        <w:t xml:space="preserve"> </w:t>
      </w:r>
      <w:r>
        <w:rPr>
          <w:rFonts w:ascii="Ebrima" w:hAnsi="Ebrima" w:eastAsia="Ebrima" w:cs="Ebrima"/>
        </w:rPr>
        <w:t>በአሕዛብ</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ማራኪ</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አልፎ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አእምሮውም</w:t>
      </w:r>
      <w:r>
        <w:rPr>
          <w:rFonts w:ascii="Times New Roman" w:hAnsi="Times New Roman" w:eastAsia="Times New Roman" w:cs="Times New Roman"/>
        </w:rPr>
        <w:t xml:space="preserve"> </w:t>
      </w:r>
      <w:r>
        <w:rPr>
          <w:rFonts w:ascii="Ebrima" w:hAnsi="Ebrima" w:eastAsia="Ebrima" w:cs="Ebrima"/>
        </w:rPr>
        <w:t>በታላቅ</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ጉዳዮች</w:t>
      </w:r>
      <w:r>
        <w:rPr>
          <w:rFonts w:ascii="Times New Roman" w:hAnsi="Times New Roman" w:eastAsia="Times New Roman" w:cs="Times New Roman"/>
        </w:rPr>
        <w:t xml:space="preserve"> </w:t>
      </w:r>
      <w:r>
        <w:rPr>
          <w:rFonts w:ascii="Ebrima" w:hAnsi="Ebrima" w:eastAsia="Ebrima" w:cs="Ebrima"/>
        </w:rPr>
        <w:t>ተጨንቆ</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ሆኖም</w:t>
      </w:r>
      <w:r>
        <w:rPr>
          <w:rFonts w:ascii="Times New Roman" w:hAnsi="Times New Roman" w:eastAsia="Times New Roman" w:cs="Times New Roman"/>
        </w:rPr>
        <w:t xml:space="preserve"> </w:t>
      </w:r>
      <w:r>
        <w:rPr>
          <w:rFonts w:ascii="Ebrima" w:hAnsi="Ebrima" w:eastAsia="Ebrima" w:cs="Ebrima"/>
        </w:rPr>
        <w:t>ከእነዚህ</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ፈቀቅ</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ነፍሱን</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ያስጨንቃት</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የልዑል</w:t>
      </w:r>
      <w:r>
        <w:rPr>
          <w:rFonts w:ascii="Times New Roman" w:hAnsi="Times New Roman" w:eastAsia="Times New Roman" w:cs="Times New Roman"/>
        </w:rPr>
        <w:t xml:space="preserve"> </w:t>
      </w:r>
      <w:r>
        <w:rPr>
          <w:rFonts w:ascii="Ebrima" w:hAnsi="Ebrima" w:eastAsia="Ebrima" w:cs="Ebrima"/>
        </w:rPr>
        <w:t>አምላክንም</w:t>
      </w:r>
      <w:r>
        <w:rPr>
          <w:rFonts w:ascii="Times New Roman" w:hAnsi="Times New Roman" w:eastAsia="Times New Roman" w:cs="Times New Roman"/>
        </w:rPr>
        <w:t xml:space="preserve"> </w:t>
      </w:r>
      <w:r>
        <w:rPr>
          <w:rFonts w:ascii="Ebrima" w:hAnsi="Ebrima" w:eastAsia="Ebrima" w:cs="Ebrima"/>
        </w:rPr>
        <w:t>ዓላማዎች</w:t>
      </w:r>
      <w:r>
        <w:rPr>
          <w:rFonts w:ascii="Times New Roman" w:hAnsi="Times New Roman" w:eastAsia="Times New Roman" w:cs="Times New Roman"/>
        </w:rPr>
        <w:t xml:space="preserve"> </w:t>
      </w:r>
      <w:r>
        <w:rPr>
          <w:rFonts w:ascii="Ebrima" w:hAnsi="Ebrima" w:eastAsia="Ebrima" w:cs="Ebrima"/>
        </w:rPr>
        <w:t>ዕውቀት</w:t>
      </w:r>
      <w:r>
        <w:rPr>
          <w:rFonts w:ascii="Times New Roman" w:hAnsi="Times New Roman" w:eastAsia="Times New Roman" w:cs="Times New Roman"/>
        </w:rPr>
        <w:t xml:space="preserve"> </w:t>
      </w:r>
      <w:r>
        <w:rPr>
          <w:rFonts w:ascii="Ebrima" w:hAnsi="Ebrima" w:eastAsia="Ebrima" w:cs="Ebrima"/>
        </w:rPr>
        <w:t>ይፈልግ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ለልመናዎቹም</w:t>
      </w:r>
      <w:r>
        <w:rPr>
          <w:rFonts w:ascii="Times New Roman" w:hAnsi="Times New Roman" w:eastAsia="Times New Roman" w:cs="Times New Roman"/>
        </w:rPr>
        <w:t xml:space="preserve"> </w:t>
      </w:r>
      <w:r>
        <w:rPr>
          <w:rFonts w:ascii="Ebrima" w:hAnsi="Ebrima" w:eastAsia="Ebrima" w:cs="Ebrima"/>
        </w:rPr>
        <w:t>ምላሽ</w:t>
      </w:r>
      <w:r>
        <w:rPr>
          <w:rFonts w:ascii="Times New Roman" w:hAnsi="Times New Roman" w:eastAsia="Times New Roman" w:cs="Times New Roman"/>
        </w:rPr>
        <w:t xml:space="preserve"> </w:t>
      </w:r>
      <w:r>
        <w:rPr>
          <w:rFonts w:ascii="Ebrima" w:hAnsi="Ebrima" w:eastAsia="Ebrima" w:cs="Ebrima"/>
        </w:rPr>
        <w:t>በኋለኞቹ</w:t>
      </w:r>
      <w:r>
        <w:rPr>
          <w:rFonts w:ascii="Times New Roman" w:hAnsi="Times New Roman" w:eastAsia="Times New Roman" w:cs="Times New Roman"/>
        </w:rPr>
        <w:t xml:space="preserve"> </w:t>
      </w:r>
      <w:r>
        <w:rPr>
          <w:rFonts w:ascii="Ebrima" w:hAnsi="Ebrima" w:eastAsia="Ebrima" w:cs="Ebrima"/>
        </w:rPr>
        <w:t>ዘመኖች</w:t>
      </w:r>
      <w:r>
        <w:rPr>
          <w:rFonts w:ascii="Times New Roman" w:hAnsi="Times New Roman" w:eastAsia="Times New Roman" w:cs="Times New Roman"/>
        </w:rPr>
        <w:t xml:space="preserve"> </w:t>
      </w:r>
      <w:r>
        <w:rPr>
          <w:rFonts w:ascii="Ebrima" w:hAnsi="Ebrima" w:eastAsia="Ebrima" w:cs="Ebrima"/>
        </w:rPr>
        <w:t>ለሚኖሩ</w:t>
      </w:r>
      <w:r>
        <w:rPr>
          <w:rFonts w:ascii="Times New Roman" w:hAnsi="Times New Roman" w:eastAsia="Times New Roman" w:cs="Times New Roman"/>
        </w:rPr>
        <w:t xml:space="preserve"> </w:t>
      </w:r>
      <w:r>
        <w:rPr>
          <w:rFonts w:ascii="Ebrima" w:hAnsi="Ebrima" w:eastAsia="Ebrima" w:cs="Ebrima"/>
        </w:rPr>
        <w:t>የሚሆን</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ከሰማያዊ</w:t>
      </w:r>
      <w:r>
        <w:rPr>
          <w:rFonts w:ascii="Times New Roman" w:hAnsi="Times New Roman" w:eastAsia="Times New Roman" w:cs="Times New Roman"/>
        </w:rPr>
        <w:t xml:space="preserve"> </w:t>
      </w:r>
      <w:r>
        <w:rPr>
          <w:rFonts w:ascii="Ebrima" w:hAnsi="Ebrima" w:eastAsia="Ebrima" w:cs="Ebrima"/>
        </w:rPr>
        <w:t>አደባባዮች</w:t>
      </w:r>
      <w:r>
        <w:rPr>
          <w:rFonts w:ascii="Times New Roman" w:hAnsi="Times New Roman" w:eastAsia="Times New Roman" w:cs="Times New Roman"/>
        </w:rPr>
        <w:t xml:space="preserve"> </w:t>
      </w:r>
      <w:r>
        <w:rPr>
          <w:rFonts w:ascii="Ebrima" w:hAnsi="Ebrima" w:eastAsia="Ebrima" w:cs="Ebrima"/>
        </w:rPr>
        <w:t>ተገለጠ።</w:t>
      </w:r>
      <w:r>
        <w:rPr>
          <w:rFonts w:ascii="Times New Roman" w:hAnsi="Times New Roman" w:eastAsia="Times New Roman" w:cs="Times New Roman"/>
        </w:rPr>
        <w:t xml:space="preserve"> </w:t>
      </w:r>
      <w:r>
        <w:rPr>
          <w:rFonts w:ascii="Ebrima" w:hAnsi="Ebrima" w:eastAsia="Ebrima" w:cs="Ebrima"/>
        </w:rPr>
        <w:t>እንግዲህ</w:t>
      </w:r>
      <w:r>
        <w:rPr>
          <w:rFonts w:ascii="Times New Roman" w:hAnsi="Times New Roman" w:eastAsia="Times New Roman" w:cs="Times New Roman"/>
        </w:rPr>
        <w:t xml:space="preserve"> </w:t>
      </w:r>
      <w:r>
        <w:rPr>
          <w:rFonts w:ascii="Ebrima" w:hAnsi="Ebrima" w:eastAsia="Ebrima" w:cs="Ebrima"/>
        </w:rPr>
        <w:t>ለእኛ</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የተመጡትን</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ለማስተዋል</w:t>
      </w:r>
      <w:r>
        <w:rPr>
          <w:rFonts w:ascii="Times New Roman" w:hAnsi="Times New Roman" w:eastAsia="Times New Roman" w:cs="Times New Roman"/>
        </w:rPr>
        <w:t xml:space="preserve"> </w:t>
      </w:r>
      <w:r>
        <w:rPr>
          <w:rFonts w:ascii="Ebrima" w:hAnsi="Ebrima" w:eastAsia="Ebrima" w:cs="Ebrima"/>
        </w:rPr>
        <w:t>አስተዋዮቻችንን</w:t>
      </w:r>
      <w:r>
        <w:rPr>
          <w:rFonts w:ascii="Times New Roman" w:hAnsi="Times New Roman" w:eastAsia="Times New Roman" w:cs="Times New Roman"/>
        </w:rPr>
        <w:t xml:space="preserve"> </w:t>
      </w:r>
      <w:r>
        <w:rPr>
          <w:rFonts w:ascii="Ebrima" w:hAnsi="Ebrima" w:eastAsia="Ebrima" w:cs="Ebrima"/>
        </w:rPr>
        <w:t>ይከፍት</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ምንኛ</w:t>
      </w:r>
      <w:r>
        <w:rPr>
          <w:rFonts w:ascii="Times New Roman" w:hAnsi="Times New Roman" w:eastAsia="Times New Roman" w:cs="Times New Roman"/>
        </w:rPr>
        <w:t xml:space="preserve"> </w:t>
      </w:r>
      <w:r>
        <w:rPr>
          <w:rFonts w:ascii="Ebrima" w:hAnsi="Ebrima" w:eastAsia="Ebrima" w:cs="Ebrima"/>
        </w:rPr>
        <w:t>በትጋት</w:t>
      </w:r>
      <w:r>
        <w:rPr>
          <w:rFonts w:ascii="Times New Roman" w:hAnsi="Times New Roman" w:eastAsia="Times New Roman" w:cs="Times New Roman"/>
        </w:rPr>
        <w:t xml:space="preserve"> </w:t>
      </w:r>
      <w:r>
        <w:rPr>
          <w:rFonts w:ascii="Ebrima" w:hAnsi="Ebrima" w:eastAsia="Ebrima" w:cs="Ebrima"/>
        </w:rPr>
        <w:t>ልንፈልገው</w:t>
      </w:r>
      <w:r>
        <w:rPr>
          <w:rFonts w:ascii="Times New Roman" w:hAnsi="Times New Roman" w:eastAsia="Times New Roman" w:cs="Times New Roman"/>
        </w:rPr>
        <w:t xml:space="preserve"> </w:t>
      </w:r>
      <w:r>
        <w:rPr>
          <w:rFonts w:ascii="Ebrima" w:hAnsi="Ebrima" w:eastAsia="Ebrima" w:cs="Ebrima"/>
        </w:rPr>
        <w:t>ይገባናል።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“‘أنا دانيال وحدي رأيت الرؤيا، وأمّا الرجال الذين كانوا معي فلم يروا الرؤيا؛ ولكن وقعت عليهم رعدة عظيمة، فهربوا ليختبئوا.... ولم تبقَ فيَّ قوّة، إذ تحوّل بهائي فيَّ إلى فساد، ولم أحتفظ بقوّة’ (الآيتان 7، 8). إنّ جميع الذين تقدّسوا حقًّا سيمرّون باختبار مماثل. فكلّما ازدادت وضوحًا رؤيتهم لعظمة المسيح ومجده وكماله، ازداد إدراكهم الحيّ لضعفهم هم ونقصهم. ولن يكون لديهم أيّ ميل إلى الادّعاء بأنّهم بلا خطيّة؛ ذلك الذي بدا في أنفسهم مستقيمًا وجميلاً سيظهر، بالمقابلة مع طهارة المسيح ومجده، أنّه ليس إلا غير جدير وقابلًا للفساد. حين ينفصل الناس عن الله، وحين تكون لديهم رؤى غامضة جدًّا عن المسيح، عندئذٍ يقولون: ‘أنا بلا خطيّة؛ أنا مقدَّس.’”</w:t>
      </w:r>
    </w:p>
    <w:p>
      <w:pPr>
        <w:pStyle w:val="ArticleScripture"/>
        <w:jc w:val="left"/>
      </w:pPr>
      <w:r>
        <w:rPr>
          <w:rFonts w:ascii="Times New Roman" w:hAnsi="Times New Roman" w:eastAsia="Times New Roman" w:cs="Times New Roman"/>
        </w:rPr>
        <w:t>«گبریئل اکنون بر پیامبر ظاهر شد و بدو چنین خطاب کرد: “ای دانیال، ای مردِ بسیار محبوب، سخنانی را که به تو می‌گویم دریاب، و راست بر پای بایست؛ زیرا اکنون نزد تو فرستاده شده‌ام.” و چون این سخن را به من گفت، لرزان بر پای ایستادم. آنگاه به من گفت: “ای دانیال، مترس؛ زیرا از روز نخست که دل خویش را بر فهمیدن و فروتن ساختن خود در حضور خدای خویش نهادی، سخنانت شنیده شد، و من به سبب سخنان تو آمده‌ام”» (آیات 11، 12).</w:t>
      </w:r>
    </w:p>
    <w:p>
      <w:pPr>
        <w:pStyle w:val="ArticleScripture"/>
        <w:jc w:val="left"/>
      </w:pPr>
      <w:r>
        <w:rPr>
          <w:rFonts w:ascii="Times New Roman" w:hAnsi="Times New Roman" w:eastAsia="Times New Roman" w:cs="Times New Roman"/>
        </w:rPr>
        <w:t>«Փառքի ինչ մեծ պատիվ է երկնքի Վեհությունից ցուցաբերվում Դանիելին։ Նա մխիթարում է Իր դողացող ծառային և հավաստիացնում նրան, որ նրա աղոթքը լսվել է երկնքում։ Այդ ջերմեռանդ խնդրանքին ի պատասխան՝ Գաբրիել հրեշտակը ուղարկվեց՝ ազդելու պարսից թագավորի սրտի վրա։ Միապետը երեք շաբաթվա ընթացքում, մինչ Դանիելը ծոմ էր պահում և աղոթում, դիմադրել էր Աստծո Հոգու ներգործություններին, բայց երկնքի Իշխանը՝ Միքայել հրեշտակապետը, ուղարկվեց՝ համառ թագավորի սիրտը դարձնելու, որպեսզի նա որևէ վճռական քայլ ձեռնարկի՝ պատասխանելու Դանիելի աղոթքին։»</w:t>
      </w:r>
    </w:p>
    <w:p>
      <w:pPr>
        <w:pStyle w:val="ArticleScripture"/>
        <w:jc w:val="left"/>
      </w:pPr>
      <w:r>
        <w:rPr>
          <w:rFonts w:ascii="Times New Roman" w:hAnsi="Times New Roman" w:eastAsia="Times New Roman" w:cs="Times New Roman"/>
        </w:rPr>
        <w:t>«“Et quand il m’eut adressé de telles paroles, je tournai mon visage vers la terre, et je devins muet. Et voici, quelqu’un qui avait l’apparence des fils des hommes toucha mes lèvres…. Et il dit : Ô homme bien-aimé, ne crains point : que la paix soit avec toi ; sois fort, oui, sois fort. Et quand il m’eut parlé, je fus fortifié, et je dis : Que mon Seigneur parle ; car tu m’as fortifié” (versets 15–19). Si grande était la gloire divine révélée à Daniel qu’il ne pouvait en soutenir la vue. Alors le messager du ciel voila l’éclat de sa présence et apparut au prophète comme “quelqu’un qui avait l’apparence des fils des hommes” (verset 16). Par sa puissance divine, il fortifia cet homme d’intégrité et de foi, afin qu’il entendît le message que Dieu lui avait envoyé.»</w:t>
      </w:r>
    </w:p>
    <w:p>
      <w:pPr>
        <w:pStyle w:val="ArticleScripture"/>
        <w:jc w:val="left"/>
      </w:pPr>
      <w:r>
        <w:rPr>
          <w:rFonts w:ascii="Times New Roman" w:hAnsi="Times New Roman" w:eastAsia="Times New Roman" w:cs="Times New Roman"/>
        </w:rPr>
        <w:t>“Daniel var en hängiven tjänare åt den Högste. Hans långa liv var fyllt av ädla gärningar i tjänst för sin Herre. Hans rena karaktär och orubbliga trohet motsvaras endast av hans hjärtas ödmjukhet och hans ånger inför Gud. Vi upprepar: Daniels liv är en inspirerad illustration av sann helgelse.” Helgat liv,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cinquante-neuf</dc:title>
  <dc:subject>Révélation des trois attouchements angéliques dans la vision de Daniel : une révélation prophétique</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