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Kumi na Tano</w:t>
      </w:r>
    </w:p>
    <w:p>
      <w:pPr>
        <w:pStyle w:val="ArticleSubtitle"/>
        <w:jc w:val="left"/>
      </w:pPr>
      <w:r>
        <w:rPr>
          <w:rFonts w:ascii="Arial" w:hAnsi="Arial" w:eastAsia="Arial" w:cs="Arial"/>
        </w:rPr>
        <w:t>Kitabu cha Danieli Sura ya Pili – Muhtasari na Hitimisho Sehemu ya Pili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À la fin de juillet 2023, la voix dans le désert commença à crier aux ossements desséchés des morts, comme le représente Daniel allant vers Arioch pour l’informer qu’il comprenait le « secret ». Daniel, en relation avec Hanania, Mishaël et Azaria, représente le messager d’Élie, et le message d’Élie établit que, que le peuple de Dieu le comprenne ou l’accepte ou non, il est déjà sous une malédiction.</w:t>
      </w:r>
    </w:p>
    <w:p>
      <w:pPr>
        <w:pStyle w:val="ArticleScripture"/>
        <w:jc w:val="left"/>
      </w:pPr>
      <w:r>
        <w:rPr>
          <w:rFonts w:ascii="Times New Roman" w:hAnsi="Times New Roman" w:eastAsia="Times New Roman" w:cs="Times New Roman"/>
        </w:rPr>
        <w:t>Et maintenant, ô vous, prêtres, ce commandement est pour vous. Si vous n’écoutez point, et si vous ne prenez point à cœur de donner gloire à mon nom, dit l’Éternel des armées, j’enverrai sur vous la malédiction, et je maudirai vos bénédictions ; oui, je les ai déjà maudites, parce que vous ne le prenez point à cœur. Malachie 2:1, 2.</w:t>
      </w:r>
    </w:p>
    <w:p>
      <w:pPr>
        <w:pStyle w:val="ArticleBody"/>
        <w:jc w:val="left"/>
      </w:pPr>
      <w:r>
        <w:rPr>
          <w:rFonts w:ascii="Times New Roman" w:hAnsi="Times New Roman" w:eastAsia="Times New Roman" w:cs="Times New Roman"/>
        </w:rPr>
        <w:t>Os “sacerdotes” dos últimos dias, segundo Pedro, são o povo da aliança de Deus que outrora não era o povo da aliança de Deus. São aqueles que comeram do “livro oculto” quando o anjo poderoso de Apocalipse dezoito desceu em 11 de setembro de 2001. Contudo, segundo Malaquias, eles estão debaixo de maldição.</w:t>
      </w:r>
    </w:p>
    <w:p>
      <w:pPr>
        <w:pStyle w:val="ArticleScripture"/>
        <w:jc w:val="left"/>
      </w:pPr>
      <w:r>
        <w:rPr>
          <w:rFonts w:ascii="Times New Roman" w:hAnsi="Times New Roman" w:eastAsia="Times New Roman" w:cs="Times New Roman"/>
        </w:rPr>
        <w:t>Ngati kunene kuti mwalawako kuti Ambuye ali wa chifundo. Kwa Iye mudza, monga ku mwala wamoyo, womwe ngakhale unakanidwa ndi anthu, koma wosankhidwa ndi Mulungu, ndi wamtengo wapatali, inunso, monga miyala yamoyo, mukumangidwa kukhala nyumba yauzimu, unsembe wopatulika, kuti mupereke nsembe zauzimu, zovomerezeka kwa Mulungu mwa Yesu Khristu. Choncho kuli kotero m’Malemba, Taonani, ndiyika m’Siyoni mwala wa pakona waukulu, wosankhidwa, wamtengo wapatali; ndipo iye wakukhulupirira Iye sadzachita manyazi. Chifukwa chake kwa inu akukhulupirira Iye ndi wamtengo wapatali; koma kwa iwo osamvera, mwala umene omanga anaukana, womwewo wasanduka mutu wa pakona, ndi mwala wokhumudwitsa, ndi thanthwe lokhumudwitsa, kwa iwo amene akukhumudwa pa mawuwo, pokhala osamvera; chimenechi ndicho nawonso anayikidwiramo. Koma inu ndinu mtundu wosankhidwa, unsembe wachifumu, mtundu wopatulika, anthu ake eniake; kuti mulalikire matamando a Iye amene anakuitanani mutuluke mumdima mulowe m’kuunika kwake kodabwitsa: inu amene kale simunali anthu, koma tsopano muli anthu a Mulungu; amene simunalandire chifundo, koma tsopano mwalandira chifundo. 1 Petro 2:3–10.</w:t>
      </w:r>
    </w:p>
    <w:p>
      <w:pPr>
        <w:pStyle w:val="ArticleBody"/>
        <w:jc w:val="left"/>
      </w:pPr>
      <w:r>
        <w:rPr>
          <w:rFonts w:ascii="Times New Roman" w:hAnsi="Times New Roman" w:eastAsia="Times New Roman" w:cs="Times New Roman"/>
        </w:rPr>
        <w:t>De „priesters” van de laatste dagen zijn degenen die „gesmaakt hebben dat de Heere goed is.” „Eertijds” „waren zij geen volk, maar nu zijn zij Gods volk.” Zij zijn degenen die de „levende steen” hebben gevonden, die „wel door de mensen verworpen was, maar bij God uitverkoren en dierbaar.” Die steen is de „zeven tijden” van Leviticus zesentwintig, die de „bouwlieden” van de Milleritische beweging in 1863 „verworpen” hebben. De Milleritische „bouwlieden” bouwden een tempel in de zesenveertig jaren van 1798 tot 1844, maar kozen er daarna voor de „toename van kennis” aangaande de „zeven tijden”, die in 1856 kwam, te verwerpen.</w:t>
      </w:r>
    </w:p>
    <w:p>
      <w:pPr>
        <w:pStyle w:val="ArticleScripture"/>
        <w:jc w:val="left"/>
      </w:pPr>
      <w:r>
        <w:rPr>
          <w:rFonts w:ascii="Times New Roman" w:hAnsi="Times New Roman" w:eastAsia="Times New Roman" w:cs="Times New Roman"/>
        </w:rPr>
        <w:t>Тириким хоҳиши донишу фаҳм надоранд, барои ҳамин ҳалок мешаванд; зеро ту донишро рад кардаӣ, Ман низ туро рад хоҳам кард, то ки барои Ман коҳин набошӣ; чунки ту шариати Худои худро фаромӯш кардаӣ, Ман низ фарзандони туро фаромӯш хоҳам кард. Чӣ қадаре ки онҳо афзуданд, ҳамон қадар бар зидди Ман гуноҳ карданд; бинобар ин ҷалоли онҳоро ба нанг табдил хоҳам дод. Ҳушаъ 4:6, 7.</w:t>
      </w:r>
    </w:p>
    <w:p>
      <w:pPr>
        <w:pStyle w:val="ArticleBody"/>
        <w:jc w:val="left"/>
      </w:pPr>
      <w:r>
        <w:rPr>
          <w:rFonts w:ascii="Times New Roman" w:hAnsi="Times New Roman" w:eastAsia="Times New Roman" w:cs="Times New Roman"/>
        </w:rPr>
        <w:t>Les « prêtres » des derniers jours ont accepté le message des « sept temps » lorsqu’ils furent ramenés aux anciens sentiers de l’adventisme après le 11 septembre 2001. Ils goûtèrent le message du livre caché, et il était « précieux ». Pourtant, Malachie dit que les prêtres des derniers jours sont « maudits », et, bien sûr, les « sept temps » sont une malédiction. Ils sont sous la malédiction des « sept temps », car ils ont répété les péchés de leurs pères. Malachie dit que les prêtres ont profané le nom de Dieu en offrant une « offrande souillée ». Cette offrande était la prédiction du 18 juillet 2020.</w:t>
      </w:r>
    </w:p>
    <w:p>
      <w:pPr>
        <w:pStyle w:val="ArticleScripture"/>
        <w:jc w:val="left"/>
      </w:pPr>
      <w:r>
        <w:rPr>
          <w:rFonts w:ascii="Times New Roman" w:hAnsi="Times New Roman" w:eastAsia="Times New Roman" w:cs="Times New Roman"/>
        </w:rPr>
        <w:t>Ngokuba kususela ekuphumeni kwelanga kuse kuse ekutshoneni kwalo, igama lam liya kuba likhulu phakathi kweentlanga; yaye ezindaweni zonke kuya kunikelwa isiqhumiso egameni lam, nomnikelo ococekileyo; ngokuba igama lam liya kuba likhulu phakathi kweentlanga, utsho uYehova wemikhosi. Kodwa nina nilihlambile, ngokuba nisithi, Itafile kaYehova ingcolile; nesiqhamo sayo, oko kukuthi, ukutya kwayo, siyadeleka. Nathi nathi, Yabonani, hayi ukudinwa okunje! nize nikudele, utsho uYehova wemikhosi; nize nizise okuqwengiweyo, neziqhwala, nezigulayo; ngaloo ndlela nize nomnikelo. Ndimele na ukuwamkela oku esandleni senu? utsho uYehova. Kodwa makaqalekiswe umkhohlisi, onenkunzi emhlambini wakhe, aze enze isifungo, aze abingelele kuYehova into enesiphako; ngokuba ndinguKumkani omkhulu, utsho uYehova wemikhosi, yaye igama lam loyikeka phakathi kweentlanga. Ke kaloku ngoku, nina babingeleli, lo myalelo ngowenu. Ukuba aniyi kuva, nibe aniyi kukubeka entliziyweni, ukuba ninike uzuko egameni lam, utsho uYehova wemikhosi, ndiya kuthumela isiqalekiso phezu kwenu, ndize ndiqalekise iintsikelelo zenu; ewe, sele ndizinqalekisile kakade, ngokuba anikubeki entliziyweni. Yabonani, ndiya konakalisa imbewu yenu, ndize ndiqabe ubulongwe ebusweni benu, ubulongwe bemithendeleko yenu emiselweyo; yaye niya kususwa kunye nabo. Nize nazi ukuba ndinithumelele lo myalelo, ukuze umnqophiso wam ube noLevi, utsho uYehova wemikhosi. Malaki 1:11–2:4.</w:t>
      </w:r>
    </w:p>
    <w:p>
      <w:pPr>
        <w:pStyle w:val="ArticleBody"/>
        <w:jc w:val="left"/>
      </w:pPr>
      <w:r>
        <w:rPr>
          <w:rFonts w:ascii="Nirmala UI" w:hAnsi="Nirmala UI" w:eastAsia="Nirmala UI" w:cs="Nirmala UI"/>
        </w:rPr>
        <w:t>लेवीसँगको</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जनावरको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परीक्षामा</w:t>
      </w:r>
      <w:r>
        <w:rPr>
          <w:rFonts w:ascii="Times New Roman" w:hAnsi="Times New Roman" w:eastAsia="Times New Roman" w:cs="Times New Roman"/>
        </w:rPr>
        <w:t xml:space="preserve">, </w:t>
      </w:r>
      <w:r>
        <w:rPr>
          <w:rFonts w:ascii="Nirmala UI" w:hAnsi="Nirmala UI" w:eastAsia="Nirmala UI" w:cs="Nirmala UI"/>
        </w:rPr>
        <w:t>हारूनको</w:t>
      </w:r>
      <w:r>
        <w:rPr>
          <w:rFonts w:ascii="Times New Roman" w:hAnsi="Times New Roman" w:eastAsia="Times New Roman" w:cs="Times New Roman"/>
        </w:rPr>
        <w:t xml:space="preserve"> </w:t>
      </w:r>
      <w:r>
        <w:rPr>
          <w:rFonts w:ascii="Nirmala UI" w:hAnsi="Nirmala UI" w:eastAsia="Nirmala UI" w:cs="Nirmala UI"/>
        </w:rPr>
        <w:t>सुनौलो</w:t>
      </w:r>
      <w:r>
        <w:rPr>
          <w:rFonts w:ascii="Times New Roman" w:hAnsi="Times New Roman" w:eastAsia="Times New Roman" w:cs="Times New Roman"/>
        </w:rPr>
        <w:t xml:space="preserve"> </w:t>
      </w:r>
      <w:r>
        <w:rPr>
          <w:rFonts w:ascii="Nirmala UI" w:hAnsi="Nirmala UI" w:eastAsia="Nirmala UI" w:cs="Nirmala UI"/>
        </w:rPr>
        <w:t>बाछोको</w:t>
      </w:r>
      <w:r>
        <w:rPr>
          <w:rFonts w:ascii="Times New Roman" w:hAnsi="Times New Roman" w:eastAsia="Times New Roman" w:cs="Times New Roman"/>
        </w:rPr>
        <w:t xml:space="preserve"> </w:t>
      </w:r>
      <w:r>
        <w:rPr>
          <w:rFonts w:ascii="Nirmala UI" w:hAnsi="Nirmala UI" w:eastAsia="Nirmala UI" w:cs="Nirmala UI"/>
        </w:rPr>
        <w:t>विद्रोहमा</w:t>
      </w:r>
      <w:r>
        <w:rPr>
          <w:rFonts w:ascii="Times New Roman" w:hAnsi="Times New Roman" w:eastAsia="Times New Roman" w:cs="Times New Roman"/>
        </w:rPr>
        <w:t xml:space="preserve">, </w:t>
      </w:r>
      <w:r>
        <w:rPr>
          <w:rFonts w:ascii="Nirmala UI" w:hAnsi="Nirmala UI" w:eastAsia="Nirmala UI" w:cs="Nirmala UI"/>
        </w:rPr>
        <w:t>लेवीयहरूको</w:t>
      </w:r>
      <w:r>
        <w:rPr>
          <w:rFonts w:ascii="Times New Roman" w:hAnsi="Times New Roman" w:eastAsia="Times New Roman" w:cs="Times New Roman"/>
        </w:rPr>
        <w:t xml:space="preserve"> </w:t>
      </w:r>
      <w:r>
        <w:rPr>
          <w:rFonts w:ascii="Nirmala UI" w:hAnsi="Nirmala UI" w:eastAsia="Nirmala UI" w:cs="Nirmala UI"/>
        </w:rPr>
        <w:t>निष्ठाको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मलाकीको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दूतद्वारा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पारिएका</w:t>
      </w:r>
      <w:r>
        <w:rPr>
          <w:rFonts w:ascii="Times New Roman" w:hAnsi="Times New Roman" w:eastAsia="Times New Roman" w:cs="Times New Roman"/>
        </w:rPr>
        <w:t xml:space="preserve"> </w:t>
      </w:r>
      <w:r>
        <w:rPr>
          <w:rFonts w:ascii="Nirmala UI" w:hAnsi="Nirmala UI" w:eastAsia="Nirmala UI" w:cs="Nirmala UI"/>
        </w:rPr>
        <w:t>लेवीयहरू</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धार्मिकतामा</w:t>
      </w:r>
      <w:r>
        <w:rPr>
          <w:rFonts w:ascii="Times New Roman" w:hAnsi="Times New Roman" w:eastAsia="Times New Roman" w:cs="Times New Roman"/>
        </w:rPr>
        <w:t xml:space="preserve"> </w:t>
      </w:r>
      <w:r>
        <w:rPr>
          <w:rFonts w:ascii="Nirmala UI" w:hAnsi="Nirmala UI" w:eastAsia="Nirmala UI" w:cs="Nirmala UI"/>
        </w:rPr>
        <w:t>चढाउनका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पारिन्छन्।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नाउँको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«Воршеава хъмбариг-маьлумоти аз Худост, ки ҷаҳонро фаро гирифтааст. Одамон дониши худро дар бораи хислати Ӯ аз даст медиҳанд. Он нодуруст фаҳмида ва ғалат тафсир карда шудааст. Дар ин вақт бояд паёме аз ҷониби Худо эълон карда шавад, паёме, ки дар таъсири худ равшангар ва дар қудрати худ наҷотбахш аст. Хислати Ӯ бояд маълум гардад. Ба торикии ҷаҳон бояд нури ҷалоли Ӯ, нури некӯӣ, раҳм ва ҳақиқати Ӯ, фурӯ рехта шавад.</w:t>
      </w:r>
    </w:p>
    <w:p>
      <w:pPr>
        <w:pStyle w:val="ArticleScripture"/>
        <w:jc w:val="left"/>
      </w:pPr>
      <w:r>
        <w:rPr>
          <w:rFonts w:ascii="Times New Roman" w:hAnsi="Times New Roman" w:eastAsia="Times New Roman" w:cs="Times New Roman"/>
        </w:rPr>
        <w:t>«Ceci est l’œuvre décrite par le prophète Ésaïe en ces termes : “Ô Jérusalem, toi qui apportes de bonnes nouvelles, élève ta voix avec force ; élève-la, ne crains point ; dis aux villes de Juda : Voici votre Dieu ! Voici, le Seigneur, l’Éternel, vient avec puissance, et son bras dominera pour lui ; voici, sa récompense est avec lui, et son œuvre le précède.” Ésaïe 40:9, 10.</w:t>
      </w:r>
    </w:p>
    <w:p>
      <w:pPr>
        <w:pStyle w:val="ArticleScripture"/>
        <w:jc w:val="left"/>
      </w:pPr>
      <w:r>
        <w:rPr>
          <w:rFonts w:ascii="Times New Roman" w:hAnsi="Times New Roman" w:eastAsia="Times New Roman" w:cs="Times New Roman"/>
        </w:rPr>
        <w:t>«Ті, хто чекає на прихід Нареченого, мають сказати людям: “Ось ваш Бог”. Останні промені милостивого світла, остання вістка милості, яку має бути дана світові, — це об’явлення Його характеру любові. Діти Божі мають виявити Його славу. У власному житті та характері вони мають відкрити, що для них здійснила благодать Божа». Christ’s Object Lessons, 415.</w:t>
      </w:r>
    </w:p>
    <w:p>
      <w:pPr>
        <w:pStyle w:val="ArticleBody"/>
        <w:jc w:val="left"/>
      </w:pPr>
      <w:r>
        <w:rPr>
          <w:rFonts w:ascii="Times New Roman" w:hAnsi="Times New Roman" w:eastAsia="Times New Roman" w:cs="Times New Roman"/>
        </w:rPr>
        <w:t>Les prêtres de Malachie offrirent une offrande qui profanait le nom de Dieu. L’offrande représente un message, et le message de Nashville, le 18 juillet 2020, était une offrande corrompue. Elle était corrompue par la rébellion qui consistait à mépriser le commandement prophétique selon lequel « il n’y aurait plus de temps », donné par Christ lui-même dans Apocalypse dix.</w:t>
      </w:r>
    </w:p>
    <w:p>
      <w:pPr>
        <w:pStyle w:val="ArticleScripture"/>
        <w:jc w:val="left"/>
      </w:pPr>
      <w:r>
        <w:rPr>
          <w:rFonts w:ascii="Times New Roman" w:hAnsi="Times New Roman" w:eastAsia="Times New Roman" w:cs="Times New Roman"/>
        </w:rPr>
        <w:t>Y el ángel que vi de pie sobre el mar y sobre la tierra levantó su mano al cielo, y juró por el que vive por los siglos de los siglos, que creó el cielo y las cosas que en él hay, y la tierra y las cosas que en ella hay, y el mar y las cosas que en él hay, que el tiempo no sería más. Apocalipsis 10:5, 6.</w:t>
      </w:r>
    </w:p>
    <w:p>
      <w:pPr>
        <w:pStyle w:val="ArticleBody"/>
        <w:jc w:val="left"/>
      </w:pPr>
      <w:r>
        <w:rPr>
          <w:rFonts w:ascii="Times New Roman" w:hAnsi="Times New Roman" w:eastAsia="Times New Roman" w:cs="Times New Roman"/>
        </w:rPr>
        <w:t>“Ditataiso tsa tshiamo” tse emetsweng ke Balefi ho Malakia kgaolo ya boraro, di tshwana le sehlabelo sa mehleng ya kgale, mme di emela molaetsa. “Dilemo tsa pele” di emela bohlweki ba molaetsa o ileng wa hlahisa ho soetseha ha pele historing ya ba-Millerite. Sehlabelo se senyehileng se emela molaetsa o senyehileng wa la 18 Phupu 2020, leha ho le jwalo e sa ntse e le ketsahalo e tshwanang ka tshwantshiso.</w:t>
      </w:r>
    </w:p>
    <w:p>
      <w:pPr>
        <w:pStyle w:val="ArticleScripture"/>
        <w:jc w:val="left"/>
      </w:pPr>
      <w:r>
        <w:rPr>
          <w:rFonts w:ascii="Times New Roman" w:hAnsi="Times New Roman" w:eastAsia="Times New Roman" w:cs="Times New Roman"/>
        </w:rPr>
        <w:t>Na ye akotɛ ase sɛ dwetɛfrafrafodani ne nea ɔtew dwetɛ ho; na ɔbɛtew Lewi mma no ho, na wayiyi wɔn mu fi sɛnea wɔtew sika ne dwetɛ ho, na wɔde trenee mu afɔrebɔ ama Awurade. Afei Yuda ne Yerusalem afɔrebɔ bɛsɔ Awurade ani, sɛ tete nna no mu, ne mfe a atwam no mu. Malaki 3:3, 4.</w:t>
      </w:r>
    </w:p>
    <w:p>
      <w:pPr>
        <w:pStyle w:val="ArticleBody"/>
        <w:jc w:val="left"/>
      </w:pPr>
      <w:r>
        <w:rPr>
          <w:rFonts w:ascii="Times New Roman" w:hAnsi="Times New Roman" w:eastAsia="Times New Roman" w:cs="Times New Roman"/>
        </w:rPr>
        <w:t>Malaki’de belirtilen “lanet”, İlyas’ın neyi temsil ettiğinin kabulüne ilişkin bir sınamayı ortaya koymaktadır. Şimdi uyanmakta olan bizler, “yedi kat” lanetinin gerçekliğinin, 18 Temmuz 2020 tarihine ilişkin günahlı öngörüyü ortaya koyarak sergilediğimiz isyanda üzerimizde gerçekleşmiş olduğunu anlamalıyız. Ayrıca, hangi peygamberlik metodolojisini yiyecek olarak seçeceğimize bir kez daha karar vermeliyiz. Bu olguya ilişkin iki tanıklık —ve başkaları da vardır— Malaki’nin gelecek olan İlyas’ı sunuşunda ve ayrıca İlyas’ın kendi tarihinden bulunabilir. İlyas, yalnızca tek bir doğru mesajın ve metodolojinin var olacağını açıkça ortaya koymuştur.</w:t>
      </w:r>
    </w:p>
    <w:p>
      <w:pPr>
        <w:pStyle w:val="ArticleScripture"/>
        <w:jc w:val="left"/>
      </w:pPr>
      <w:r>
        <w:rPr>
          <w:rFonts w:ascii="Microsoft YaHei" w:hAnsi="Microsoft YaHei" w:eastAsia="Microsoft YaHei" w:cs="Microsoft YaHei"/>
        </w:rPr>
        <w:t>艾利亞</w:t>
      </w:r>
      <w:r>
        <w:rPr>
          <w:rFonts w:ascii="Times New Roman" w:hAnsi="Times New Roman" w:eastAsia="Times New Roman" w:cs="Times New Roman"/>
        </w:rPr>
        <w:t>——</w:t>
      </w:r>
      <w:r>
        <w:rPr>
          <w:rFonts w:ascii="Microsoft YaHei" w:hAnsi="Microsoft YaHei" w:eastAsia="Microsoft YaHei" w:cs="Microsoft YaHei"/>
        </w:rPr>
        <w:t>基列寄居者中的提斯比人</w:t>
      </w:r>
      <w:r>
        <w:rPr>
          <w:rFonts w:ascii="Times New Roman" w:hAnsi="Times New Roman" w:eastAsia="Times New Roman" w:cs="Times New Roman"/>
        </w:rPr>
        <w:t>——</w:t>
      </w:r>
      <w:r>
        <w:rPr>
          <w:rFonts w:ascii="Microsoft YaHei" w:hAnsi="Microsoft YaHei" w:eastAsia="Microsoft YaHei" w:cs="Microsoft YaHei"/>
        </w:rPr>
        <w:t>對亞哈說：「我所侍立的耶和華以色列的上帝永活</w:t>
      </w:r>
      <w:r>
        <w:rPr>
          <w:rFonts w:ascii="Times New Roman" w:hAnsi="Times New Roman" w:eastAsia="Times New Roman" w:cs="Times New Roman"/>
        </w:rPr>
        <w:t>,</w:t>
      </w:r>
      <w:r>
        <w:rPr>
          <w:rFonts w:ascii="Microsoft YaHei" w:hAnsi="Microsoft YaHei" w:eastAsia="Microsoft YaHei" w:cs="Microsoft YaHei"/>
        </w:rPr>
        <w:t>在這幾年之內</w:t>
      </w:r>
      <w:r>
        <w:rPr>
          <w:rFonts w:ascii="Times New Roman" w:hAnsi="Times New Roman" w:eastAsia="Times New Roman" w:cs="Times New Roman"/>
        </w:rPr>
        <w:t>,</w:t>
      </w:r>
      <w:r>
        <w:rPr>
          <w:rFonts w:ascii="Microsoft YaHei" w:hAnsi="Microsoft YaHei" w:eastAsia="Microsoft YaHei" w:cs="Microsoft YaHei"/>
        </w:rPr>
        <w:t>若不照我的話</w:t>
      </w:r>
      <w:r>
        <w:rPr>
          <w:rFonts w:ascii="Times New Roman" w:hAnsi="Times New Roman" w:eastAsia="Times New Roman" w:cs="Times New Roman"/>
        </w:rPr>
        <w:t>,</w:t>
      </w:r>
      <w:r>
        <w:rPr>
          <w:rFonts w:ascii="Microsoft YaHei" w:hAnsi="Microsoft YaHei" w:eastAsia="Microsoft YaHei" w:cs="Microsoft YaHei"/>
        </w:rPr>
        <w:t>必沒有露</w:t>
      </w:r>
      <w:r>
        <w:rPr>
          <w:rFonts w:ascii="Times New Roman" w:hAnsi="Times New Roman" w:eastAsia="Times New Roman" w:cs="Times New Roman"/>
        </w:rPr>
        <w:t>,</w:t>
      </w:r>
      <w:r>
        <w:rPr>
          <w:rFonts w:ascii="Microsoft YaHei" w:hAnsi="Microsoft YaHei" w:eastAsia="Microsoft YaHei" w:cs="Microsoft YaHei"/>
        </w:rPr>
        <w:t>也沒有雨</w:t>
      </w:r>
      <w:r>
        <w:rPr>
          <w:rFonts w:ascii="Times New Roman" w:hAnsi="Times New Roman" w:eastAsia="Times New Roman" w:cs="Times New Roman"/>
        </w:rPr>
        <w:t>.</w:t>
      </w:r>
      <w:r>
        <w:rPr>
          <w:rFonts w:ascii="Microsoft YaHei" w:hAnsi="Microsoft YaHei" w:eastAsia="Microsoft YaHei" w:cs="Microsoft YaHei"/>
        </w:rPr>
        <w:t>」列王紀上</w:t>
      </w:r>
      <w:r>
        <w:rPr>
          <w:rFonts w:ascii="Times New Roman" w:hAnsi="Times New Roman" w:eastAsia="Times New Roman" w:cs="Times New Roman"/>
        </w:rPr>
        <w:t xml:space="preserve"> 17:1</w:t>
      </w:r>
    </w:p>
    <w:p>
      <w:pPr>
        <w:pStyle w:val="ArticleBody"/>
        <w:jc w:val="left"/>
      </w:pPr>
      <w:r>
        <w:rPr>
          <w:rFonts w:ascii="Nirmala UI" w:hAnsi="Nirmala UI" w:eastAsia="Nirmala UI" w:cs="Nirmala UI"/>
        </w:rPr>
        <w:t>മലാഖി</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ദശാംശവുമായി</w:t>
      </w:r>
      <w:r>
        <w:rPr>
          <w:rFonts w:ascii="Times New Roman" w:hAnsi="Times New Roman" w:eastAsia="Times New Roman" w:cs="Times New Roman"/>
        </w:rPr>
        <w:t xml:space="preserve"> </w:t>
      </w:r>
      <w:r>
        <w:rPr>
          <w:rFonts w:ascii="Nirmala UI" w:hAnsi="Nirmala UI" w:eastAsia="Nirmala UI" w:cs="Nirmala UI"/>
        </w:rPr>
        <w:t>ബന്ധപ്പെട്ടിരിക്കുന്ന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ശാപത്തോടനുബന്ധമായി</w:t>
      </w:r>
      <w:r>
        <w:rPr>
          <w:rFonts w:ascii="Times New Roman" w:hAnsi="Times New Roman" w:eastAsia="Times New Roman" w:cs="Times New Roman"/>
        </w:rPr>
        <w:t xml:space="preserve"> </w:t>
      </w:r>
      <w:r>
        <w:rPr>
          <w:rFonts w:ascii="Nirmala UI" w:hAnsi="Nirmala UI" w:eastAsia="Nirmala UI" w:cs="Nirmala UI"/>
        </w:rPr>
        <w:t>അന്തിമ</w:t>
      </w:r>
      <w:r>
        <w:rPr>
          <w:rFonts w:ascii="Times New Roman" w:hAnsi="Times New Roman" w:eastAsia="Times New Roman" w:cs="Times New Roman"/>
        </w:rPr>
        <w:t xml:space="preserve"> </w:t>
      </w:r>
      <w:r>
        <w:rPr>
          <w:rFonts w:ascii="Nirmala UI" w:hAnsi="Nirmala UI" w:eastAsia="Nirmala UI" w:cs="Nirmala UI"/>
        </w:rPr>
        <w:t>എലിയാവു</w:t>
      </w:r>
      <w:r>
        <w:rPr>
          <w:rFonts w:ascii="Times New Roman" w:hAnsi="Times New Roman" w:eastAsia="Times New Roman" w:cs="Times New Roman"/>
        </w:rPr>
        <w:t xml:space="preserve"> </w:t>
      </w:r>
      <w:r>
        <w:rPr>
          <w:rFonts w:ascii="Nirmala UI" w:hAnsi="Nirmala UI" w:eastAsia="Nirmala UI" w:cs="Nirmala UI"/>
        </w:rPr>
        <w:t>പ്രത്യക്ഷമാകുന്ന</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പുരോഹിതന്മാർ</w:t>
      </w:r>
      <w:r>
        <w:rPr>
          <w:rFonts w:ascii="Times New Roman" w:hAnsi="Times New Roman" w:eastAsia="Times New Roman" w:cs="Times New Roman"/>
        </w:rPr>
        <w:t xml:space="preserve"> </w:t>
      </w:r>
      <w:r>
        <w:rPr>
          <w:rFonts w:ascii="Nirmala UI" w:hAnsi="Nirmala UI" w:eastAsia="Nirmala UI" w:cs="Nirmala UI"/>
        </w:rPr>
        <w:t>അധീനരായിരിക്കുന്ന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ശാപം</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മലാഖിയിലുള്ള</w:t>
      </w:r>
      <w:r>
        <w:rPr>
          <w:rFonts w:ascii="Times New Roman" w:hAnsi="Times New Roman" w:eastAsia="Times New Roman" w:cs="Times New Roman"/>
        </w:rPr>
        <w:t xml:space="preserve"> </w:t>
      </w:r>
      <w:r>
        <w:rPr>
          <w:rFonts w:ascii="Nirmala UI" w:hAnsi="Nirmala UI" w:eastAsia="Nirmala UI" w:cs="Nirmala UI"/>
        </w:rPr>
        <w:t>ദശാംശത്തിന്റെ</w:t>
      </w:r>
      <w:r>
        <w:rPr>
          <w:rFonts w:ascii="Times New Roman" w:hAnsi="Times New Roman" w:eastAsia="Times New Roman" w:cs="Times New Roman"/>
        </w:rPr>
        <w:t xml:space="preserve"> “</w:t>
      </w:r>
      <w:r>
        <w:rPr>
          <w:rFonts w:ascii="Nirmala UI" w:hAnsi="Nirmala UI" w:eastAsia="Nirmala UI" w:cs="Nirmala UI"/>
        </w:rPr>
        <w:t>ശാപം</w:t>
      </w:r>
      <w:r>
        <w:rPr>
          <w:rFonts w:ascii="Times New Roman" w:hAnsi="Times New Roman" w:eastAsia="Times New Roman" w:cs="Times New Roman"/>
        </w:rPr>
        <w:t xml:space="preserve">” </w:t>
      </w:r>
      <w:r>
        <w:rPr>
          <w:rFonts w:ascii="Nirmala UI" w:hAnsi="Nirmala UI" w:eastAsia="Nirmala UI" w:cs="Nirmala UI"/>
        </w:rPr>
        <w:t>ദൈവജനത്തിന്റെ</w:t>
      </w:r>
      <w:r>
        <w:rPr>
          <w:rFonts w:ascii="Times New Roman" w:hAnsi="Times New Roman" w:eastAsia="Times New Roman" w:cs="Times New Roman"/>
        </w:rPr>
        <w:t xml:space="preserve"> </w:t>
      </w:r>
      <w:r>
        <w:rPr>
          <w:rFonts w:ascii="Nirmala UI" w:hAnsi="Nirmala UI" w:eastAsia="Nirmala UI" w:cs="Nirmala UI"/>
        </w:rPr>
        <w:t>ഭാഗത്തുനിന്നുള്ള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തീരുമാനത്തെ</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ഇതിനകം</w:t>
      </w:r>
      <w:r>
        <w:rPr>
          <w:rFonts w:ascii="Times New Roman" w:hAnsi="Times New Roman" w:eastAsia="Times New Roman" w:cs="Times New Roman"/>
        </w:rPr>
        <w:t xml:space="preserve"> </w:t>
      </w:r>
      <w:r>
        <w:rPr>
          <w:rFonts w:ascii="Nirmala UI" w:hAnsi="Nirmala UI" w:eastAsia="Nirmala UI" w:cs="Nirmala UI"/>
        </w:rPr>
        <w:t>അധീനരായിരിക്കുന്ന</w:t>
      </w:r>
      <w:r>
        <w:rPr>
          <w:rFonts w:ascii="Times New Roman" w:hAnsi="Times New Roman" w:eastAsia="Times New Roman" w:cs="Times New Roman"/>
        </w:rPr>
        <w:t xml:space="preserve"> </w:t>
      </w:r>
      <w:r>
        <w:rPr>
          <w:rFonts w:ascii="Nirmala UI" w:hAnsi="Nirmala UI" w:eastAsia="Nirmala UI" w:cs="Nirmala UI"/>
        </w:rPr>
        <w:t>ശാപം</w:t>
      </w:r>
      <w:r>
        <w:rPr>
          <w:rFonts w:ascii="Times New Roman" w:hAnsi="Times New Roman" w:eastAsia="Times New Roman" w:cs="Times New Roman"/>
        </w:rPr>
        <w:t xml:space="preserve"> </w:t>
      </w:r>
      <w:r>
        <w:rPr>
          <w:rFonts w:ascii="Nirmala UI" w:hAnsi="Nirmala UI" w:eastAsia="Nirmala UI" w:cs="Nirmala UI"/>
        </w:rPr>
        <w:t>നീക്കപ്പെടേണ്ടതിന്നു</w:t>
      </w:r>
      <w:r>
        <w:rPr>
          <w:rFonts w:ascii="Times New Roman" w:hAnsi="Times New Roman" w:eastAsia="Times New Roman" w:cs="Times New Roman"/>
        </w:rPr>
        <w:t xml:space="preserve"> “</w:t>
      </w:r>
      <w:r>
        <w:rPr>
          <w:rFonts w:ascii="Nirmala UI" w:hAnsi="Nirmala UI" w:eastAsia="Nirmala UI" w:cs="Nirmala UI"/>
        </w:rPr>
        <w:t>ഭണ്ഡാരഗൃഹം</w:t>
      </w:r>
      <w:r>
        <w:rPr>
          <w:rFonts w:ascii="Times New Roman" w:hAnsi="Times New Roman" w:eastAsia="Times New Roman" w:cs="Times New Roman"/>
        </w:rPr>
        <w:t xml:space="preserve">” </w:t>
      </w:r>
      <w:r>
        <w:rPr>
          <w:rFonts w:ascii="Nirmala UI" w:hAnsi="Nirmala UI" w:eastAsia="Nirmala UI" w:cs="Nirmala UI"/>
        </w:rPr>
        <w:t>ഏതാണ്</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എവിടെയാണ്</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നിർണ്ണയിക്കേണ്ടതാണ്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“Eis, Ek stuur my boodskapper, en hy sal die weg voor My berei; en skielik sal na sy tempel kom die Here na wie julle soek, naamlik die Engel van die verbond, in wie julle ’n welbehae het. Kyk, Hy kom, sê die Here van die leërskare. Maar wie kan die dag van sy koms verdra? En wie sal standhou as Hy verskyn? Want Hy is soos die vuur van ’n smelter en soos die loog van wassers. En Hy sal sit as ’n smelter en louteraar van silwer; en Hy sal die seuns van Levi reinig en hulle suiwer soos goud en silwer, sodat hulle aan die Here ’n offer in geregtigheid kan bring. Dan sal die offer van Juda en Jerusalem vir die Here aangenaam wees soos in die dae van die voortyd en soos in die jare van ouds. En Ek sal tot julle nader om oordeel uit te oefen, en Ek sal ’n haastige getuie wees teen die towenaars en teen die egbrekers en teen die meineediges en teen die wat die dagloner in sy loon verdruk, die weduwee en die wees, en die vreemdeling in sy reg te kort doen, en My nie vrees nie, sê die Here van die leërskare. Want Ek, die Here, het nie verander nie; en julle, kinders van Jakob, is nie verteer nie. Sedert die dae van julle vaders het julle van my insettinge afgewyk en dit nie onderhou nie. Keer terug na My, dan sal Ek na julle terugkeer, sê die Here van die leërskare. Maar julle vra: Waarin moet ons terugkeer? Mag ’n mens God beroof? Tog beroof julle My. Maar julle vra: Waarin het ons U beroof? In die tiendes en die offergawes. Met die vloek is julle belaai, en tog beroof julle My, julle, die hele nasie! Bring die hele tiende na die skathuis, sodat daar spys in my huis kan wees; en beproef My tog hierin, sê die Here van die leërskare, of Ek nie vir julle die vensters van die hemel sal oopmaak en op julle ’n oorvloedige seën sal uitstort, sodat daar geen plek genoeg sal wees om dit te ontvang nie. En Ek sal ter wille van julle die verslinder bestraf, sodat hy die vrug van julle grond nie sal verniel nie; ook sal die wingerdstok in die veld vir julle nie sonder vrug wees nie, sê die Here van die leërskare.” Maleagi 3:1–11.</w:t>
      </w:r>
    </w:p>
    <w:p>
      <w:pPr>
        <w:pStyle w:val="ArticleBody"/>
        <w:jc w:val="left"/>
      </w:pPr>
      <w:r>
        <w:rPr>
          <w:rFonts w:ascii="Times New Roman" w:hAnsi="Times New Roman" w:eastAsia="Times New Roman" w:cs="Times New Roman"/>
        </w:rPr>
        <w:t>Le Seigneur ne change pas, et sa méthode ne change pas non plus. Quelle que puisse être, ou ne pas être, la « malédiction » représentée par la malédiction de la « dîme » dans Malachie, la dîme doit être apportée au trésor, afin qu’il y ait de la « nourriture » dans la maison de Dieu. Ce fait exige qu’une décision soit prise quant à ce qu’est le « trésor », et quant à ce qu’était la nourriture représentée par William Miller dans le mouvement du premier ange, laquelle préfigurait la nourriture qui devait être mangée dans le mouvement du troisième ange. L’un des symboles de cette nourriture est la « pluie » et la « rosée ».</w:t>
      </w:r>
    </w:p>
    <w:p>
      <w:pPr>
        <w:pStyle w:val="ArticleScripture"/>
        <w:jc w:val="left"/>
      </w:pPr>
      <w:r>
        <w:rPr>
          <w:rFonts w:ascii="Times New Roman" w:hAnsi="Times New Roman" w:eastAsia="Times New Roman" w:cs="Times New Roman"/>
        </w:rPr>
        <w:t>Écoutez, ô cieux, et je parlerai ; et que la terre entende les paroles de ma bouche. Que ma doctrine se répande comme la pluie, que ma parole distille comme la rosée, comme la pluie fine sur l’herbe tendre, et comme les ondées sur le gazon ; car je publierai le nom de l’Éternel : rendez gloire à notre Dieu. Il est le Rocher, son œuvre est parfaite ; car toutes ses voies sont justice ; c’est un Dieu de vérité et sans iniquité ; il est juste et droit. Deutéronome 32:1–4.</w:t>
      </w:r>
    </w:p>
    <w:p>
      <w:pPr>
        <w:pStyle w:val="ArticleBody"/>
        <w:jc w:val="left"/>
      </w:pPr>
      <w:r>
        <w:rPr>
          <w:rFonts w:ascii="Nirmala UI" w:hAnsi="Nirmala UI" w:eastAsia="Nirmala UI" w:cs="Nirmala UI"/>
        </w:rPr>
        <w:t>എലീയാവു</w:t>
      </w:r>
      <w:r>
        <w:rPr>
          <w:rFonts w:ascii="Times New Roman" w:hAnsi="Times New Roman" w:eastAsia="Times New Roman" w:cs="Times New Roman"/>
        </w:rPr>
        <w:t xml:space="preserve"> </w:t>
      </w:r>
      <w:r>
        <w:rPr>
          <w:rFonts w:ascii="Nirmala UI" w:hAnsi="Nirmala UI" w:eastAsia="Nirmala UI" w:cs="Nirmala UI"/>
        </w:rPr>
        <w:t>അഹാബിനോടു</w:t>
      </w:r>
      <w:r>
        <w:rPr>
          <w:rFonts w:ascii="Times New Roman" w:hAnsi="Times New Roman" w:eastAsia="Times New Roman" w:cs="Times New Roman"/>
        </w:rPr>
        <w:t xml:space="preserve"> </w:t>
      </w:r>
      <w:r>
        <w:rPr>
          <w:rFonts w:ascii="Nirmala UI" w:hAnsi="Nirmala UI" w:eastAsia="Nirmala UI" w:cs="Nirmala UI"/>
        </w:rPr>
        <w:t>പറഞ്ഞതു</w:t>
      </w:r>
      <w:r>
        <w:rPr>
          <w:rFonts w:ascii="Times New Roman" w:hAnsi="Times New Roman" w:eastAsia="Times New Roman" w:cs="Times New Roman"/>
        </w:rPr>
        <w:t xml:space="preserve"> </w:t>
      </w:r>
      <w:r>
        <w:rPr>
          <w:rFonts w:ascii="Nirmala UI" w:hAnsi="Nirmala UI" w:eastAsia="Nirmala UI" w:cs="Nirmala UI"/>
        </w:rPr>
        <w:t>യഥാർത്ഥത്തിൽ</w:t>
      </w:r>
      <w:r>
        <w:rPr>
          <w:rFonts w:ascii="Times New Roman" w:hAnsi="Times New Roman" w:eastAsia="Times New Roman" w:cs="Times New Roman"/>
        </w:rPr>
        <w:t xml:space="preserve"> </w:t>
      </w:r>
      <w:r>
        <w:rPr>
          <w:rFonts w:ascii="Nirmala UI" w:hAnsi="Nirmala UI" w:eastAsia="Nirmala UI" w:cs="Nirmala UI"/>
        </w:rPr>
        <w:t>തന്നെയോ</w:t>
      </w:r>
      <w:r>
        <w:rPr>
          <w:rFonts w:ascii="Times New Roman" w:hAnsi="Times New Roman" w:eastAsia="Times New Roman" w:cs="Times New Roman"/>
        </w:rPr>
        <w:t xml:space="preserve"> </w:t>
      </w:r>
      <w:r>
        <w:rPr>
          <w:rFonts w:ascii="Nirmala UI" w:hAnsi="Nirmala UI" w:eastAsia="Nirmala UI" w:cs="Nirmala UI"/>
        </w:rPr>
        <w:t>ഉദ്ദേശിച്ചതായത്</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നാളുകളിൽ</w:t>
      </w:r>
      <w:r>
        <w:rPr>
          <w:rFonts w:ascii="Times New Roman" w:hAnsi="Times New Roman" w:eastAsia="Times New Roman" w:cs="Times New Roman"/>
        </w:rPr>
        <w:t xml:space="preserve">, </w:t>
      </w:r>
      <w:r>
        <w:rPr>
          <w:rFonts w:ascii="Nirmala UI" w:hAnsi="Nirmala UI" w:eastAsia="Nirmala UI" w:cs="Nirmala UI"/>
        </w:rPr>
        <w:t>എലീയാവിന്റെ</w:t>
      </w:r>
      <w:r>
        <w:rPr>
          <w:rFonts w:ascii="Times New Roman" w:hAnsi="Times New Roman" w:eastAsia="Times New Roman" w:cs="Times New Roman"/>
        </w:rPr>
        <w:t xml:space="preserve"> </w:t>
      </w:r>
      <w:r>
        <w:rPr>
          <w:rFonts w:ascii="Nirmala UI" w:hAnsi="Nirmala UI" w:eastAsia="Nirmala UI" w:cs="Nirmala UI"/>
        </w:rPr>
        <w:t>പ്രസ്ഥാനംവും</w:t>
      </w:r>
      <w:r>
        <w:rPr>
          <w:rFonts w:ascii="Times New Roman" w:hAnsi="Times New Roman" w:eastAsia="Times New Roman" w:cs="Times New Roman"/>
        </w:rPr>
        <w:t xml:space="preserve"> </w:t>
      </w:r>
      <w:r>
        <w:rPr>
          <w:rFonts w:ascii="Nirmala UI" w:hAnsi="Nirmala UI" w:eastAsia="Nirmala UI" w:cs="Nirmala UI"/>
        </w:rPr>
        <w:t>സന്ദേശവും</w:t>
      </w:r>
      <w:r>
        <w:rPr>
          <w:rFonts w:ascii="Times New Roman" w:hAnsi="Times New Roman" w:eastAsia="Times New Roman" w:cs="Times New Roman"/>
        </w:rPr>
        <w:t xml:space="preserve"> </w:t>
      </w:r>
      <w:r>
        <w:rPr>
          <w:rFonts w:ascii="Nirmala UI" w:hAnsi="Nirmala UI" w:eastAsia="Nirmala UI" w:cs="Nirmala UI"/>
        </w:rPr>
        <w:t>സമ്പൂർണ്ണമായി</w:t>
      </w:r>
      <w:r>
        <w:rPr>
          <w:rFonts w:ascii="Times New Roman" w:hAnsi="Times New Roman" w:eastAsia="Times New Roman" w:cs="Times New Roman"/>
        </w:rPr>
        <w:t xml:space="preserve"> </w:t>
      </w:r>
      <w:r>
        <w:rPr>
          <w:rFonts w:ascii="Nirmala UI" w:hAnsi="Nirmala UI" w:eastAsia="Nirmala UI" w:cs="Nirmala UI"/>
        </w:rPr>
        <w:t>നിവൃത്തിയാകുമ്പോൾ</w:t>
      </w:r>
      <w:r>
        <w:rPr>
          <w:rFonts w:ascii="Times New Roman" w:hAnsi="Times New Roman" w:eastAsia="Times New Roman" w:cs="Times New Roman"/>
        </w:rPr>
        <w:t>,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വചനപ്രകാരം</w:t>
      </w:r>
      <w:r>
        <w:rPr>
          <w:rFonts w:ascii="Times New Roman" w:hAnsi="Times New Roman" w:eastAsia="Times New Roman" w:cs="Times New Roman"/>
        </w:rPr>
        <w:t xml:space="preserve"> </w:t>
      </w:r>
      <w:r>
        <w:rPr>
          <w:rFonts w:ascii="Nirmala UI" w:hAnsi="Nirmala UI" w:eastAsia="Nirmala UI" w:cs="Nirmala UI"/>
        </w:rPr>
        <w:t>അല്ലാതെ</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വർഷങ്ങളിൽ</w:t>
      </w:r>
      <w:r>
        <w:rPr>
          <w:rFonts w:ascii="Times New Roman" w:hAnsi="Times New Roman" w:eastAsia="Times New Roman" w:cs="Times New Roman"/>
        </w:rPr>
        <w:t xml:space="preserve"> </w:t>
      </w:r>
      <w:r>
        <w:rPr>
          <w:rFonts w:ascii="Nirmala UI" w:hAnsi="Nirmala UI" w:eastAsia="Nirmala UI" w:cs="Nirmala UI"/>
        </w:rPr>
        <w:t>മഞ്ഞും</w:t>
      </w:r>
      <w:r>
        <w:rPr>
          <w:rFonts w:ascii="Times New Roman" w:hAnsi="Times New Roman" w:eastAsia="Times New Roman" w:cs="Times New Roman"/>
        </w:rPr>
        <w:t xml:space="preserve"> </w:t>
      </w:r>
      <w:r>
        <w:rPr>
          <w:rFonts w:ascii="Nirmala UI" w:hAnsi="Nirmala UI" w:eastAsia="Nirmala UI" w:cs="Nirmala UI"/>
        </w:rPr>
        <w:t>മഴയും</w:t>
      </w:r>
      <w:r>
        <w:rPr>
          <w:rFonts w:ascii="Times New Roman" w:hAnsi="Times New Roman" w:eastAsia="Times New Roman" w:cs="Times New Roman"/>
        </w:rPr>
        <w:t xml:space="preserve"> </w:t>
      </w:r>
      <w:r>
        <w:rPr>
          <w:rFonts w:ascii="Nirmala UI" w:hAnsi="Nirmala UI" w:eastAsia="Nirmala UI" w:cs="Nirmala UI"/>
        </w:rPr>
        <w:t>ഉണ്ടാകയില്ല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പറഞ്ഞതു</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യഥാർത്ഥത്തിൽ</w:t>
      </w:r>
      <w:r>
        <w:rPr>
          <w:rFonts w:ascii="Times New Roman" w:hAnsi="Times New Roman" w:eastAsia="Times New Roman" w:cs="Times New Roman"/>
        </w:rPr>
        <w:t xml:space="preserve"> </w:t>
      </w:r>
      <w:r>
        <w:rPr>
          <w:rFonts w:ascii="Nirmala UI" w:hAnsi="Nirmala UI" w:eastAsia="Nirmala UI" w:cs="Nirmala UI"/>
        </w:rPr>
        <w:t>തന്നെയോ</w:t>
      </w:r>
      <w:r>
        <w:rPr>
          <w:rFonts w:ascii="Times New Roman" w:hAnsi="Times New Roman" w:eastAsia="Times New Roman" w:cs="Times New Roman"/>
        </w:rPr>
        <w:t xml:space="preserve"> </w:t>
      </w:r>
      <w:r>
        <w:rPr>
          <w:rFonts w:ascii="Nirmala UI" w:hAnsi="Nirmala UI" w:eastAsia="Nirmala UI" w:cs="Nirmala UI"/>
        </w:rPr>
        <w:t>ഉദ്ദേശിച്ചത്</w:t>
      </w:r>
      <w:r>
        <w:rPr>
          <w:rFonts w:ascii="Times New Roman" w:hAnsi="Times New Roman" w:eastAsia="Times New Roman" w:cs="Times New Roman"/>
        </w:rPr>
        <w:t xml:space="preserve">? </w:t>
      </w:r>
      <w:r>
        <w:rPr>
          <w:rFonts w:ascii="Nirmala UI" w:hAnsi="Nirmala UI" w:eastAsia="Nirmala UI" w:cs="Nirmala UI"/>
        </w:rPr>
        <w:t>എലീയാവു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വചനമല്ലാതെ</w:t>
      </w:r>
      <w:r>
        <w:rPr>
          <w:rFonts w:ascii="Times New Roman" w:hAnsi="Times New Roman" w:eastAsia="Times New Roman" w:cs="Times New Roman"/>
        </w:rPr>
        <w:t xml:space="preserve"> </w:t>
      </w:r>
      <w:r>
        <w:rPr>
          <w:rFonts w:ascii="Nirmala UI" w:hAnsi="Nirmala UI" w:eastAsia="Nirmala UI" w:cs="Nirmala UI"/>
        </w:rPr>
        <w:t>തടഞ്ഞുവെക്കപ്പെടുന്നതായി</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xml:space="preserve"> “</w:t>
      </w:r>
      <w:r>
        <w:rPr>
          <w:rFonts w:ascii="Nirmala UI" w:hAnsi="Nirmala UI" w:eastAsia="Nirmala UI" w:cs="Nirmala UI"/>
        </w:rPr>
        <w:t>മഴ</w:t>
      </w:r>
      <w:r>
        <w:rPr>
          <w:rFonts w:ascii="Times New Roman" w:hAnsi="Times New Roman" w:eastAsia="Times New Roman" w:cs="Times New Roman"/>
        </w:rPr>
        <w:t xml:space="preserve">,” </w:t>
      </w:r>
      <w:r>
        <w:rPr>
          <w:rFonts w:ascii="Nirmala UI" w:hAnsi="Nirmala UI" w:eastAsia="Nirmala UI" w:cs="Nirmala UI"/>
        </w:rPr>
        <w:t>മലാഖി</w:t>
      </w:r>
      <w:r>
        <w:rPr>
          <w:rFonts w:ascii="Times New Roman" w:hAnsi="Times New Roman" w:eastAsia="Times New Roman" w:cs="Times New Roman"/>
        </w:rPr>
        <w:t xml:space="preserve"> </w:t>
      </w:r>
      <w:r>
        <w:rPr>
          <w:rFonts w:ascii="Nirmala UI" w:hAnsi="Nirmala UI" w:eastAsia="Nirmala UI" w:cs="Nirmala UI"/>
        </w:rPr>
        <w:t>അനുഗ്രഹമായി</w:t>
      </w:r>
      <w:r>
        <w:rPr>
          <w:rFonts w:ascii="Times New Roman" w:hAnsi="Times New Roman" w:eastAsia="Times New Roman" w:cs="Times New Roman"/>
        </w:rPr>
        <w:t xml:space="preserve"> </w:t>
      </w:r>
      <w:r>
        <w:rPr>
          <w:rFonts w:ascii="Nirmala UI" w:hAnsi="Nirmala UI" w:eastAsia="Nirmala UI" w:cs="Nirmala UI"/>
        </w:rPr>
        <w:t>വാഗ്ദാനം</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മഴ</w:t>
      </w:r>
      <w:r>
        <w:rPr>
          <w:rFonts w:ascii="Times New Roman" w:hAnsi="Times New Roman" w:eastAsia="Times New Roman" w:cs="Times New Roman"/>
        </w:rPr>
        <w:t>”</w:t>
      </w:r>
      <w:r>
        <w:rPr>
          <w:rFonts w:ascii="Nirmala UI" w:hAnsi="Nirmala UI" w:eastAsia="Nirmala UI" w:cs="Nirmala UI"/>
        </w:rPr>
        <w:t>യോടു</w:t>
      </w:r>
      <w:r>
        <w:rPr>
          <w:rFonts w:ascii="Times New Roman" w:hAnsi="Times New Roman" w:eastAsia="Times New Roman" w:cs="Times New Roman"/>
        </w:rPr>
        <w:t xml:space="preserve"> </w:t>
      </w:r>
      <w:r>
        <w:rPr>
          <w:rFonts w:ascii="Nirmala UI" w:hAnsi="Nirmala UI" w:eastAsia="Nirmala UI" w:cs="Nirmala UI"/>
        </w:rPr>
        <w:t>ഒത്തു</w:t>
      </w:r>
      <w:r>
        <w:rPr>
          <w:rFonts w:ascii="Times New Roman" w:hAnsi="Times New Roman" w:eastAsia="Times New Roman" w:cs="Times New Roman"/>
        </w:rPr>
        <w:t xml:space="preserve"> </w:t>
      </w:r>
      <w:r>
        <w:rPr>
          <w:rFonts w:ascii="Nirmala UI" w:hAnsi="Nirmala UI" w:eastAsia="Nirmala UI" w:cs="Nirmala UI"/>
        </w:rPr>
        <w:t>ചേരുന്നുവോ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Aporteu tots els delmes al rebost, perquè hi hagi aliment a casa meva, i proveu-me ara en això, diu el Senyor dels exèrcits, si no us obriré les finestres del cel i vessaré damunt vostre una benedicció fins que no hi hagi prou espai per a rebre-la. Malaquies 3:10.</w:t>
      </w:r>
    </w:p>
    <w:p>
      <w:pPr>
        <w:pStyle w:val="ArticleBody"/>
        <w:jc w:val="left"/>
      </w:pP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चढ़ावे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दशमांश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दुरुपयोग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2023-жылдын июль айынын аягында биз, негизинен, «Хабаккуктун такталары» деп аталган изилдөөлөр топтомундагы кабардын кайталанышы болгон макалаларды жарыялай баштадык. Азыркы берилиштин айырмасы — 2020-жылдын 18-июлунан кийин Теңир эски окутуулардын айрымдарын жаңы жарыкта көрсөтө баштаганында.</w:t>
      </w:r>
    </w:p>
    <w:p>
      <w:pPr>
        <w:pStyle w:val="ArticleBody"/>
        <w:jc w:val="left"/>
      </w:pPr>
      <w:r>
        <w:rPr>
          <w:rFonts w:ascii="Times New Roman" w:hAnsi="Times New Roman" w:eastAsia="Times New Roman" w:cs="Times New Roman"/>
        </w:rPr>
        <w:t>Dia mulai menyingkapkan hal-hal yang tampak bagiku mendalam, tetapi secara pribadi aku telah kehilangan kepekaan dan tidak bersedia lagi terhubung dengan pekerjaan yang sebelumnya telah dipercayakan kepadaku untuk diselesaikan. Sejak 19 Juli 2020, aku memahami bahwa prediksi pada hari sebelumnya itu keliru, dan bahwa secara pribadi aku lebih bertanggung jawab atas prediksi yang berdosa itu beserta akibatnya yang mengerikan daripada siapa pun juga.</w:t>
      </w:r>
    </w:p>
    <w:p>
      <w:pPr>
        <w:pStyle w:val="ArticleBody"/>
        <w:jc w:val="left"/>
      </w:pPr>
      <w:r>
        <w:rPr>
          <w:rFonts w:ascii="Times New Roman" w:hAnsi="Times New Roman" w:eastAsia="Times New Roman" w:cs="Times New Roman"/>
        </w:rPr>
        <w:t>Puis, en juillet 2023, je fus saisi d’une conviction profonde : malgré mon échec complet comme dirigeant du mouvement de Dieu du troisième ange, je devais au moins commencer à mettre par écrit ce que j’en étais venu à comprendre depuis juillet 2020. Je résolus de consigner par écrit ce qui m’avait été révélé depuis le péché du 18 juillet 2020, puis de le verser au domaine public avant d’être mis au repos.</w:t>
      </w:r>
    </w:p>
    <w:p>
      <w:pPr>
        <w:pStyle w:val="ArticleBody"/>
        <w:jc w:val="left"/>
      </w:pPr>
      <w:r>
        <w:rPr>
          <w:rFonts w:ascii="Times New Roman" w:hAnsi="Times New Roman" w:eastAsia="Times New Roman" w:cs="Times New Roman"/>
        </w:rPr>
        <w:t>Ao longo dos três meses desde julho, há mais de setenta países ao redor do mundo que agora estão acompanhando estes artigos. Sim, sem dúvida alguns os acompanham com propósitos e intenções ímpios, mas não todos. Estamos à beira de ativar um programa que colocará estes artigos em todas as principais línguas do planeta Terra, pois, até este ponto, esses mais de setenta países são forçados a considerar estas verdades somente na língua inglesa.</w:t>
      </w:r>
    </w:p>
    <w:p>
      <w:pPr>
        <w:pStyle w:val="ArticleBody"/>
        <w:jc w:val="left"/>
      </w:pPr>
      <w:r>
        <w:rPr>
          <w:rFonts w:ascii="Times New Roman" w:hAnsi="Times New Roman" w:eastAsia="Times New Roman" w:cs="Times New Roman"/>
        </w:rPr>
        <w:t>Nous travaillons déjà à venir en aide à certains, à travers le monde, qui n’ont ni les moyens ni les possibilités de faire grand-chose avec ces vérités, et je me demande si le « trésor » de Malachie, dont la finalité définie est de pourvoir à la « nourriture » dans la maison de Dieu, ne fait pas référence à l’œuvre de diffusion de la vérité qui procède de ces articles depuis juillet 2023.</w:t>
      </w:r>
    </w:p>
    <w:p>
      <w:pPr>
        <w:pStyle w:val="ArticleBody"/>
        <w:jc w:val="left"/>
      </w:pPr>
      <w:r>
        <w:rPr>
          <w:rFonts w:ascii="Times New Roman" w:hAnsi="Times New Roman" w:eastAsia="Times New Roman" w:cs="Times New Roman"/>
        </w:rPr>
        <w:t>Vi vil begynne vår behandling av Daniel kapittel tre i den neste artikkelen.</w:t>
      </w:r>
    </w:p>
    <w:p>
      <w:pPr>
        <w:pStyle w:val="ArticleScripture"/>
        <w:jc w:val="left"/>
      </w:pPr>
      <w:r>
        <w:rPr>
          <w:rFonts w:ascii="Microsoft YaHei" w:hAnsi="Microsoft YaHei" w:eastAsia="Microsoft YaHei" w:cs="Microsoft YaHei"/>
        </w:rPr>
        <w:t>「</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निभाना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समर्पित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लगेंगे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नाशमान</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काश</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कलीसियाएँ</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«Արիշերային տեսիլքներում իմ առջև անցնում էին Աստծու ժողովրդի մեջ տեղի ունեցող մի մեծ բարենորոգչական շարժման պատկերներ։ Շատերը փառաբանում էին Աստծուն։ Հիվանդները բժշկվում էին, և այլ հրաշքներ էին կատարվում։ Տեսանելի էր բարեխոսության մի ոգի, ինչպես որ դրսևորվեց Պենտեկոստեի մեծ օրվանից առաջ։ Հարյուրավորներ և հազարավորներ էին երևում, որ այցելում էին ընտանիքներ և նրանց առջև բացում Աստծու խոսքը։ Սրտերը խոնարհվում էին Սուրբ Հոգու զորությամբ, և իսկական դարձի մի ոգի էր դրսևորվում։ Ամեն կողմում դռներ էին լայնորեն բացվում ճշմարտության հռչակման համար։ Աշխարհը թվում էր լուսավորված երկնային ազդեցությամբ։ Մեծ օրհնություններ էին ստացվում Աստծու ճշմարիտ և խոնարհ ժողովրդի կողմից։ Ես լսում էի գոհության և փառաբանության ձայներ, և թվում էր, թե տեղի էր ունենում մի բարենորոգություն, ինչպիսին մենք ականատես եղանք 1844 թվականին։»</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有些人竟拒绝悔改归正</w:t>
      </w:r>
      <w:r>
        <w:rPr>
          <w:rFonts w:ascii="Times New Roman" w:hAnsi="Times New Roman" w:eastAsia="Times New Roman" w:cs="Times New Roman"/>
        </w:rPr>
        <w:t>.</w:t>
      </w:r>
      <w:r>
        <w:rPr>
          <w:rFonts w:ascii="Microsoft YaHei" w:hAnsi="Microsoft YaHei" w:eastAsia="Microsoft YaHei" w:cs="Microsoft YaHei"/>
        </w:rPr>
        <w:t>他们不愿行在上帝的道路中</w:t>
      </w:r>
      <w:r>
        <w:rPr>
          <w:rFonts w:ascii="Times New Roman" w:hAnsi="Times New Roman" w:eastAsia="Times New Roman" w:cs="Times New Roman"/>
        </w:rPr>
        <w:t>;</w:t>
      </w:r>
      <w:r>
        <w:rPr>
          <w:rFonts w:ascii="Microsoft YaHei" w:hAnsi="Microsoft YaHei" w:eastAsia="Microsoft YaHei" w:cs="Microsoft YaHei"/>
        </w:rPr>
        <w:t>及至为使上帝的圣工得以推进而发出甘心乐意奉献的呼吁时</w:t>
      </w:r>
      <w:r>
        <w:rPr>
          <w:rFonts w:ascii="Times New Roman" w:hAnsi="Times New Roman" w:eastAsia="Times New Roman" w:cs="Times New Roman"/>
        </w:rPr>
        <w:t>,</w:t>
      </w:r>
      <w:r>
        <w:rPr>
          <w:rFonts w:ascii="Microsoft YaHei" w:hAnsi="Microsoft YaHei" w:eastAsia="Microsoft YaHei" w:cs="Microsoft YaHei"/>
        </w:rPr>
        <w:t>有些人却出于自私</w:t>
      </w:r>
      <w:r>
        <w:rPr>
          <w:rFonts w:ascii="Times New Roman" w:hAnsi="Times New Roman" w:eastAsia="Times New Roman" w:cs="Times New Roman"/>
        </w:rPr>
        <w:t>,</w:t>
      </w:r>
      <w:r>
        <w:rPr>
          <w:rFonts w:ascii="Microsoft YaHei" w:hAnsi="Microsoft YaHei" w:eastAsia="Microsoft YaHei" w:cs="Microsoft YaHei"/>
        </w:rPr>
        <w:t>紧抓着自己属世的财物不放</w:t>
      </w:r>
      <w:r>
        <w:rPr>
          <w:rFonts w:ascii="Times New Roman" w:hAnsi="Times New Roman" w:eastAsia="Times New Roman" w:cs="Times New Roman"/>
        </w:rPr>
        <w:t>.</w:t>
      </w:r>
      <w:r>
        <w:rPr>
          <w:rFonts w:ascii="Microsoft YaHei" w:hAnsi="Microsoft YaHei" w:eastAsia="Microsoft YaHei" w:cs="Microsoft YaHei"/>
        </w:rPr>
        <w:t>这些贪恋财利的人</w:t>
      </w:r>
      <w:r>
        <w:rPr>
          <w:rFonts w:ascii="Times New Roman" w:hAnsi="Times New Roman" w:eastAsia="Times New Roman" w:cs="Times New Roman"/>
        </w:rPr>
        <w:t>,</w:t>
      </w:r>
      <w:r>
        <w:rPr>
          <w:rFonts w:ascii="Microsoft YaHei" w:hAnsi="Microsoft YaHei" w:eastAsia="Microsoft YaHei" w:cs="Microsoft YaHei"/>
        </w:rPr>
        <w:t>便与信徒的团体分离了</w:t>
      </w:r>
      <w:r>
        <w:rPr>
          <w:rFonts w:ascii="Times New Roman" w:hAnsi="Times New Roman" w:eastAsia="Times New Roman" w:cs="Times New Roman"/>
        </w:rPr>
        <w:t>. ”</w:t>
      </w:r>
    </w:p>
    <w:p>
      <w:pPr>
        <w:pStyle w:val="ArticleScripture"/>
        <w:jc w:val="left"/>
      </w:pPr>
      <w:r>
        <w:rPr>
          <w:rFonts w:ascii="Times New Roman" w:hAnsi="Times New Roman" w:eastAsia="Times New Roman" w:cs="Times New Roman"/>
        </w:rPr>
        <w:t>«Les jugements de Dieu sont dans la terre et, sous l’influence du Saint-Esprit, nous devons donner le message d’avertissement qu’Il nous a confié. Nous devons donner ce message rapidement, ligne sur ligne, précepte sur précepte. Les hommes seront bientôt contraints de prendre de grandes décisions, et il est de notre devoir de veiller à ce qu’il leur soit donné l’occasion de comprendre la vérité, afin qu’ils puissent prendre intelligemment position du bon côté. Le Seigneur appelle Son peuple à travailler — à travailler avec ardeur et sagesse — tandis que le temps de grâce se prolonge encore.»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Kumi na Tano</dc:title>
  <dc:subject>Kitabu cha Danieli Sura ya Pili – Muhtasari na Hitimisho Sehemu ya Pili</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