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Le Livre de Daniel - Numéro cent soixante-deux</w:t>
      </w:r>
    </w:p>
    <w:p>
      <w:pPr>
        <w:pStyle w:val="ArticleSubtitle"/>
        <w:jc w:val="left"/>
      </w:pPr>
      <w:r>
        <w:rPr>
          <w:rFonts w:ascii="Arial" w:hAnsi="Arial" w:eastAsia="Arial" w:cs="Arial"/>
        </w:rPr>
        <w:t>Wakati wa Kiunabii wa Roma: Kufunua Maono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2024-03-27</w:t>
      </w:r>
    </w:p>
    <w:p>
      <w:pPr>
        <w:pStyle w:val="ArticleBody"/>
        <w:jc w:val="left"/>
      </w:pPr>
      <w:r>
        <w:rPr>
          <w:rFonts w:ascii="Times New Roman" w:hAnsi="Times New Roman" w:eastAsia="Times New Roman" w:cs="Times New Roman"/>
        </w:rPr>
        <w:t>Roma huanzisha maono, na Roma hufunuliwa katika “wakati” wake. Hili ni tamko la Dada White ambamo anaeleza kile kinachopaswa kueleweka kuwa kilicho dhahiri:</w:t>
      </w:r>
    </w:p>
    <w:p>
      <w:pPr>
        <w:pStyle w:val="ArticleScripture"/>
        <w:jc w:val="left"/>
      </w:pPr>
      <w:r>
        <w:rPr>
          <w:rFonts w:ascii="Times New Roman" w:hAnsi="Times New Roman" w:eastAsia="Times New Roman" w:cs="Times New Roman"/>
        </w:rPr>
        <w:t>«L’Apocalisse è un libro sigillato, ma è anche un libro aperto. Essa riporta eventi meravigliosi che devono aver luogo negli ultimi giorni della storia di questa terra. Gli insegnamenti di questo libro sono definiti, non mistici e incomprensibili. In esso viene ripresa la stessa linea profetica che si trova in Daniele. Alcune profezie Dio le ha ripetute, mostrando così che ad esse deve essere attribuita importanza. Il Signore non ripete cose che non siano di grande conseguenza». Manuscript Releases, volume 9, 8.</w:t>
      </w:r>
    </w:p>
    <w:p>
      <w:pPr>
        <w:pStyle w:val="ArticleBody"/>
        <w:jc w:val="left"/>
      </w:pPr>
      <w:r>
        <w:rPr>
          <w:rFonts w:ascii="Times New Roman" w:hAnsi="Times New Roman" w:eastAsia="Times New Roman" w:cs="Times New Roman"/>
        </w:rPr>
        <w:t>« Seigneur ne répète pas des choses sans grande conséquence », et les « temps » associés à Rome sont répétés encore et encore. Il est de « grande conséquence » de comprendre le « temps » associé à Rome, car c’est ce qui révèle Rome comme le sujet qui établit la vision. À sept reprises, les mille deux cent soixante années de la domination papale sont mentionnées directement dans Daniel et l’Apocalypse.</w:t>
      </w:r>
    </w:p>
    <w:p>
      <w:pPr>
        <w:pStyle w:val="ArticleScripture"/>
        <w:jc w:val="left"/>
      </w:pPr>
      <w:r>
        <w:rPr>
          <w:rFonts w:ascii="Times New Roman" w:hAnsi="Times New Roman" w:eastAsia="Times New Roman" w:cs="Times New Roman"/>
        </w:rPr>
        <w:t>Ataongea maneno makuu dhidi ya Aliye juu sana, naye atawatesa watakatifu wa Aliye juu sana, na atadhani kubadili nyakati na sheria; nao watatiwa mkononi mwake hata wakati mmoja na nyakati mbili na nusu wakati. Danieli 7:25.</w:t>
      </w:r>
    </w:p>
    <w:p>
      <w:pPr>
        <w:pStyle w:val="ArticleScripture"/>
        <w:jc w:val="left"/>
      </w:pPr>
      <w:r>
        <w:rPr>
          <w:rFonts w:ascii="Times New Roman" w:hAnsi="Times New Roman" w:eastAsia="Times New Roman" w:cs="Times New Roman"/>
        </w:rPr>
        <w:t>Og jeg hørte mannen kledd i lin, han som var over elvens vann; da han løftet sin høyre hånd og sin venstre hånd opp mot himmelen og svor ved ham som lever i all evighet, at det skal være for en tid, tider og en halv tid; og når han har fullført å knuse det hellige folks makt, da skal alle disse ting være fullendt. Daniel 12:7.</w:t>
      </w:r>
    </w:p>
    <w:p>
      <w:pPr>
        <w:pStyle w:val="ArticleScripture"/>
        <w:jc w:val="left"/>
      </w:pPr>
      <w:r>
        <w:rPr>
          <w:rFonts w:ascii="Times New Roman" w:hAnsi="Times New Roman" w:eastAsia="Times New Roman" w:cs="Times New Roman"/>
        </w:rPr>
        <w:t>Mais exclue le parvis qui est hors du temple, et ne le mesure point ; car il a été donné aux nations ; et elles fouleront aux pieds la ville sainte pendant quarante-deux mois. Apocalypse 11:2.</w:t>
      </w:r>
    </w:p>
    <w:p>
      <w:pPr>
        <w:pStyle w:val="ArticleScripture"/>
        <w:jc w:val="left"/>
      </w:pPr>
      <w:r>
        <w:rPr>
          <w:rFonts w:ascii="Microsoft YaHei" w:hAnsi="Microsoft YaHei" w:eastAsia="Microsoft YaHei" w:cs="Microsoft YaHei"/>
        </w:rPr>
        <w:t>我必賜能力給我那兩個見證人</w:t>
      </w:r>
      <w:r>
        <w:rPr>
          <w:rFonts w:ascii="Times New Roman" w:hAnsi="Times New Roman" w:eastAsia="Times New Roman" w:cs="Times New Roman"/>
        </w:rPr>
        <w:t>,</w:t>
      </w:r>
      <w:r>
        <w:rPr>
          <w:rFonts w:ascii="Microsoft YaHei" w:hAnsi="Microsoft YaHei" w:eastAsia="Microsoft YaHei" w:cs="Microsoft YaHei"/>
        </w:rPr>
        <w:t>他們要穿著麻衣</w:t>
      </w:r>
      <w:r>
        <w:rPr>
          <w:rFonts w:ascii="Times New Roman" w:hAnsi="Times New Roman" w:eastAsia="Times New Roman" w:cs="Times New Roman"/>
        </w:rPr>
        <w:t>,</w:t>
      </w:r>
      <w:r>
        <w:rPr>
          <w:rFonts w:ascii="Microsoft YaHei" w:hAnsi="Microsoft YaHei" w:eastAsia="Microsoft YaHei" w:cs="Microsoft YaHei"/>
        </w:rPr>
        <w:t>說預言一千二百六十天</w:t>
      </w:r>
      <w:r>
        <w:rPr>
          <w:rFonts w:ascii="Times New Roman" w:hAnsi="Times New Roman" w:eastAsia="Times New Roman" w:cs="Times New Roman"/>
        </w:rPr>
        <w:t>.</w:t>
      </w:r>
      <w:r>
        <w:rPr>
          <w:rFonts w:ascii="Microsoft YaHei" w:hAnsi="Microsoft YaHei" w:eastAsia="Microsoft YaHei" w:cs="Microsoft YaHei"/>
        </w:rPr>
        <w:t>啟示錄</w:t>
      </w:r>
      <w:r>
        <w:rPr>
          <w:rFonts w:ascii="Times New Roman" w:hAnsi="Times New Roman" w:eastAsia="Times New Roman" w:cs="Times New Roman"/>
        </w:rPr>
        <w:t xml:space="preserve"> 11:3</w:t>
      </w:r>
    </w:p>
    <w:p>
      <w:pPr>
        <w:pStyle w:val="ArticleScripture"/>
        <w:jc w:val="left"/>
      </w:pPr>
      <w:r>
        <w:rPr>
          <w:rFonts w:ascii="Times New Roman" w:hAnsi="Times New Roman" w:eastAsia="Times New Roman" w:cs="Times New Roman"/>
        </w:rPr>
        <w:t>Na taŋɔli o dii bo suga ni, siɛla ka Wina’am ma’a a yela o nɛ, ka ba tumi diis o anina daa tusir yenni la a piiga ayi’ ni pis tanu. Revelation 12:6.</w:t>
      </w:r>
    </w:p>
    <w:p>
      <w:pPr>
        <w:pStyle w:val="ArticleScripture"/>
        <w:jc w:val="left"/>
      </w:pPr>
      <w:r>
        <w:rPr>
          <w:rFonts w:ascii="Times New Roman" w:hAnsi="Times New Roman" w:eastAsia="Times New Roman" w:cs="Times New Roman"/>
        </w:rPr>
        <w:t>Na mwasi apesamaki mapapu mibale ya mpongo monene, mpo ete apumbwa na esobe, na esika na ye, epai azali koleisama mpo na ntango moko, mpe bantango, mpe ndambo ya ntango, mosika na elongi ya nyoka. Emoniseli 12:14.</w:t>
      </w:r>
    </w:p>
    <w:p>
      <w:pPr>
        <w:pStyle w:val="ArticleScripture"/>
        <w:jc w:val="left"/>
      </w:pPr>
      <w:r>
        <w:rPr>
          <w:rFonts w:ascii="Times New Roman" w:hAnsi="Times New Roman" w:eastAsia="Times New Roman" w:cs="Times New Roman"/>
        </w:rPr>
        <w:t>Et on lui donna une bouche qui proférait de grandes choses et des blasphèmes; et il lui fut donné le pouvoir d’agir pendant quarante-deux mois. Apocalypse 13:5.</w:t>
      </w:r>
    </w:p>
    <w:p>
      <w:pPr>
        <w:pStyle w:val="ArticleBody"/>
        <w:jc w:val="left"/>
      </w:pPr>
      <w:r>
        <w:rPr>
          <w:rFonts w:ascii="Times New Roman" w:hAnsi="Times New Roman" w:eastAsia="Times New Roman" w:cs="Times New Roman"/>
        </w:rPr>
        <w:t>Ces sept références directes présentent diverses caractéristiques prophétiques particulières de Rome. C’est dans ces passages que Rome est révélée. Sœur White ajoute que ces périodes sont aussi représentées comme « trois ans et demi ou 1260 jours ». Vous ne trouvez dans la Bible ni « trois ans et demi » ni « mille deux cent soixante jours ». Sœur White ne fait qu’appliquer en conséquence le calcul des sept références.</w:t>
      </w:r>
    </w:p>
    <w:p>
      <w:pPr>
        <w:pStyle w:val="ArticleScripture"/>
        <w:jc w:val="left"/>
      </w:pPr>
      <w:r>
        <w:rPr>
          <w:rFonts w:ascii="Times New Roman" w:hAnsi="Times New Roman" w:eastAsia="Times New Roman" w:cs="Times New Roman"/>
        </w:rPr>
        <w:t>n chapitre 13 (versets 1–10), il est décrit une autre bête, « semblable à un léopard », à laquelle le dragon donna « sa puissance, et son trône, et une grande autorité ». Ce symbole, comme la plupart des protestants l’ont cru, représente la papauté, qui succéda à la puissance, au siège et à l’autorité autrefois détenus par l’ancien empire romain. Au sujet de la bête semblable à un léopard, il est déclaré : « Il lui fut donné une bouche qui proférait de grandes choses et des blasphèmes…. Et elle ouvrit sa bouche pour proférer des blasphèmes contre Dieu, pour blasphémer Son nom, et Son tabernacle, et ceux qui habitent dans le ciel. Et il lui fut donné de faire la guerre aux saints, et de les vaincre ; et pouvoir lui fut donné sur toute tribu, et langue, et nation. » Cette prophétie, qui est presque identique à la description de la petite corne de Daniel 7, désigne sans aucun doute la papauté.</w:t>
      </w:r>
    </w:p>
    <w:p>
      <w:pPr>
        <w:pStyle w:val="ArticleScripture"/>
        <w:jc w:val="left"/>
      </w:pPr>
      <w:r>
        <w:rPr>
          <w:rFonts w:ascii="Times New Roman" w:hAnsi="Times New Roman" w:eastAsia="Times New Roman" w:cs="Times New Roman"/>
        </w:rPr>
        <w:t>«Զօրություն տրվեց նրան՝ շարունակելու քառասուն և երկու ամիս»։ Եվ, ասում է մարգարեն, «տեսա նրա գլուխներից մեկը՝ իբրև մահացու վիրավորված»։ Եվ դարձյալ. «Ով գերության է տանում, ինքը պիտի գնա գերության. ով սրով սպանում է, ինքը պիտի սրով սպանվի»։ Քառասուն և երկու ամիսը նույնն են, ինչ «ժամանակ, ժամանակներ և կես ժամանակը»՝ երեք ու կես տարին, կամ Դանիել 7-ի 1260 օրերը, այն ժամանակահատվածը, որի ընթացքում պապական իշխանությունը պիտի ճնշեր Աստծո ժողովրդին։ Այս ժամանակաշրջանը, ինչպես ասված է նախորդ գլուխներում, սկսվեց պապության գերիշխանությամբ՝ մ.թ. 538 թվականին, և ավարտվեց 1798 թվականին։ Այդ ժամանակ պապը գերեվարվեց ֆրանսիական բանակի կողմից, պապական իշխանությունը ստացավ իր մահացու վերքը, և կատարվեց մարգարեությունը. «Ով գերության է տանում, ինքը պիտի գնա գերության»։ The Great Controversy, 439.</w:t>
      </w:r>
    </w:p>
    <w:p>
      <w:pPr>
        <w:pStyle w:val="ArticleBody"/>
        <w:jc w:val="left"/>
      </w:pPr>
      <w:r>
        <w:rPr>
          <w:rFonts w:ascii="Leelawadee UI" w:hAnsi="Leelawadee UI" w:eastAsia="Leelawadee UI" w:cs="Leelawadee UI"/>
        </w:rPr>
        <w:t>ដោយសិទ្ធិអំណាចដែលបានទទួលការបំផុសគំនិត</w:t>
      </w:r>
      <w:r>
        <w:rPr>
          <w:rFonts w:ascii="Times New Roman" w:hAnsi="Times New Roman" w:eastAsia="Times New Roman" w:cs="Times New Roman"/>
        </w:rPr>
        <w:t xml:space="preserve"> </w:t>
      </w:r>
      <w:r>
        <w:rPr>
          <w:rFonts w:ascii="Leelawadee UI" w:hAnsi="Leelawadee UI" w:eastAsia="Leelawadee UI" w:cs="Leelawadee UI"/>
        </w:rPr>
        <w:t>ក្នុងការចាត់ទុករយៈពេលបីឆ្នាំកន្លះផងដែរថាជា</w:t>
      </w:r>
      <w:r>
        <w:rPr>
          <w:rFonts w:ascii="Times New Roman" w:hAnsi="Times New Roman" w:eastAsia="Times New Roman" w:cs="Times New Roman"/>
        </w:rPr>
        <w:t xml:space="preserve"> «</w:t>
      </w:r>
      <w:r>
        <w:rPr>
          <w:rFonts w:ascii="Leelawadee UI" w:hAnsi="Leelawadee UI" w:eastAsia="Leelawadee UI" w:cs="Leelawadee UI"/>
        </w:rPr>
        <w:t>ពេលវេលា</w:t>
      </w:r>
      <w:r>
        <w:rPr>
          <w:rFonts w:ascii="Times New Roman" w:hAnsi="Times New Roman" w:eastAsia="Times New Roman" w:cs="Times New Roman"/>
        </w:rPr>
        <w:t xml:space="preserve">» </w:t>
      </w:r>
      <w:r>
        <w:rPr>
          <w:rFonts w:ascii="Leelawadee UI" w:hAnsi="Leelawadee UI" w:eastAsia="Leelawadee UI" w:cs="Leelawadee UI"/>
        </w:rPr>
        <w:t>ដែល</w:t>
      </w:r>
      <w:r>
        <w:rPr>
          <w:rFonts w:ascii="Times New Roman" w:hAnsi="Times New Roman" w:eastAsia="Times New Roman" w:cs="Times New Roman"/>
        </w:rPr>
        <w:t xml:space="preserve"> «</w:t>
      </w:r>
      <w:r>
        <w:rPr>
          <w:rFonts w:ascii="Leelawadee UI" w:hAnsi="Leelawadee UI" w:eastAsia="Leelawadee UI" w:cs="Leelawadee UI"/>
        </w:rPr>
        <w:t>បង្ហាញ</w:t>
      </w:r>
      <w:r>
        <w:rPr>
          <w:rFonts w:ascii="Times New Roman" w:hAnsi="Times New Roman" w:eastAsia="Times New Roman" w:cs="Times New Roman"/>
        </w:rPr>
        <w:t xml:space="preserve">» </w:t>
      </w:r>
      <w:r>
        <w:rPr>
          <w:rFonts w:ascii="Leelawadee UI" w:hAnsi="Leelawadee UI" w:eastAsia="Leelawadee UI" w:cs="Leelawadee UI"/>
        </w:rPr>
        <w:t>ក្រុងរ៉ូម</w:t>
      </w:r>
      <w:r>
        <w:rPr>
          <w:rFonts w:ascii="Times New Roman" w:hAnsi="Times New Roman" w:eastAsia="Times New Roman" w:cs="Times New Roman"/>
        </w:rPr>
        <w:t xml:space="preserve"> </w:t>
      </w:r>
      <w:r>
        <w:rPr>
          <w:rFonts w:ascii="Leelawadee UI" w:hAnsi="Leelawadee UI" w:eastAsia="Leelawadee UI" w:cs="Leelawadee UI"/>
        </w:rPr>
        <w:t>នោះ</w:t>
      </w:r>
      <w:r>
        <w:rPr>
          <w:rFonts w:ascii="Times New Roman" w:hAnsi="Times New Roman" w:eastAsia="Times New Roman" w:cs="Times New Roman"/>
        </w:rPr>
        <w:t xml:space="preserve"> </w:t>
      </w:r>
      <w:r>
        <w:rPr>
          <w:rFonts w:ascii="Leelawadee UI" w:hAnsi="Leelawadee UI" w:eastAsia="Leelawadee UI" w:cs="Leelawadee UI"/>
        </w:rPr>
        <w:t>ឯកសារយោងព្រះគម្ពីរផ្សេងៗទៀតអំពីក្រុងរ៉ូមក៏លេចចេញមកដែរ។</w:t>
      </w:r>
    </w:p>
    <w:p>
      <w:pPr>
        <w:pStyle w:val="ArticleScripture"/>
        <w:jc w:val="left"/>
      </w:pPr>
      <w:r>
        <w:rPr>
          <w:rFonts w:ascii="Times New Roman" w:hAnsi="Times New Roman" w:eastAsia="Times New Roman" w:cs="Times New Roman"/>
        </w:rPr>
        <w:t>Lakini nawaambia kweli, kulikuwa na wajane wengi katika Israeli siku za Eliya, mbingu zilipofungwa kwa muda wa miaka mitatu na miezi sita, wakati njaa kuu ilipokuwa katika nchi yote. Luka 4:25.</w:t>
      </w:r>
    </w:p>
    <w:p>
      <w:pPr>
        <w:pStyle w:val="ArticleBody"/>
        <w:jc w:val="left"/>
      </w:pPr>
      <w:r>
        <w:rPr>
          <w:rFonts w:ascii="Times New Roman" w:hAnsi="Times New Roman" w:eastAsia="Times New Roman" w:cs="Times New Roman"/>
        </w:rPr>
        <w:t>Les trois ans et demi d’Élie relient cette période à Jézabel, qui est le symbole de la Rome papale dans l’Église de Thyatire.</w:t>
      </w:r>
    </w:p>
    <w:p>
      <w:pPr>
        <w:pStyle w:val="ArticleScripture"/>
        <w:jc w:val="left"/>
      </w:pPr>
      <w:r>
        <w:rPr>
          <w:rFonts w:ascii="Times New Roman" w:hAnsi="Times New Roman" w:eastAsia="Times New Roman" w:cs="Times New Roman"/>
        </w:rPr>
        <w:t>Men mwen gen kèk bagay kont ou, paske ou kite fanm sa a, Jezabèl, ki rele tèt li pwofetès, anseye epi sedwi sèvitè m yo pou yo fè fònikasyon, epi pou yo manje bagay yo te ofri bay zidòl. E mwen te ba li tan pou l repanti de fònikasyon li; men li pa t repanti. Revelasyon 2:20, 21.</w:t>
      </w:r>
    </w:p>
    <w:p>
      <w:pPr>
        <w:pStyle w:val="ArticleBody"/>
        <w:jc w:val="left"/>
      </w:pPr>
      <w:r>
        <w:rPr>
          <w:rFonts w:ascii="Times New Roman" w:hAnsi="Times New Roman" w:eastAsia="Times New Roman" w:cs="Times New Roman"/>
        </w:rPr>
        <w:t>Le « temps » accordé à la quatrième Église, représentée par Jézabel, est aussi un « espace ».</w:t>
      </w:r>
    </w:p>
    <w:p>
      <w:pPr>
        <w:pStyle w:val="ArticleScripture"/>
        <w:jc w:val="left"/>
      </w:pPr>
      <w:r>
        <w:rPr>
          <w:rFonts w:ascii="Times New Roman" w:hAnsi="Times New Roman" w:eastAsia="Times New Roman" w:cs="Times New Roman"/>
        </w:rPr>
        <w:t>إيلياسُ كانَ إنسانًا تحتَ الآلامِ مثلَنا، وقد صلّى صلاةً أن لا تمطرَ، فلم تُمطرْ على الأرضِ ثلاثَ سنينَ وستةَ أشهرٍ. يعقوب 5:17.</w:t>
      </w:r>
    </w:p>
    <w:p>
      <w:pPr>
        <w:pStyle w:val="ArticleBody"/>
        <w:jc w:val="left"/>
      </w:pPr>
      <w:r>
        <w:rPr>
          <w:rFonts w:ascii="Times New Roman" w:hAnsi="Times New Roman" w:eastAsia="Times New Roman" w:cs="Times New Roman"/>
        </w:rPr>
        <w:t>Faallessuun Sister White angginermiuk qaammatit arfineq-marluk sinnerlugit marluk ullut tuusintit ataatsip marluk hundredillu pingasut arfinillillu qulingiluat assigigaat, piffissaq taanna “ullut taakku” oqaatigai, Kristusip innersuussutigisai.</w:t>
      </w:r>
    </w:p>
    <w:p>
      <w:pPr>
        <w:pStyle w:val="ArticleScripture"/>
        <w:jc w:val="left"/>
      </w:pPr>
      <w:r>
        <w:rPr>
          <w:rFonts w:ascii="Times New Roman" w:hAnsi="Times New Roman" w:eastAsia="Times New Roman" w:cs="Times New Roman"/>
        </w:rPr>
        <w:t>Ceux des périodes mentionnées ici — « quarante-deux mois » et « mille deux cent soixante jours » — sont identiques, représentant l’une et l’autre le temps durant lequel l’Église du Christ devait souffrir l’oppression de Rome. Les 1260 années de suprématie papale commencèrent en l’an 538 de notre ère et devaient, par conséquent, prendre fin en 1798. À cette époque, une armée française entra dans Rome et fit du pape un prisonnier, et il mourut en exil. Bien qu’un nouveau pape ait été élu peu après, la hiérarchie papale n’a jamais depuis lors été en mesure d’exercer le pouvoir qu’elle possédait auparavant.</w:t>
      </w:r>
    </w:p>
    <w:p>
      <w:pPr>
        <w:pStyle w:val="ArticleScripture"/>
        <w:jc w:val="left"/>
      </w:pPr>
      <w:r>
        <w:rPr>
          <w:rFonts w:ascii="Times New Roman" w:hAnsi="Times New Roman" w:eastAsia="Times New Roman" w:cs="Times New Roman"/>
        </w:rPr>
        <w:t>“La persécution de l’Église ne se poursuivit pas durant toute la période des 1260 années. Dieu, dans sa miséricorde envers Son peuple, abrégea le temps de leur épreuve ardente. En annonçant la « grande tribulation » qui devait s’abattre sur l’Église, le Sauveur dit : « Et, si ces jours n’étaient abrégés, aucune chair ne serait sauvée ; mais, à cause des élus, ces jours seront abrégés. » Matthieu 24:22. Par l’influence de la Réforme, la persécution prit fin avant 1798.” The Great Controversy, 266.</w:t>
      </w:r>
    </w:p>
    <w:p>
      <w:pPr>
        <w:pStyle w:val="ArticleBody"/>
        <w:jc w:val="left"/>
      </w:pPr>
      <w:r>
        <w:rPr>
          <w:rFonts w:ascii="Times New Roman" w:hAnsi="Times New Roman" w:eastAsia="Times New Roman" w:cs="Times New Roman"/>
        </w:rPr>
        <w:t>Christ et Sœur White identifient l’expression « ces jours-là » comme étant le « temps » qui désigne Rome papale. Lorsque Daniel parle de la persécution qui suivit l’établissement de la papauté sur le trône de la terre au verset trente et un du chapitre onze, il désigne ce temps de persécution comme durant « de nombreux jours ».</w:t>
      </w:r>
    </w:p>
    <w:p>
      <w:pPr>
        <w:pStyle w:val="ArticleScripture"/>
        <w:jc w:val="left"/>
      </w:pPr>
      <w:r>
        <w:rPr>
          <w:rFonts w:ascii="Microsoft YaHei" w:hAnsi="Microsoft YaHei" w:eastAsia="Microsoft YaHei" w:cs="Microsoft YaHei"/>
        </w:rPr>
        <w:t>手臂必站在他那一方</w:t>
      </w:r>
      <w:r>
        <w:rPr>
          <w:rFonts w:ascii="Times New Roman" w:hAnsi="Times New Roman" w:eastAsia="Times New Roman" w:cs="Times New Roman"/>
        </w:rPr>
        <w:t>,</w:t>
      </w:r>
      <w:r>
        <w:rPr>
          <w:rFonts w:ascii="Microsoft YaHei" w:hAnsi="Microsoft YaHei" w:eastAsia="Microsoft YaHei" w:cs="Microsoft YaHei"/>
        </w:rPr>
        <w:t>污秽那保障的圣所</w:t>
      </w:r>
      <w:r>
        <w:rPr>
          <w:rFonts w:ascii="Times New Roman" w:hAnsi="Times New Roman" w:eastAsia="Times New Roman" w:cs="Times New Roman"/>
        </w:rPr>
        <w:t>,</w:t>
      </w:r>
      <w:r>
        <w:rPr>
          <w:rFonts w:ascii="Microsoft YaHei" w:hAnsi="Microsoft YaHei" w:eastAsia="Microsoft YaHei" w:cs="Microsoft YaHei"/>
        </w:rPr>
        <w:t>除掉常献的燔祭</w:t>
      </w:r>
      <w:r>
        <w:rPr>
          <w:rFonts w:ascii="Times New Roman" w:hAnsi="Times New Roman" w:eastAsia="Times New Roman" w:cs="Times New Roman"/>
        </w:rPr>
        <w:t>,</w:t>
      </w:r>
      <w:r>
        <w:rPr>
          <w:rFonts w:ascii="Microsoft YaHei" w:hAnsi="Microsoft YaHei" w:eastAsia="Microsoft YaHei" w:cs="Microsoft YaHei"/>
        </w:rPr>
        <w:t>并设立那行毁坏可憎之物</w:t>
      </w:r>
      <w:r>
        <w:rPr>
          <w:rFonts w:ascii="Times New Roman" w:hAnsi="Times New Roman" w:eastAsia="Times New Roman" w:cs="Times New Roman"/>
        </w:rPr>
        <w:t>.</w:t>
      </w:r>
      <w:r>
        <w:rPr>
          <w:rFonts w:ascii="Microsoft YaHei" w:hAnsi="Microsoft YaHei" w:eastAsia="Microsoft YaHei" w:cs="Microsoft YaHei"/>
        </w:rPr>
        <w:t>作恶违背圣约的人</w:t>
      </w:r>
      <w:r>
        <w:rPr>
          <w:rFonts w:ascii="Times New Roman" w:hAnsi="Times New Roman" w:eastAsia="Times New Roman" w:cs="Times New Roman"/>
        </w:rPr>
        <w:t>,</w:t>
      </w:r>
      <w:r>
        <w:rPr>
          <w:rFonts w:ascii="Microsoft YaHei" w:hAnsi="Microsoft YaHei" w:eastAsia="Microsoft YaHei" w:cs="Microsoft YaHei"/>
        </w:rPr>
        <w:t>他必用谄媚败坏</w:t>
      </w:r>
      <w:r>
        <w:rPr>
          <w:rFonts w:ascii="Times New Roman" w:hAnsi="Times New Roman" w:eastAsia="Times New Roman" w:cs="Times New Roman"/>
        </w:rPr>
        <w:t>;</w:t>
      </w:r>
      <w:r>
        <w:rPr>
          <w:rFonts w:ascii="Microsoft YaHei" w:hAnsi="Microsoft YaHei" w:eastAsia="Microsoft YaHei" w:cs="Microsoft YaHei"/>
        </w:rPr>
        <w:t>惟独认识自己上帝的民必刚强行事</w:t>
      </w:r>
      <w:r>
        <w:rPr>
          <w:rFonts w:ascii="Times New Roman" w:hAnsi="Times New Roman" w:eastAsia="Times New Roman" w:cs="Times New Roman"/>
        </w:rPr>
        <w:t>.</w:t>
      </w:r>
      <w:r>
        <w:rPr>
          <w:rFonts w:ascii="Microsoft YaHei" w:hAnsi="Microsoft YaHei" w:eastAsia="Microsoft YaHei" w:cs="Microsoft YaHei"/>
        </w:rPr>
        <w:t>民间有智慧的人必训诲多人</w:t>
      </w:r>
      <w:r>
        <w:rPr>
          <w:rFonts w:ascii="Times New Roman" w:hAnsi="Times New Roman" w:eastAsia="Times New Roman" w:cs="Times New Roman"/>
        </w:rPr>
        <w:t>;</w:t>
      </w:r>
      <w:r>
        <w:rPr>
          <w:rFonts w:ascii="Microsoft YaHei" w:hAnsi="Microsoft YaHei" w:eastAsia="Microsoft YaHei" w:cs="Microsoft YaHei"/>
        </w:rPr>
        <w:t>然而他们多日必倒在刀下</w:t>
      </w:r>
      <w:r>
        <w:rPr>
          <w:rFonts w:ascii="Times New Roman" w:hAnsi="Times New Roman" w:eastAsia="Times New Roman" w:cs="Times New Roman"/>
        </w:rPr>
        <w:t>,</w:t>
      </w:r>
      <w:r>
        <w:rPr>
          <w:rFonts w:ascii="Microsoft YaHei" w:hAnsi="Microsoft YaHei" w:eastAsia="Microsoft YaHei" w:cs="Microsoft YaHei"/>
        </w:rPr>
        <w:t>或被火烧</w:t>
      </w:r>
      <w:r>
        <w:rPr>
          <w:rFonts w:ascii="Times New Roman" w:hAnsi="Times New Roman" w:eastAsia="Times New Roman" w:cs="Times New Roman"/>
        </w:rPr>
        <w:t>,</w:t>
      </w:r>
      <w:r>
        <w:rPr>
          <w:rFonts w:ascii="Microsoft YaHei" w:hAnsi="Microsoft YaHei" w:eastAsia="Microsoft YaHei" w:cs="Microsoft YaHei"/>
        </w:rPr>
        <w:t>或被掳掠</w:t>
      </w:r>
      <w:r>
        <w:rPr>
          <w:rFonts w:ascii="Times New Roman" w:hAnsi="Times New Roman" w:eastAsia="Times New Roman" w:cs="Times New Roman"/>
        </w:rPr>
        <w:t>,</w:t>
      </w:r>
      <w:r>
        <w:rPr>
          <w:rFonts w:ascii="Microsoft YaHei" w:hAnsi="Microsoft YaHei" w:eastAsia="Microsoft YaHei" w:cs="Microsoft YaHei"/>
        </w:rPr>
        <w:t>或被抢夺</w:t>
      </w:r>
      <w:r>
        <w:rPr>
          <w:rFonts w:ascii="Times New Roman" w:hAnsi="Times New Roman" w:eastAsia="Times New Roman" w:cs="Times New Roman"/>
        </w:rPr>
        <w:t>.Daniel 11:31–33.</w:t>
      </w:r>
    </w:p>
    <w:p>
      <w:pPr>
        <w:pStyle w:val="ArticleBody"/>
        <w:jc w:val="left"/>
      </w:pPr>
      <w:r>
        <w:rPr>
          <w:rFonts w:ascii="Nirmala UI" w:hAnsi="Nirmala UI" w:eastAsia="Nirmala UI" w:cs="Nirmala UI"/>
        </w:rPr>
        <w:t>ਰੋਮ</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ਭਵਿੱਖਬਾਣੀ</w:t>
      </w:r>
      <w:r>
        <w:rPr>
          <w:rFonts w:ascii="Times New Roman" w:hAnsi="Times New Roman" w:eastAsia="Times New Roman" w:cs="Times New Roman"/>
        </w:rPr>
        <w:t xml:space="preserve"> </w:t>
      </w:r>
      <w:r>
        <w:rPr>
          <w:rFonts w:ascii="Nirmala UI" w:hAnsi="Nirmala UI" w:eastAsia="Nirmala UI" w:cs="Nirmala UI"/>
        </w:rPr>
        <w:t>ਸਮੇਂ</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ਸੰਬੰਧ</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ਪ੍ਰਗਟ</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ਜੁੜਿਆ</w:t>
      </w:r>
      <w:r>
        <w:rPr>
          <w:rFonts w:ascii="Times New Roman" w:hAnsi="Times New Roman" w:eastAsia="Times New Roman" w:cs="Times New Roman"/>
        </w:rPr>
        <w:t xml:space="preserve"> </w:t>
      </w:r>
      <w:r>
        <w:rPr>
          <w:rFonts w:ascii="Nirmala UI" w:hAnsi="Nirmala UI" w:eastAsia="Nirmala UI" w:cs="Nirmala UI"/>
        </w:rPr>
        <w:t>ਹੋਇਆ</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ਪੌਲੁਸ</w:t>
      </w:r>
      <w:r>
        <w:rPr>
          <w:rFonts w:ascii="Times New Roman" w:hAnsi="Times New Roman" w:eastAsia="Times New Roman" w:cs="Times New Roman"/>
        </w:rPr>
        <w:t xml:space="preserve"> </w:t>
      </w:r>
      <w:r>
        <w:rPr>
          <w:rFonts w:ascii="Nirmala UI" w:hAnsi="Nirmala UI" w:eastAsia="Nirmala UI" w:cs="Nirmala UI"/>
        </w:rPr>
        <w:t>ਕਹਿੰਦਾ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ਪਾਪ</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ਮਨੁੱਖ</w:t>
      </w:r>
      <w:r>
        <w:rPr>
          <w:rFonts w:ascii="Times New Roman" w:hAnsi="Times New Roman" w:eastAsia="Times New Roman" w:cs="Times New Roman"/>
        </w:rPr>
        <w:t xml:space="preserve"> “</w:t>
      </w:r>
      <w:r>
        <w:rPr>
          <w:rFonts w:ascii="Nirmala UI" w:hAnsi="Nirmala UI" w:eastAsia="Nirmala UI" w:cs="Nirmala UI"/>
        </w:rPr>
        <w:t>ਆਪਣੇ</w:t>
      </w:r>
      <w:r>
        <w:rPr>
          <w:rFonts w:ascii="Times New Roman" w:hAnsi="Times New Roman" w:eastAsia="Times New Roman" w:cs="Times New Roman"/>
        </w:rPr>
        <w:t xml:space="preserve"> </w:t>
      </w:r>
      <w:r>
        <w:rPr>
          <w:rFonts w:ascii="Nirmala UI" w:hAnsi="Nirmala UI" w:eastAsia="Nirmala UI" w:cs="Nirmala UI"/>
        </w:rPr>
        <w:t>ਸਮੇਂ</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ਪ੍ਰਗਟ</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ਜਾਵੇਗਾ।</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ਤੱਥ</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ਰੋਮ</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ਦਰਸ਼ਨ</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ਸਥਾਪਿਤ</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ਅਸੀਂ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ਜਾਣੀਏ</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ਅਸੀਂ</w:t>
      </w:r>
      <w:r>
        <w:rPr>
          <w:rFonts w:ascii="Times New Roman" w:hAnsi="Times New Roman" w:eastAsia="Times New Roman" w:cs="Times New Roman"/>
        </w:rPr>
        <w:t xml:space="preserve"> </w:t>
      </w:r>
      <w:r>
        <w:rPr>
          <w:rFonts w:ascii="Nirmala UI" w:hAnsi="Nirmala UI" w:eastAsia="Nirmala UI" w:cs="Nirmala UI"/>
        </w:rPr>
        <w:t>ਨਾਸ</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ਦਰਸਾਉਂਦਾ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ਭਵਿੱਖਬਾਣੀ</w:t>
      </w:r>
      <w:r>
        <w:rPr>
          <w:rFonts w:ascii="Times New Roman" w:hAnsi="Times New Roman" w:eastAsia="Times New Roman" w:cs="Times New Roman"/>
        </w:rPr>
        <w:t xml:space="preserve"> </w:t>
      </w:r>
      <w:r>
        <w:rPr>
          <w:rFonts w:ascii="Nirmala UI" w:hAnsi="Nirmala UI" w:eastAsia="Nirmala UI" w:cs="Nirmala UI"/>
        </w:rPr>
        <w:t>ਸਮਾਂ</w:t>
      </w:r>
      <w:r>
        <w:rPr>
          <w:rFonts w:ascii="Times New Roman" w:hAnsi="Times New Roman" w:eastAsia="Times New Roman" w:cs="Times New Roman"/>
        </w:rPr>
        <w:t xml:space="preserve"> </w:t>
      </w:r>
      <w:r>
        <w:rPr>
          <w:rFonts w:ascii="Nirmala UI" w:hAnsi="Nirmala UI" w:eastAsia="Nirmala UI" w:cs="Nirmala UI"/>
        </w:rPr>
        <w:t>ਇੰਨੀ</w:t>
      </w:r>
      <w:r>
        <w:rPr>
          <w:rFonts w:ascii="Times New Roman" w:hAnsi="Times New Roman" w:eastAsia="Times New Roman" w:cs="Times New Roman"/>
        </w:rPr>
        <w:t xml:space="preserve"> </w:t>
      </w:r>
      <w:r>
        <w:rPr>
          <w:rFonts w:ascii="Nirmala UI" w:hAnsi="Nirmala UI" w:eastAsia="Nirmala UI" w:cs="Nirmala UI"/>
        </w:rPr>
        <w:t>ਵਾਰ</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ਇੰਨੇ</w:t>
      </w:r>
      <w:r>
        <w:rPr>
          <w:rFonts w:ascii="Times New Roman" w:hAnsi="Times New Roman" w:eastAsia="Times New Roman" w:cs="Times New Roman"/>
        </w:rPr>
        <w:t xml:space="preserve"> </w:t>
      </w:r>
      <w:r>
        <w:rPr>
          <w:rFonts w:ascii="Nirmala UI" w:hAnsi="Nirmala UI" w:eastAsia="Nirmala UI" w:cs="Nirmala UI"/>
        </w:rPr>
        <w:t>ਅਨੇਕ</w:t>
      </w:r>
      <w:r>
        <w:rPr>
          <w:rFonts w:ascii="Times New Roman" w:hAnsi="Times New Roman" w:eastAsia="Times New Roman" w:cs="Times New Roman"/>
        </w:rPr>
        <w:t xml:space="preserve"> </w:t>
      </w:r>
      <w:r>
        <w:rPr>
          <w:rFonts w:ascii="Nirmala UI" w:hAnsi="Nirmala UI" w:eastAsia="Nirmala UI" w:cs="Nirmala UI"/>
        </w:rPr>
        <w:t>ਢੰਗਾਂ</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ਕਿਉਂ</w:t>
      </w:r>
      <w:r>
        <w:rPr>
          <w:rFonts w:ascii="Times New Roman" w:hAnsi="Times New Roman" w:eastAsia="Times New Roman" w:cs="Times New Roman"/>
        </w:rPr>
        <w:t xml:space="preserve"> </w:t>
      </w:r>
      <w:r>
        <w:rPr>
          <w:rFonts w:ascii="Nirmala UI" w:hAnsi="Nirmala UI" w:eastAsia="Nirmala UI" w:cs="Nirmala UI"/>
        </w:rPr>
        <w:t>ਦਰਸਾਇਆ</w:t>
      </w:r>
      <w:r>
        <w:rPr>
          <w:rFonts w:ascii="Times New Roman" w:hAnsi="Times New Roman" w:eastAsia="Times New Roman" w:cs="Times New Roman"/>
        </w:rPr>
        <w:t xml:space="preserve"> </w:t>
      </w:r>
      <w:r>
        <w:rPr>
          <w:rFonts w:ascii="Nirmala UI" w:hAnsi="Nirmala UI" w:eastAsia="Nirmala UI" w:cs="Nirmala UI"/>
        </w:rPr>
        <w:t>ਗਿਆ</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ਕਿਉਂਕਿ</w:t>
      </w:r>
      <w:r>
        <w:rPr>
          <w:rFonts w:ascii="Times New Roman" w:hAnsi="Times New Roman" w:eastAsia="Times New Roman" w:cs="Times New Roman"/>
        </w:rPr>
        <w:t xml:space="preserve"> </w:t>
      </w:r>
      <w:r>
        <w:rPr>
          <w:rFonts w:ascii="Nirmala UI" w:hAnsi="Nirmala UI" w:eastAsia="Nirmala UI" w:cs="Nirmala UI"/>
        </w:rPr>
        <w:t>ਪਰਮੇਸ਼ੁਰ</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ਗੱਲਾਂ</w:t>
      </w:r>
      <w:r>
        <w:rPr>
          <w:rFonts w:ascii="Times New Roman" w:hAnsi="Times New Roman" w:eastAsia="Times New Roman" w:cs="Times New Roman"/>
        </w:rPr>
        <w:t xml:space="preserve"> </w:t>
      </w:r>
      <w:r>
        <w:rPr>
          <w:rFonts w:ascii="Nirmala UI" w:hAnsi="Nirmala UI" w:eastAsia="Nirmala UI" w:cs="Nirmala UI"/>
        </w:rPr>
        <w:t>ਦੁਹਰਾਉਂਦਾ</w:t>
      </w:r>
      <w:r>
        <w:rPr>
          <w:rFonts w:ascii="Times New Roman" w:hAnsi="Times New Roman" w:eastAsia="Times New Roman" w:cs="Times New Roman"/>
        </w:rPr>
        <w:t xml:space="preserve"> </w:t>
      </w:r>
      <w:r>
        <w:rPr>
          <w:rFonts w:ascii="Nirmala UI" w:hAnsi="Nirmala UI" w:eastAsia="Nirmala UI" w:cs="Nirmala UI"/>
        </w:rPr>
        <w:t>ਨਹੀਂ</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ਕਿਸੇ</w:t>
      </w:r>
      <w:r>
        <w:rPr>
          <w:rFonts w:ascii="Times New Roman" w:hAnsi="Times New Roman" w:eastAsia="Times New Roman" w:cs="Times New Roman"/>
        </w:rPr>
        <w:t xml:space="preserve"> </w:t>
      </w:r>
      <w:r>
        <w:rPr>
          <w:rFonts w:ascii="Nirmala UI" w:hAnsi="Nirmala UI" w:eastAsia="Nirmala UI" w:cs="Nirmala UI"/>
        </w:rPr>
        <w:t>ਵੱਡੇ</w:t>
      </w:r>
      <w:r>
        <w:rPr>
          <w:rFonts w:ascii="Times New Roman" w:hAnsi="Times New Roman" w:eastAsia="Times New Roman" w:cs="Times New Roman"/>
        </w:rPr>
        <w:t xml:space="preserve"> </w:t>
      </w:r>
      <w:r>
        <w:rPr>
          <w:rFonts w:ascii="Nirmala UI" w:hAnsi="Nirmala UI" w:eastAsia="Nirmala UI" w:cs="Nirmala UI"/>
        </w:rPr>
        <w:t>ਮਹੱਤਵ</w:t>
      </w:r>
      <w:r>
        <w:rPr>
          <w:rFonts w:ascii="Times New Roman" w:hAnsi="Times New Roman" w:eastAsia="Times New Roman" w:cs="Times New Roman"/>
        </w:rPr>
        <w:t xml:space="preserve"> </w:t>
      </w:r>
      <w:r>
        <w:rPr>
          <w:rFonts w:ascii="Nirmala UI" w:hAnsi="Nirmala UI" w:eastAsia="Nirmala UI" w:cs="Nirmala UI"/>
        </w:rPr>
        <w:t>ਦੀਆਂ</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ਹੋਣ।</w:t>
      </w:r>
      <w:r>
        <w:rPr>
          <w:rFonts w:ascii="Times New Roman" w:hAnsi="Times New Roman" w:eastAsia="Times New Roman" w:cs="Times New Roman"/>
        </w:rPr>
        <w:t xml:space="preserve">” </w:t>
      </w:r>
      <w:r>
        <w:rPr>
          <w:rFonts w:ascii="Nirmala UI" w:hAnsi="Nirmala UI" w:eastAsia="Nirmala UI" w:cs="Nirmala UI"/>
        </w:rPr>
        <w:t>ਪਿਛਲੀਆਂ</w:t>
      </w:r>
      <w:r>
        <w:rPr>
          <w:rFonts w:ascii="Times New Roman" w:hAnsi="Times New Roman" w:eastAsia="Times New Roman" w:cs="Times New Roman"/>
        </w:rPr>
        <w:t xml:space="preserve"> </w:t>
      </w:r>
      <w:r>
        <w:rPr>
          <w:rFonts w:ascii="Nirmala UI" w:hAnsi="Nirmala UI" w:eastAsia="Nirmala UI" w:cs="Nirmala UI"/>
        </w:rPr>
        <w:t>ਆਯਤਾਂ</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ਸਮੇਂ</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ਅਵਧੀ</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ਵੀ</w:t>
      </w:r>
      <w:r>
        <w:rPr>
          <w:rFonts w:ascii="Times New Roman" w:hAnsi="Times New Roman" w:eastAsia="Times New Roman" w:cs="Times New Roman"/>
        </w:rPr>
        <w:t xml:space="preserve"> </w:t>
      </w:r>
      <w:r>
        <w:rPr>
          <w:rFonts w:ascii="Nirmala UI" w:hAnsi="Nirmala UI" w:eastAsia="Nirmala UI" w:cs="Nirmala UI"/>
        </w:rPr>
        <w:t>ਚਿੰਨ੍ਹਿਤ</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ਗਿਆ</w:t>
      </w:r>
      <w:r>
        <w:rPr>
          <w:rFonts w:ascii="Times New Roman" w:hAnsi="Times New Roman" w:eastAsia="Times New Roman" w:cs="Times New Roman"/>
        </w:rPr>
        <w:t xml:space="preserve"> </w:t>
      </w:r>
      <w:r>
        <w:rPr>
          <w:rFonts w:ascii="Nirmala UI" w:hAnsi="Nirmala UI" w:eastAsia="Nirmala UI" w:cs="Nirmala UI"/>
        </w:rPr>
        <w:t>ਹੈ।</w:t>
      </w:r>
    </w:p>
    <w:p>
      <w:pPr>
        <w:pStyle w:val="ArticleScripture"/>
        <w:jc w:val="left"/>
      </w:pPr>
      <w:r>
        <w:rPr>
          <w:rFonts w:ascii="Times New Roman" w:hAnsi="Times New Roman" w:eastAsia="Times New Roman" w:cs="Times New Roman"/>
        </w:rPr>
        <w:t>And those who have understanding among the people shall instruct many; yet they shall fall by sword and by flame, by captivity and by plunder, for many days. Now when they fall, they shall be helped with a little help; but many shall join themselves to them with flatteries. And some of those of understanding shall fall, to test them, and to purge, and to make them white, even to the time of the end; because it is yet for the appointed time. Daniel 11:33–35.</w:t>
      </w:r>
    </w:p>
    <w:p>
      <w:pPr>
        <w:pStyle w:val="ArticleBody"/>
        <w:jc w:val="left"/>
      </w:pPr>
      <w:r>
        <w:rPr>
          <w:rFonts w:ascii="Times New Roman" w:hAnsi="Times New Roman" w:eastAsia="Times New Roman" w:cs="Times New Roman"/>
        </w:rPr>
        <w:t>“</w:t>
      </w:r>
      <w:r>
        <w:rPr>
          <w:rFonts w:ascii="Nirmala UI" w:hAnsi="Nirmala UI" w:eastAsia="Nirmala UI" w:cs="Nirmala UI"/>
        </w:rPr>
        <w:t>समयको</w:t>
      </w:r>
      <w:r>
        <w:rPr>
          <w:rFonts w:ascii="Times New Roman" w:hAnsi="Times New Roman" w:eastAsia="Times New Roman" w:cs="Times New Roman"/>
        </w:rPr>
        <w:t xml:space="preserve"> </w:t>
      </w:r>
      <w:r>
        <w:rPr>
          <w:rFonts w:ascii="Nirmala UI" w:hAnsi="Nirmala UI" w:eastAsia="Nirmala UI" w:cs="Nirmala UI"/>
        </w:rPr>
        <w:t>अन्त</w:t>
      </w:r>
      <w:r>
        <w:rPr>
          <w:rFonts w:ascii="Times New Roman" w:hAnsi="Times New Roman" w:eastAsia="Times New Roman" w:cs="Times New Roman"/>
        </w:rPr>
        <w:t>” “</w:t>
      </w:r>
      <w:r>
        <w:rPr>
          <w:rFonts w:ascii="Nirmala UI" w:hAnsi="Nirmala UI" w:eastAsia="Nirmala UI" w:cs="Nirmala UI"/>
        </w:rPr>
        <w:t>अझै</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नियुक्त</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समयका</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हिब्रू</w:t>
      </w:r>
      <w:r>
        <w:rPr>
          <w:rFonts w:ascii="Times New Roman" w:hAnsi="Times New Roman" w:eastAsia="Times New Roman" w:cs="Times New Roman"/>
        </w:rPr>
        <w:t xml:space="preserve"> </w:t>
      </w:r>
      <w:r>
        <w:rPr>
          <w:rFonts w:ascii="Nirmala UI" w:hAnsi="Nirmala UI" w:eastAsia="Nirmala UI" w:cs="Nirmala UI"/>
        </w:rPr>
        <w:t>शब्द</w:t>
      </w:r>
      <w:r>
        <w:rPr>
          <w:rFonts w:ascii="Times New Roman" w:hAnsi="Times New Roman" w:eastAsia="Times New Roman" w:cs="Times New Roman"/>
        </w:rPr>
        <w:t xml:space="preserve"> “appointed” </w:t>
      </w:r>
      <w:r>
        <w:rPr>
          <w:rFonts w:ascii="Nirmala UI" w:hAnsi="Nirmala UI" w:eastAsia="Nirmala UI" w:cs="Nirmala UI"/>
        </w:rPr>
        <w:t>भनेको</w:t>
      </w:r>
      <w:r>
        <w:rPr>
          <w:rFonts w:ascii="Times New Roman" w:hAnsi="Times New Roman" w:eastAsia="Times New Roman" w:cs="Times New Roman"/>
        </w:rPr>
        <w:t xml:space="preserve"> “moed”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यसको</w:t>
      </w:r>
      <w:r>
        <w:rPr>
          <w:rFonts w:ascii="Times New Roman" w:hAnsi="Times New Roman" w:eastAsia="Times New Roman" w:cs="Times New Roman"/>
        </w:rPr>
        <w:t xml:space="preserve"> </w:t>
      </w:r>
      <w:r>
        <w:rPr>
          <w:rFonts w:ascii="Nirmala UI" w:hAnsi="Nirmala UI" w:eastAsia="Nirmala UI" w:cs="Nirmala UI"/>
        </w:rPr>
        <w:t>अर्थ</w:t>
      </w:r>
      <w:r>
        <w:rPr>
          <w:rFonts w:ascii="Times New Roman" w:hAnsi="Times New Roman" w:eastAsia="Times New Roman" w:cs="Times New Roman"/>
        </w:rPr>
        <w:t xml:space="preserve"> </w:t>
      </w:r>
      <w:r>
        <w:rPr>
          <w:rFonts w:ascii="Nirmala UI" w:hAnsi="Nirmala UI" w:eastAsia="Nirmala UI" w:cs="Nirmala UI"/>
        </w:rPr>
        <w:t>निश्चित</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नियुक्ति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दानिय्येलको</w:t>
      </w:r>
      <w:r>
        <w:rPr>
          <w:rFonts w:ascii="Times New Roman" w:hAnsi="Times New Roman" w:eastAsia="Times New Roman" w:cs="Times New Roman"/>
        </w:rPr>
        <w:t xml:space="preserve"> </w:t>
      </w:r>
      <w:r>
        <w:rPr>
          <w:rFonts w:ascii="Nirmala UI" w:hAnsi="Nirmala UI" w:eastAsia="Nirmala UI" w:cs="Nirmala UI"/>
        </w:rPr>
        <w:t>पुस्तकमा</w:t>
      </w:r>
      <w:r>
        <w:rPr>
          <w:rFonts w:ascii="Times New Roman" w:hAnsi="Times New Roman" w:eastAsia="Times New Roman" w:cs="Times New Roman"/>
        </w:rPr>
        <w:t xml:space="preserve"> “</w:t>
      </w:r>
      <w:r>
        <w:rPr>
          <w:rFonts w:ascii="Nirmala UI" w:hAnsi="Nirmala UI" w:eastAsia="Nirmala UI" w:cs="Nirmala UI"/>
        </w:rPr>
        <w:t>नियुक्त</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भविष्यसूचक</w:t>
      </w:r>
      <w:r>
        <w:rPr>
          <w:rFonts w:ascii="Times New Roman" w:hAnsi="Times New Roman" w:eastAsia="Times New Roman" w:cs="Times New Roman"/>
        </w:rPr>
        <w:t xml:space="preserve"> </w:t>
      </w:r>
      <w:r>
        <w:rPr>
          <w:rFonts w:ascii="Nirmala UI" w:hAnsi="Nirmala UI" w:eastAsia="Nirmala UI" w:cs="Nirmala UI"/>
        </w:rPr>
        <w:t>सान्दर्भिकता</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महत्त्व</w:t>
      </w:r>
      <w:r>
        <w:rPr>
          <w:rFonts w:ascii="Times New Roman" w:hAnsi="Times New Roman" w:eastAsia="Times New Roman" w:cs="Times New Roman"/>
        </w:rPr>
        <w:t xml:space="preserve">, </w:t>
      </w:r>
      <w:r>
        <w:rPr>
          <w:rFonts w:ascii="Nirmala UI" w:hAnsi="Nirmala UI" w:eastAsia="Nirmala UI" w:cs="Nirmala UI"/>
        </w:rPr>
        <w:t>यसलाई</w:t>
      </w:r>
      <w:r>
        <w:rPr>
          <w:rFonts w:ascii="Times New Roman" w:hAnsi="Times New Roman" w:eastAsia="Times New Roman" w:cs="Times New Roman"/>
        </w:rPr>
        <w:t xml:space="preserve"> </w:t>
      </w:r>
      <w:r>
        <w:rPr>
          <w:rFonts w:ascii="Nirmala UI" w:hAnsi="Nirmala UI" w:eastAsia="Nirmala UI" w:cs="Nirmala UI"/>
        </w:rPr>
        <w:t>कति</w:t>
      </w:r>
      <w:r>
        <w:rPr>
          <w:rFonts w:ascii="Times New Roman" w:hAnsi="Times New Roman" w:eastAsia="Times New Roman" w:cs="Times New Roman"/>
        </w:rPr>
        <w:t xml:space="preserve"> </w:t>
      </w:r>
      <w:r>
        <w:rPr>
          <w:rFonts w:ascii="Nirmala UI" w:hAnsi="Nirmala UI" w:eastAsia="Nirmala UI" w:cs="Nirmala UI"/>
        </w:rPr>
        <w:t>पटक</w:t>
      </w:r>
      <w:r>
        <w:rPr>
          <w:rFonts w:ascii="Times New Roman" w:hAnsi="Times New Roman" w:eastAsia="Times New Roman" w:cs="Times New Roman"/>
        </w:rPr>
        <w:t xml:space="preserve"> </w:t>
      </w:r>
      <w:r>
        <w:rPr>
          <w:rFonts w:ascii="Nirmala UI" w:hAnsi="Nirmala UI" w:eastAsia="Nirmala UI" w:cs="Nirmala UI"/>
        </w:rPr>
        <w:t>उल्लेख</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भन्ने</w:t>
      </w:r>
      <w:r>
        <w:rPr>
          <w:rFonts w:ascii="Times New Roman" w:hAnsi="Times New Roman" w:eastAsia="Times New Roman" w:cs="Times New Roman"/>
        </w:rPr>
        <w:t xml:space="preserve"> </w:t>
      </w:r>
      <w:r>
        <w:rPr>
          <w:rFonts w:ascii="Nirmala UI" w:hAnsi="Nirmala UI" w:eastAsia="Nirmala UI" w:cs="Nirmala UI"/>
        </w:rPr>
        <w:t>कुराबाट</w:t>
      </w:r>
      <w:r>
        <w:rPr>
          <w:rFonts w:ascii="Times New Roman" w:hAnsi="Times New Roman" w:eastAsia="Times New Roman" w:cs="Times New Roman"/>
        </w:rPr>
        <w:t xml:space="preserve"> </w:t>
      </w:r>
      <w:r>
        <w:rPr>
          <w:rFonts w:ascii="Nirmala UI" w:hAnsi="Nirmala UI" w:eastAsia="Nirmala UI" w:cs="Nirmala UI"/>
        </w:rPr>
        <w:t>चिनिन्छ।</w:t>
      </w:r>
      <w:r>
        <w:rPr>
          <w:rFonts w:ascii="Times New Roman" w:hAnsi="Times New Roman" w:eastAsia="Times New Roman" w:cs="Times New Roman"/>
        </w:rPr>
        <w:t xml:space="preserve"> </w:t>
      </w:r>
      <w:r>
        <w:rPr>
          <w:rFonts w:ascii="Nirmala UI" w:hAnsi="Nirmala UI" w:eastAsia="Nirmala UI" w:cs="Nirmala UI"/>
        </w:rPr>
        <w:t>यदि</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xml:space="preserve"> </w:t>
      </w:r>
      <w:r>
        <w:rPr>
          <w:rFonts w:ascii="Nirmala UI" w:hAnsi="Nirmala UI" w:eastAsia="Nirmala UI" w:cs="Nirmala UI"/>
        </w:rPr>
        <w:t>भने</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अत्यन्त</w:t>
      </w:r>
      <w:r>
        <w:rPr>
          <w:rFonts w:ascii="Times New Roman" w:hAnsi="Times New Roman" w:eastAsia="Times New Roman" w:cs="Times New Roman"/>
        </w:rPr>
        <w:t xml:space="preserve"> </w:t>
      </w:r>
      <w:r>
        <w:rPr>
          <w:rFonts w:ascii="Nirmala UI" w:hAnsi="Nirmala UI" w:eastAsia="Nirmala UI" w:cs="Nirmala UI"/>
        </w:rPr>
        <w:t>थोरै</w:t>
      </w:r>
      <w:r>
        <w:rPr>
          <w:rFonts w:ascii="Times New Roman" w:hAnsi="Times New Roman" w:eastAsia="Times New Roman" w:cs="Times New Roman"/>
        </w:rPr>
        <w:t xml:space="preserve"> </w:t>
      </w:r>
      <w:r>
        <w:rPr>
          <w:rFonts w:ascii="Nirmala UI" w:hAnsi="Nirmala UI" w:eastAsia="Nirmala UI" w:cs="Nirmala UI"/>
        </w:rPr>
        <w:t>लाओदिकीया</w:t>
      </w:r>
      <w:r>
        <w:rPr>
          <w:rFonts w:ascii="Times New Roman" w:hAnsi="Times New Roman" w:eastAsia="Times New Roman" w:cs="Times New Roman"/>
        </w:rPr>
        <w:t xml:space="preserve"> </w:t>
      </w:r>
      <w:r>
        <w:rPr>
          <w:rFonts w:ascii="Nirmala UI" w:hAnsi="Nirmala UI" w:eastAsia="Nirmala UI" w:cs="Nirmala UI"/>
        </w:rPr>
        <w:t>एडभेन्टिस्टहरूले</w:t>
      </w:r>
      <w:r>
        <w:rPr>
          <w:rFonts w:ascii="Times New Roman" w:hAnsi="Times New Roman" w:eastAsia="Times New Roman" w:cs="Times New Roman"/>
        </w:rPr>
        <w:t xml:space="preserve"> 1989 “</w:t>
      </w:r>
      <w:r>
        <w:rPr>
          <w:rFonts w:ascii="Nirmala UI" w:hAnsi="Nirmala UI" w:eastAsia="Nirmala UI" w:cs="Nirmala UI"/>
        </w:rPr>
        <w:t>समयको</w:t>
      </w:r>
      <w:r>
        <w:rPr>
          <w:rFonts w:ascii="Times New Roman" w:hAnsi="Times New Roman" w:eastAsia="Times New Roman" w:cs="Times New Roman"/>
        </w:rPr>
        <w:t xml:space="preserve"> </w:t>
      </w:r>
      <w:r>
        <w:rPr>
          <w:rFonts w:ascii="Nirmala UI" w:hAnsi="Nirmala UI" w:eastAsia="Nirmala UI" w:cs="Nirmala UI"/>
        </w:rPr>
        <w:t>अन्त</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भन्ने</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चिन्छन्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त्यसकारण</w:t>
      </w:r>
      <w:r>
        <w:rPr>
          <w:rFonts w:ascii="Times New Roman" w:hAnsi="Times New Roman" w:eastAsia="Times New Roman" w:cs="Times New Roman"/>
        </w:rPr>
        <w:t xml:space="preserve"> 1989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नियुक्त</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परमेश्वरद्वारा</w:t>
      </w:r>
      <w:r>
        <w:rPr>
          <w:rFonts w:ascii="Times New Roman" w:hAnsi="Times New Roman" w:eastAsia="Times New Roman" w:cs="Times New Roman"/>
        </w:rPr>
        <w:t xml:space="preserve"> </w:t>
      </w:r>
      <w:r>
        <w:rPr>
          <w:rFonts w:ascii="Nirmala UI" w:hAnsi="Nirmala UI" w:eastAsia="Nirmala UI" w:cs="Nirmala UI"/>
        </w:rPr>
        <w:t>तोकिएको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नियुक्ति</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उहाँले</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चौवालीस</w:t>
      </w:r>
      <w:r>
        <w:rPr>
          <w:rFonts w:ascii="Times New Roman" w:hAnsi="Times New Roman" w:eastAsia="Times New Roman" w:cs="Times New Roman"/>
        </w:rPr>
        <w:t xml:space="preserve"> </w:t>
      </w:r>
      <w:r>
        <w:rPr>
          <w:rFonts w:ascii="Nirmala UI" w:hAnsi="Nirmala UI" w:eastAsia="Nirmala UI" w:cs="Nirmala UI"/>
        </w:rPr>
        <w:t>हजारको</w:t>
      </w:r>
      <w:r>
        <w:rPr>
          <w:rFonts w:ascii="Times New Roman" w:hAnsi="Times New Roman" w:eastAsia="Times New Roman" w:cs="Times New Roman"/>
        </w:rPr>
        <w:t xml:space="preserve"> </w:t>
      </w:r>
      <w:r>
        <w:rPr>
          <w:rFonts w:ascii="Nirmala UI" w:hAnsi="Nirmala UI" w:eastAsia="Nirmala UI" w:cs="Nirmala UI"/>
        </w:rPr>
        <w:t>आन्दोलनका</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ज्ञानको</w:t>
      </w:r>
      <w:r>
        <w:rPr>
          <w:rFonts w:ascii="Times New Roman" w:hAnsi="Times New Roman" w:eastAsia="Times New Roman" w:cs="Times New Roman"/>
        </w:rPr>
        <w:t xml:space="preserve"> </w:t>
      </w:r>
      <w:r>
        <w:rPr>
          <w:rFonts w:ascii="Nirmala UI" w:hAnsi="Nirmala UI" w:eastAsia="Nirmala UI" w:cs="Nirmala UI"/>
        </w:rPr>
        <w:t>मोहोर</w:t>
      </w:r>
      <w:r>
        <w:rPr>
          <w:rFonts w:ascii="Times New Roman" w:hAnsi="Times New Roman" w:eastAsia="Times New Roman" w:cs="Times New Roman"/>
        </w:rPr>
        <w:t xml:space="preserve"> </w:t>
      </w:r>
      <w:r>
        <w:rPr>
          <w:rFonts w:ascii="Nirmala UI" w:hAnsi="Nirmala UI" w:eastAsia="Nirmala UI" w:cs="Nirmala UI"/>
        </w:rPr>
        <w:t>खोल्नुहुनेथियो।</w:t>
      </w:r>
      <w:r>
        <w:rPr>
          <w:rFonts w:ascii="Times New Roman" w:hAnsi="Times New Roman" w:eastAsia="Times New Roman" w:cs="Times New Roman"/>
        </w:rPr>
        <w:t xml:space="preserve"> </w:t>
      </w:r>
      <w:r>
        <w:rPr>
          <w:rFonts w:ascii="Nirmala UI" w:hAnsi="Nirmala UI" w:eastAsia="Nirmala UI" w:cs="Nirmala UI"/>
        </w:rPr>
        <w:t>यस</w:t>
      </w:r>
      <w:r>
        <w:rPr>
          <w:rFonts w:ascii="Times New Roman" w:hAnsi="Times New Roman" w:eastAsia="Times New Roman" w:cs="Times New Roman"/>
        </w:rPr>
        <w:t xml:space="preserve"> </w:t>
      </w:r>
      <w:r>
        <w:rPr>
          <w:rFonts w:ascii="Nirmala UI" w:hAnsi="Nirmala UI" w:eastAsia="Nirmala UI" w:cs="Nirmala UI"/>
        </w:rPr>
        <w:t>कारण</w:t>
      </w:r>
      <w:r>
        <w:rPr>
          <w:rFonts w:ascii="Times New Roman" w:hAnsi="Times New Roman" w:eastAsia="Times New Roman" w:cs="Times New Roman"/>
        </w:rPr>
        <w:t xml:space="preserve">, </w:t>
      </w:r>
      <w:r>
        <w:rPr>
          <w:rFonts w:ascii="Nirmala UI" w:hAnsi="Nirmala UI" w:eastAsia="Nirmala UI" w:cs="Nirmala UI"/>
        </w:rPr>
        <w:t>दानिय्येलको</w:t>
      </w:r>
      <w:r>
        <w:rPr>
          <w:rFonts w:ascii="Times New Roman" w:hAnsi="Times New Roman" w:eastAsia="Times New Roman" w:cs="Times New Roman"/>
        </w:rPr>
        <w:t xml:space="preserve"> </w:t>
      </w:r>
      <w:r>
        <w:rPr>
          <w:rFonts w:ascii="Nirmala UI" w:hAnsi="Nirmala UI" w:eastAsia="Nirmala UI" w:cs="Nirmala UI"/>
        </w:rPr>
        <w:t>पुस्तकले</w:t>
      </w:r>
      <w:r>
        <w:rPr>
          <w:rFonts w:ascii="Times New Roman" w:hAnsi="Times New Roman" w:eastAsia="Times New Roman" w:cs="Times New Roman"/>
        </w:rPr>
        <w:t xml:space="preserve"> “</w:t>
      </w:r>
      <w:r>
        <w:rPr>
          <w:rFonts w:ascii="Nirmala UI" w:hAnsi="Nirmala UI" w:eastAsia="Nirmala UI" w:cs="Nirmala UI"/>
        </w:rPr>
        <w:t>नियुक्त</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समयको</w:t>
      </w:r>
      <w:r>
        <w:rPr>
          <w:rFonts w:ascii="Times New Roman" w:hAnsi="Times New Roman" w:eastAsia="Times New Roman" w:cs="Times New Roman"/>
        </w:rPr>
        <w:t xml:space="preserve"> </w:t>
      </w:r>
      <w:r>
        <w:rPr>
          <w:rFonts w:ascii="Nirmala UI" w:hAnsi="Nirmala UI" w:eastAsia="Nirmala UI" w:cs="Nirmala UI"/>
        </w:rPr>
        <w:t>अन्त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आगमनलाई</w:t>
      </w:r>
      <w:r>
        <w:rPr>
          <w:rFonts w:ascii="Times New Roman" w:hAnsi="Times New Roman" w:eastAsia="Times New Roman" w:cs="Times New Roman"/>
        </w:rPr>
        <w:t xml:space="preserve"> </w:t>
      </w:r>
      <w:r>
        <w:rPr>
          <w:rFonts w:ascii="Nirmala UI" w:hAnsi="Nirmala UI" w:eastAsia="Nirmala UI" w:cs="Nirmala UI"/>
        </w:rPr>
        <w:t>चिह्नित</w:t>
      </w:r>
      <w:r>
        <w:rPr>
          <w:rFonts w:ascii="Times New Roman" w:hAnsi="Times New Roman" w:eastAsia="Times New Roman" w:cs="Times New Roman"/>
        </w:rPr>
        <w:t xml:space="preserve"> </w:t>
      </w:r>
      <w:r>
        <w:rPr>
          <w:rFonts w:ascii="Nirmala UI" w:hAnsi="Nirmala UI" w:eastAsia="Nirmala UI" w:cs="Nirmala UI"/>
        </w:rPr>
        <w:t>गर्दछ</w:t>
      </w:r>
      <w:r>
        <w:rPr>
          <w:rFonts w:ascii="Times New Roman" w:hAnsi="Times New Roman" w:eastAsia="Times New Roman" w:cs="Times New Roman"/>
        </w:rPr>
        <w:t xml:space="preserve"> </w:t>
      </w:r>
      <w:r>
        <w:rPr>
          <w:rFonts w:ascii="Nirmala UI" w:hAnsi="Nirmala UI" w:eastAsia="Nirmala UI" w:cs="Nirmala UI"/>
        </w:rPr>
        <w:t>भन्ने</w:t>
      </w:r>
      <w:r>
        <w:rPr>
          <w:rFonts w:ascii="Times New Roman" w:hAnsi="Times New Roman" w:eastAsia="Times New Roman" w:cs="Times New Roman"/>
        </w:rPr>
        <w:t xml:space="preserve"> </w:t>
      </w:r>
      <w:r>
        <w:rPr>
          <w:rFonts w:ascii="Nirmala UI" w:hAnsi="Nirmala UI" w:eastAsia="Nirmala UI" w:cs="Nirmala UI"/>
        </w:rPr>
        <w:t>तथ्यका</w:t>
      </w:r>
      <w:r>
        <w:rPr>
          <w:rFonts w:ascii="Times New Roman" w:hAnsi="Times New Roman" w:eastAsia="Times New Roman" w:cs="Times New Roman"/>
        </w:rPr>
        <w:t xml:space="preserve"> </w:t>
      </w:r>
      <w:r>
        <w:rPr>
          <w:rFonts w:ascii="Nirmala UI" w:hAnsi="Nirmala UI" w:eastAsia="Nirmala UI" w:cs="Nirmala UI"/>
        </w:rPr>
        <w:t>साक्षीहरू</w:t>
      </w:r>
      <w:r>
        <w:rPr>
          <w:rFonts w:ascii="Times New Roman" w:hAnsi="Times New Roman" w:eastAsia="Times New Roman" w:cs="Times New Roman"/>
        </w:rPr>
        <w:t xml:space="preserve"> </w:t>
      </w:r>
      <w:r>
        <w:rPr>
          <w:rFonts w:ascii="Nirmala UI" w:hAnsi="Nirmala UI" w:eastAsia="Nirmala UI" w:cs="Nirmala UI"/>
        </w:rPr>
        <w:t>प्रदान</w:t>
      </w:r>
      <w:r>
        <w:rPr>
          <w:rFonts w:ascii="Times New Roman" w:hAnsi="Times New Roman" w:eastAsia="Times New Roman" w:cs="Times New Roman"/>
        </w:rPr>
        <w:t xml:space="preserve"> </w:t>
      </w:r>
      <w:r>
        <w:rPr>
          <w:rFonts w:ascii="Nirmala UI" w:hAnsi="Nirmala UI" w:eastAsia="Nirmala UI" w:cs="Nirmala UI"/>
        </w:rPr>
        <w:t>गर्दछ।</w:t>
      </w:r>
      <w:r>
        <w:rPr>
          <w:rFonts w:ascii="Times New Roman" w:hAnsi="Times New Roman" w:eastAsia="Times New Roman" w:cs="Times New Roman"/>
        </w:rPr>
        <w:t xml:space="preserve"> </w:t>
      </w:r>
      <w:r>
        <w:rPr>
          <w:rFonts w:ascii="Nirmala UI" w:hAnsi="Nirmala UI" w:eastAsia="Nirmala UI" w:cs="Nirmala UI"/>
        </w:rPr>
        <w:t>दानिय्येल</w:t>
      </w:r>
      <w:r>
        <w:rPr>
          <w:rFonts w:ascii="Times New Roman" w:hAnsi="Times New Roman" w:eastAsia="Times New Roman" w:cs="Times New Roman"/>
        </w:rPr>
        <w:t xml:space="preserve"> </w:t>
      </w:r>
      <w:r>
        <w:rPr>
          <w:rFonts w:ascii="Nirmala UI" w:hAnsi="Nirmala UI" w:eastAsia="Nirmala UI" w:cs="Nirmala UI"/>
        </w:rPr>
        <w:t>आठमा</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भविष्यसूचक</w:t>
      </w:r>
      <w:r>
        <w:rPr>
          <w:rFonts w:ascii="Times New Roman" w:hAnsi="Times New Roman" w:eastAsia="Times New Roman" w:cs="Times New Roman"/>
        </w:rPr>
        <w:t xml:space="preserve"> </w:t>
      </w:r>
      <w:r>
        <w:rPr>
          <w:rFonts w:ascii="Nirmala UI" w:hAnsi="Nirmala UI" w:eastAsia="Nirmala UI" w:cs="Nirmala UI"/>
        </w:rPr>
        <w:t>प्रतीक</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छ।</w:t>
      </w:r>
    </w:p>
    <w:p>
      <w:pPr>
        <w:pStyle w:val="ArticleScripture"/>
        <w:jc w:val="left"/>
      </w:pPr>
      <w:r>
        <w:rPr>
          <w:rFonts w:ascii="Times New Roman" w:hAnsi="Times New Roman" w:eastAsia="Times New Roman" w:cs="Times New Roman"/>
        </w:rPr>
        <w:t>Et j’entendis une voix d’homme entre les rives de l’Ulaï; elle appela et dit: Gabriel, fais comprendre à cet homme la vision. Il vint alors près du lieu où je me tenais; et, lorsqu’il s’approcha, je fus saisi de frayeur, et je tombai sur ma face; mais il me dit: Comprends, fils d’homme; car la vision concerne le temps de la fin. Comme il me parlait, je tombai dans un profond sommeil, la face contre terre; mais il me toucha, et me mit debout à la place où je me tenais. Et il dit: Voici, je te ferai connaître ce qui arrivera au dernier temps de l’indignation; car la fin sera au temps marqué. Daniel 8:16–19.</w:t>
      </w:r>
    </w:p>
    <w:p>
      <w:pPr>
        <w:pStyle w:val="ArticleBody"/>
        <w:jc w:val="left"/>
      </w:pPr>
      <w:r>
        <w:rPr>
          <w:rFonts w:ascii="Times New Roman" w:hAnsi="Times New Roman" w:eastAsia="Times New Roman" w:cs="Times New Roman"/>
        </w:rPr>
        <w:t>Sicut in capite undecimo, vocabulum «finis», in locutione «tempus finis» in his versibus, aliud est vocabulum Hebraicum quam illud quod redditur «statutum». Tempus finis repraesentat spatium temporis quod incipit tempore statuto. «Tempus statutum» (moed) est statutio, et tempus finis (verbum Hebraicum «gets») est spatium temporis, quod tempore statuto initium capit. Illud est «tempus» quod Romam manifestat, et illud «tempus» tanti momenti est ut finis illius spatii temporis, atque spatium quod finem illius temporis sequitur, pluribus testibus repraesententur. In versu vigesimo quarto capitis undecimi Danielis, Roma pagana designatur ut mundum per «tempus» regat.</w:t>
      </w:r>
    </w:p>
    <w:p>
      <w:pPr>
        <w:pStyle w:val="ArticleBody"/>
        <w:jc w:val="left"/>
      </w:pPr>
      <w:r>
        <w:rPr>
          <w:rFonts w:ascii="Times New Roman" w:hAnsi="Times New Roman" w:eastAsia="Times New Roman" w:cs="Times New Roman"/>
        </w:rPr>
        <w:t>Un « temps » symbolique est de trois cent soixante ans, car il y a trois cent soixante jours dans une année biblique. La Rome païenne régna pendant « un temps », et la Rome papale régna pendant « un temps, des temps et la moitié d’un temps ». La Rome moderne règne pendant « une heure » symbolique, ou pendant « quarante-deux mois » symboliques. Il n’y a pas de temps prophétique après 1844 ; ainsi, « l’heure » et les « quarante-deux mois » désignent la période allant de la loi dominicale imminente jusqu’à la clôture du temps de grâce de l’humanité. Mais la Rome païenne domina souverainement depuis la bataille d’Actium en 31 av. J.-C. jusqu’au moment où Constantin transféra la capitale de l’empire à Constantinople en l’an 330. Nous savons que les versets suivants parlent de la Rome païenne, car le Christ y est représenté comme le « prince de l’alliance » qui « sera brisé » lorsqu’Il fut crucifié. La puissance qui régnait alors était la Rome païenne ; ainsi, les versets que nous allons maintenant examiner identifient la Rome païenne.</w:t>
      </w:r>
    </w:p>
    <w:p>
      <w:pPr>
        <w:pStyle w:val="ArticleScripture"/>
        <w:jc w:val="left"/>
      </w:pP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स्थान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तुच्छ</w:t>
      </w:r>
      <w:r>
        <w:rPr>
          <w:rFonts w:ascii="Times New Roman" w:hAnsi="Times New Roman" w:eastAsia="Times New Roman" w:cs="Times New Roman"/>
        </w:rPr>
        <w:t xml:space="preserve"> </w:t>
      </w:r>
      <w:r>
        <w:rPr>
          <w:rFonts w:ascii="Nirmala UI" w:hAnsi="Nirmala UI" w:eastAsia="Nirmala UI" w:cs="Nirmala UI"/>
        </w:rPr>
        <w:t>मनुष्य</w:t>
      </w:r>
      <w:r>
        <w:rPr>
          <w:rFonts w:ascii="Times New Roman" w:hAnsi="Times New Roman" w:eastAsia="Times New Roman" w:cs="Times New Roman"/>
        </w:rPr>
        <w:t xml:space="preserve"> </w:t>
      </w:r>
      <w:r>
        <w:rPr>
          <w:rFonts w:ascii="Nirmala UI" w:hAnsi="Nirmala UI" w:eastAsia="Nirmala UI" w:cs="Nirmala UI"/>
        </w:rPr>
        <w:t>उठ</w:t>
      </w:r>
      <w:r>
        <w:rPr>
          <w:rFonts w:ascii="Times New Roman" w:hAnsi="Times New Roman" w:eastAsia="Times New Roman" w:cs="Times New Roman"/>
        </w:rPr>
        <w:t xml:space="preserve"> </w:t>
      </w:r>
      <w:r>
        <w:rPr>
          <w:rFonts w:ascii="Nirmala UI" w:hAnsi="Nirmala UI" w:eastAsia="Nirmala UI" w:cs="Nirmala UI"/>
        </w:rPr>
        <w:t>खड़ा</w:t>
      </w:r>
      <w:r>
        <w:rPr>
          <w:rFonts w:ascii="Times New Roman" w:hAnsi="Times New Roman" w:eastAsia="Times New Roman" w:cs="Times New Roman"/>
        </w:rPr>
        <w:t xml:space="preserve"> </w:t>
      </w:r>
      <w:r>
        <w:rPr>
          <w:rFonts w:ascii="Nirmala UI" w:hAnsi="Nirmala UI" w:eastAsia="Nirmala UI" w:cs="Nirmala UI"/>
        </w:rPr>
        <w:t>होगा</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सम्मान</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देंगे</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शान्तिपूर्वक</w:t>
      </w:r>
      <w:r>
        <w:rPr>
          <w:rFonts w:ascii="Times New Roman" w:hAnsi="Times New Roman" w:eastAsia="Times New Roman" w:cs="Times New Roman"/>
        </w:rPr>
        <w:t xml:space="preserve"> </w:t>
      </w:r>
      <w:r>
        <w:rPr>
          <w:rFonts w:ascii="Nirmala UI" w:hAnsi="Nirmala UI" w:eastAsia="Nirmala UI" w:cs="Nirmala UI"/>
        </w:rPr>
        <w:t>आएगा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चिकनी</w:t>
      </w:r>
      <w:r>
        <w:rPr>
          <w:rFonts w:ascii="Times New Roman" w:hAnsi="Times New Roman" w:eastAsia="Times New Roman" w:cs="Times New Roman"/>
        </w:rPr>
        <w:t>-</w:t>
      </w:r>
      <w:r>
        <w:rPr>
          <w:rFonts w:ascii="Nirmala UI" w:hAnsi="Nirmala UI" w:eastAsia="Nirmala UI" w:cs="Nirmala UI"/>
        </w:rPr>
        <w:t>चुपड़ी</w:t>
      </w:r>
      <w:r>
        <w:rPr>
          <w:rFonts w:ascii="Times New Roman" w:hAnsi="Times New Roman" w:eastAsia="Times New Roman" w:cs="Times New Roman"/>
        </w:rPr>
        <w:t xml:space="preserve"> </w:t>
      </w:r>
      <w:r>
        <w:rPr>
          <w:rFonts w:ascii="Nirmala UI" w:hAnsi="Nirmala UI" w:eastAsia="Nirmala UI" w:cs="Nirmala UI"/>
        </w:rPr>
        <w:t>बातों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प्राप्त</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बाढ़</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सेनाओं</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बहा</w:t>
      </w:r>
      <w:r>
        <w:rPr>
          <w:rFonts w:ascii="Times New Roman" w:hAnsi="Times New Roman" w:eastAsia="Times New Roman" w:cs="Times New Roman"/>
        </w:rPr>
        <w:t xml:space="preserve"> </w:t>
      </w:r>
      <w:r>
        <w:rPr>
          <w:rFonts w:ascii="Nirmala UI" w:hAnsi="Nirmala UI" w:eastAsia="Nirmala UI" w:cs="Nirmala UI"/>
        </w:rPr>
        <w:t>दिए</w:t>
      </w:r>
      <w:r>
        <w:rPr>
          <w:rFonts w:ascii="Times New Roman" w:hAnsi="Times New Roman" w:eastAsia="Times New Roman" w:cs="Times New Roman"/>
        </w:rPr>
        <w:t xml:space="preserve"> </w:t>
      </w:r>
      <w:r>
        <w:rPr>
          <w:rFonts w:ascii="Nirmala UI" w:hAnsi="Nirmala UI" w:eastAsia="Nirmala UI" w:cs="Nirmala UI"/>
        </w:rPr>
        <w:t>जाएँगे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तोड़</w:t>
      </w:r>
      <w:r>
        <w:rPr>
          <w:rFonts w:ascii="Times New Roman" w:hAnsi="Times New Roman" w:eastAsia="Times New Roman" w:cs="Times New Roman"/>
        </w:rPr>
        <w:t xml:space="preserve"> </w:t>
      </w:r>
      <w:r>
        <w:rPr>
          <w:rFonts w:ascii="Nirmala UI" w:hAnsi="Nirmala UI" w:eastAsia="Nirmala UI" w:cs="Nirmala UI"/>
        </w:rPr>
        <w:t>डाले</w:t>
      </w:r>
      <w:r>
        <w:rPr>
          <w:rFonts w:ascii="Times New Roman" w:hAnsi="Times New Roman" w:eastAsia="Times New Roman" w:cs="Times New Roman"/>
        </w:rPr>
        <w:t xml:space="preserve"> </w:t>
      </w:r>
      <w:r>
        <w:rPr>
          <w:rFonts w:ascii="Nirmala UI" w:hAnsi="Nirmala UI" w:eastAsia="Nirmala UI" w:cs="Nirmala UI"/>
        </w:rPr>
        <w:t>जाएँगे</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वाचा</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प्रधान</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सन्धि</w:t>
      </w:r>
      <w:r>
        <w:rPr>
          <w:rFonts w:ascii="Times New Roman" w:hAnsi="Times New Roman" w:eastAsia="Times New Roman" w:cs="Times New Roman"/>
        </w:rPr>
        <w:t xml:space="preserve"> </w:t>
      </w:r>
      <w:r>
        <w:rPr>
          <w:rFonts w:ascii="Nirmala UI" w:hAnsi="Nirmala UI" w:eastAsia="Nirmala UI" w:cs="Nirmala UI"/>
        </w:rPr>
        <w:t>किए</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बाद</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छल</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काम</w:t>
      </w:r>
      <w:r>
        <w:rPr>
          <w:rFonts w:ascii="Times New Roman" w:hAnsi="Times New Roman" w:eastAsia="Times New Roman" w:cs="Times New Roman"/>
        </w:rPr>
        <w:t xml:space="preserve"> </w:t>
      </w:r>
      <w:r>
        <w:rPr>
          <w:rFonts w:ascii="Nirmala UI" w:hAnsi="Nirmala UI" w:eastAsia="Nirmala UI" w:cs="Nirmala UI"/>
        </w:rPr>
        <w:t>करेगा</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चढ़</w:t>
      </w:r>
      <w:r>
        <w:rPr>
          <w:rFonts w:ascii="Times New Roman" w:hAnsi="Times New Roman" w:eastAsia="Times New Roman" w:cs="Times New Roman"/>
        </w:rPr>
        <w:t xml:space="preserve"> </w:t>
      </w:r>
      <w:r>
        <w:rPr>
          <w:rFonts w:ascii="Nirmala UI" w:hAnsi="Nirmala UI" w:eastAsia="Nirmala UI" w:cs="Nirmala UI"/>
        </w:rPr>
        <w:t>आएगा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थोड़े</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बलवन्त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जाएगा।</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शान्तिपूर्वक</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सबसे</w:t>
      </w:r>
      <w:r>
        <w:rPr>
          <w:rFonts w:ascii="Times New Roman" w:hAnsi="Times New Roman" w:eastAsia="Times New Roman" w:cs="Times New Roman"/>
        </w:rPr>
        <w:t xml:space="preserve"> </w:t>
      </w:r>
      <w:r>
        <w:rPr>
          <w:rFonts w:ascii="Nirmala UI" w:hAnsi="Nirmala UI" w:eastAsia="Nirmala UI" w:cs="Nirmala UI"/>
        </w:rPr>
        <w:t>समृद्ध</w:t>
      </w:r>
      <w:r>
        <w:rPr>
          <w:rFonts w:ascii="Times New Roman" w:hAnsi="Times New Roman" w:eastAsia="Times New Roman" w:cs="Times New Roman"/>
        </w:rPr>
        <w:t xml:space="preserve"> </w:t>
      </w:r>
      <w:r>
        <w:rPr>
          <w:rFonts w:ascii="Nirmala UI" w:hAnsi="Nirmala UI" w:eastAsia="Nirmala UI" w:cs="Nirmala UI"/>
        </w:rPr>
        <w:t>स्थानों</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प्रवेश</w:t>
      </w:r>
      <w:r>
        <w:rPr>
          <w:rFonts w:ascii="Times New Roman" w:hAnsi="Times New Roman" w:eastAsia="Times New Roman" w:cs="Times New Roman"/>
        </w:rPr>
        <w:t xml:space="preserve"> </w:t>
      </w:r>
      <w:r>
        <w:rPr>
          <w:rFonts w:ascii="Nirmala UI" w:hAnsi="Nirmala UI" w:eastAsia="Nirmala UI" w:cs="Nirmala UI"/>
        </w:rPr>
        <w:t>करेगा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ऐसा</w:t>
      </w:r>
      <w:r>
        <w:rPr>
          <w:rFonts w:ascii="Times New Roman" w:hAnsi="Times New Roman" w:eastAsia="Times New Roman" w:cs="Times New Roman"/>
        </w:rPr>
        <w:t xml:space="preserve"> </w:t>
      </w:r>
      <w:r>
        <w:rPr>
          <w:rFonts w:ascii="Nirmala UI" w:hAnsi="Nirmala UI" w:eastAsia="Nirmala UI" w:cs="Nirmala UI"/>
        </w:rPr>
        <w:t>करेगा</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पितरों</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पितरों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पितरों</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बीच</w:t>
      </w:r>
      <w:r>
        <w:rPr>
          <w:rFonts w:ascii="Times New Roman" w:hAnsi="Times New Roman" w:eastAsia="Times New Roman" w:cs="Times New Roman"/>
        </w:rPr>
        <w:t xml:space="preserve"> </w:t>
      </w:r>
      <w:r>
        <w:rPr>
          <w:rFonts w:ascii="Nirmala UI" w:hAnsi="Nirmala UI" w:eastAsia="Nirmala UI" w:cs="Nirmala UI"/>
        </w:rPr>
        <w:t>लूट</w:t>
      </w:r>
      <w:r>
        <w:rPr>
          <w:rFonts w:ascii="Times New Roman" w:hAnsi="Times New Roman" w:eastAsia="Times New Roman" w:cs="Times New Roman"/>
        </w:rPr>
        <w:t xml:space="preserve">, </w:t>
      </w:r>
      <w:r>
        <w:rPr>
          <w:rFonts w:ascii="Nirmala UI" w:hAnsi="Nirmala UI" w:eastAsia="Nirmala UI" w:cs="Nirmala UI"/>
        </w:rPr>
        <w:t>माल</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धन</w:t>
      </w:r>
      <w:r>
        <w:rPr>
          <w:rFonts w:ascii="Times New Roman" w:hAnsi="Times New Roman" w:eastAsia="Times New Roman" w:cs="Times New Roman"/>
        </w:rPr>
        <w:t xml:space="preserve"> </w:t>
      </w:r>
      <w:r>
        <w:rPr>
          <w:rFonts w:ascii="Nirmala UI" w:hAnsi="Nirmala UI" w:eastAsia="Nirmala UI" w:cs="Nirmala UI"/>
        </w:rPr>
        <w:t>बाँट</w:t>
      </w:r>
      <w:r>
        <w:rPr>
          <w:rFonts w:ascii="Times New Roman" w:hAnsi="Times New Roman" w:eastAsia="Times New Roman" w:cs="Times New Roman"/>
        </w:rPr>
        <w:t xml:space="preserve"> </w:t>
      </w:r>
      <w:r>
        <w:rPr>
          <w:rFonts w:ascii="Nirmala UI" w:hAnsi="Nirmala UI" w:eastAsia="Nirmala UI" w:cs="Nirmala UI"/>
        </w:rPr>
        <w:t>देगा</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कुछ</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गढ़ों</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विरुद्ध</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युक्तियाँ</w:t>
      </w:r>
      <w:r>
        <w:rPr>
          <w:rFonts w:ascii="Times New Roman" w:hAnsi="Times New Roman" w:eastAsia="Times New Roman" w:cs="Times New Roman"/>
        </w:rPr>
        <w:t xml:space="preserve"> </w:t>
      </w:r>
      <w:r>
        <w:rPr>
          <w:rFonts w:ascii="Nirmala UI" w:hAnsi="Nirmala UI" w:eastAsia="Nirmala UI" w:cs="Nirmala UI"/>
        </w:rPr>
        <w:t>रचेगा।</w:t>
      </w:r>
      <w:r>
        <w:rPr>
          <w:rFonts w:ascii="Times New Roman" w:hAnsi="Times New Roman" w:eastAsia="Times New Roman" w:cs="Times New Roman"/>
        </w:rPr>
        <w:t xml:space="preserve"> </w:t>
      </w:r>
      <w:r>
        <w:rPr>
          <w:rFonts w:ascii="Nirmala UI" w:hAnsi="Nirmala UI" w:eastAsia="Nirmala UI" w:cs="Nirmala UI"/>
        </w:rPr>
        <w:t>दानिय्येल</w:t>
      </w:r>
      <w:r>
        <w:rPr>
          <w:rFonts w:ascii="Times New Roman" w:hAnsi="Times New Roman" w:eastAsia="Times New Roman" w:cs="Times New Roman"/>
        </w:rPr>
        <w:t xml:space="preserve"> 11:21–24.</w:t>
      </w:r>
    </w:p>
    <w:p>
      <w:pPr>
        <w:pStyle w:val="ArticleBody"/>
        <w:jc w:val="left"/>
      </w:pPr>
      <w:r>
        <w:rPr>
          <w:rFonts w:ascii="Times New Roman" w:hAnsi="Times New Roman" w:eastAsia="Times New Roman" w:cs="Times New Roman"/>
        </w:rPr>
        <w:t>Байттың соңғы тіркесіндегі “қарсы” деген сөз шын мәнінде “-дан, -ден” дегенді білдіреді, және аят пұтқа табынушы Рим өзінің тірегінен (Рим қаласынан) үш жүз алпыс жыл бойы билік жүргізетінін (өз айла-амалдарын жоспарлайтынын) айтып тұр.</w:t>
      </w:r>
    </w:p>
    <w:p>
      <w:pPr>
        <w:pStyle w:val="ArticleScripture"/>
        <w:jc w:val="left"/>
      </w:pPr>
      <w:r>
        <w:rPr>
          <w:rFonts w:ascii="Times New Roman" w:hAnsi="Times New Roman" w:eastAsia="Times New Roman" w:cs="Times New Roman"/>
        </w:rPr>
        <w:t>“‘VERS 24. Il entrera paisiblement jusque dans les lieux les plus fertiles de la province; et il fera ce que n’ont fait ni ses pères ni les pères de ses pères; il distribuera parmi eux le butin, les dépouilles et les richesses; oui, il formera ses desseins contre les forteresses, et cela pour un temps.’”</w:t>
      </w:r>
    </w:p>
    <w:p>
      <w:pPr>
        <w:pStyle w:val="ArticleScripture"/>
        <w:jc w:val="left"/>
      </w:pPr>
      <w:r>
        <w:rPr>
          <w:rFonts w:ascii="Times New Roman" w:hAnsi="Times New Roman" w:eastAsia="Times New Roman" w:cs="Times New Roman"/>
        </w:rPr>
        <w:t>“Ƙa’idar da al’ummai suka saba bi, kafin zamanin Roma, wajen mallakar larduna masu daraja da ƙasa mai yalwa, ita ce ta yaƙi da cin nasara. Yanzu kuwa Roma za ta yi abin da ba ubanni ko ubannin ubanni suka taɓa yi ba; wato, ta karɓi waɗannan ƙarin mallake-mallake ta hanyar zaman lafiya. Sai aka fara wannan al’ada, wadda ba a taɓa jin irinta ba a da, ta sarakuna suna barin mulkokinsu ga Romawa ta hanyar wasiyya. Ta haka Roma ta mallaki manyan larduna.”</w:t>
      </w:r>
    </w:p>
    <w:p>
      <w:pPr>
        <w:pStyle w:val="ArticleScripture"/>
        <w:jc w:val="left"/>
      </w:pPr>
      <w:r>
        <w:rPr>
          <w:rFonts w:ascii="Times New Roman" w:hAnsi="Times New Roman" w:eastAsia="Times New Roman" w:cs="Times New Roman"/>
        </w:rPr>
        <w:t>“Na wale ambao kwa namna hiyo waliingia chini ya utawala wa Roma walipata faida isiyo ndogo kutokana nao. Walitendewa kwa wema na upole. Ilikuwa kana kwamba mawindo na nyara ziligawanywa miongoni mwao. Walilindwa dhidi ya adui zao, nao wakastarehe katika amani na usalama chini ya ulinzi wa mamlaka ya Kirumi.</w:t>
      </w:r>
    </w:p>
    <w:p>
      <w:pPr>
        <w:pStyle w:val="ArticleScripture"/>
        <w:jc w:val="left"/>
      </w:pPr>
      <w:r>
        <w:rPr>
          <w:rFonts w:ascii="Times New Roman" w:hAnsi="Times New Roman" w:eastAsia="Times New Roman" w:cs="Times New Roman"/>
        </w:rPr>
        <w:t>«Қақ айояти мазкурнинг сўнгги қисмига, епископ Ньютон истеҳкомларга қарши эмас, балки истеҳкомлардан туриб башоратли тадбирларни олдиндан кўриш маъносини беради. Римликлар буни етти тепалик шаҳрининг қудратли қалъасидан туриб амалга оширдилар. “Ҳатто бир вақтгача;” шубҳасиз, башоратли бир вақт, яъни 360 йил. Бу йиллар қайси нуқтадан бошлаб ҳисобланиши керак? Эҳтимол, кейинги оятда назарга келтирилган воқеадан.»</w:t>
      </w:r>
    </w:p>
    <w:p>
      <w:pPr>
        <w:pStyle w:val="ArticleScripture"/>
        <w:jc w:val="left"/>
      </w:pPr>
      <w:r>
        <w:rPr>
          <w:rFonts w:ascii="Times New Roman" w:hAnsi="Times New Roman" w:eastAsia="Times New Roman" w:cs="Times New Roman"/>
        </w:rPr>
        <w:t>«ԱՅԱՏ 25. Եվ նա պիտի գրգռի իր զորությունն ու իր քաջությունը հարավի թագավորի դեմ՝ մեծ զորքով. և հարավի թագավորը պիտի գրգռվի պատերազմի՝ չափազանց մեծ և հզոր զորքով. բայց նա չի կանգնի, որովհետև նրա դեմ նենգ հնարքներ պիտի նյութեն»։</w:t>
      </w:r>
    </w:p>
    <w:p>
      <w:pPr>
        <w:pStyle w:val="ArticleScripture"/>
        <w:jc w:val="left"/>
      </w:pPr>
      <w:r>
        <w:rPr>
          <w:rFonts w:ascii="Times New Roman" w:hAnsi="Times New Roman" w:eastAsia="Times New Roman" w:cs="Times New Roman"/>
        </w:rPr>
        <w:t>«Mit den Versen 23 und 24 werden wir von dem Bündnis zwischen den Juden und den Römern im Jahre 161 v. Chr. zu jener Zeit herabgeführt, da Rom die Weltherrschaft erlangt hatte. Der nun vor uns liegende Vers führt einen kraftvollen Feldzug gegen den König des Südens, Ägypten, vor Augen sowie das Stattfinden einer bemerkenswerten Schlacht zwischen großen und mächtigen Heeren. Haben sich derartige Ereignisse um diese Zeit in der Geschichte Roms zugetragen?—Sie haben es. Der Krieg war der Krieg zwischen Ägypten und Rom; und die Schlacht war die Schlacht bei Actium. Werfen wir einen kurzen Blick auf die Umstände, die zu diesem Konflikt führten.» Uriah Smith, Daniel and the Revelation, 271–273.</w:t>
      </w:r>
    </w:p>
    <w:p>
      <w:pPr>
        <w:pStyle w:val="ArticleBody"/>
        <w:jc w:val="left"/>
      </w:pPr>
      <w:r>
        <w:rPr>
          <w:rFonts w:ascii="Times New Roman" w:hAnsi="Times New Roman" w:eastAsia="Times New Roman" w:cs="Times New Roman"/>
        </w:rPr>
        <w:t>Mu masesengurakuvugwa hakurikiraho, Daniyeli yongeye kuvuga igihe cyagenwe n’iherezo.</w:t>
      </w:r>
    </w:p>
    <w:p>
      <w:pPr>
        <w:pStyle w:val="ArticleScripture"/>
        <w:jc w:val="left"/>
      </w:pPr>
      <w:r>
        <w:rPr>
          <w:rFonts w:ascii="Times New Roman" w:hAnsi="Times New Roman" w:eastAsia="Times New Roman" w:cs="Times New Roman"/>
        </w:rPr>
        <w:t>Naloka hanetsika ny heriny sy ny fahasahiany hanohitra ny mpanjakan’ny atsimo izy amin’ny tafika lehibe; ary ny mpanjakan’ny atsimo kosa dia hifoha hiady amin’ny tafika lehibe tokoa sady mahery; nefa tsy hahatohitra izy, fa hamolavola tetika hamelezana azy ireo. Eny, izay mihinana amin’ny anjara haniny no handringana azy, ary ny tafiny dia handrava toy ny safo-drano; ary maro no ho lavo voavono. Ary ny fon’izy roa lahy, dia ireo mpanjaka ireo, dia hikasa hanao ratsy, ary hiteny lainga eo amin’ny latabatra iray; nefa tsy hahomby izany, fa mbola amin’ny fotoana voatendry ihany no hahataperan’ny zavatra. Dia hiverina any amin’ny taniny izy mitondra harena be; ary ny fony dia hanohitra ny fanekena masina; ary hanao zavatra mahery izy, dia hiverina any amin’ny taniny indray. Amin’ny fotoana voatendry dia hiverina izy ka ho avy ho any atsimo; nefa tsy ho tahaka ny teo aloha izany, na tahaka ny any aoriana. Daniela 11:25–29.</w:t>
      </w:r>
    </w:p>
    <w:p>
      <w:pPr>
        <w:pStyle w:val="ArticleBody"/>
        <w:jc w:val="left"/>
      </w:pPr>
      <w:r>
        <w:rPr>
          <w:rFonts w:ascii="Times New Roman" w:hAnsi="Times New Roman" w:eastAsia="Times New Roman" w:cs="Times New Roman"/>
        </w:rPr>
        <w:t>Surah ya nɛmam etɔ so awotwe no mu no, Gabriel kyerɛɛ mu sɛ “chazon,” anisoadehu a ɛfa mfe mpem abien ahanum ne aduonu ho no, bɛba n’awiei wɔ bere a wɔahyɛ no, na ɛno akyi no bere a “awiei bere” gyina hɔ ma no bɛhyɛ ase. Wɔ asɛm yi mu no, bere a wɔahyɛ no ne mfe ahasa ne aduosia no awiei a Roma abosonsomfo bedi wiase so tumi kɛse mu. Wɔ asɛm yi mu no, “awiei bere” biara nni hɔ, efisɛ na biribiara nni hɔ a wɔasɔw ano a na ɛsɛ sɛ wobue ano wɔ abakɔsɛm bere no awiei.</w:t>
      </w:r>
    </w:p>
    <w:p>
      <w:pPr>
        <w:pStyle w:val="ArticleBody"/>
        <w:jc w:val="left"/>
      </w:pPr>
      <w:r>
        <w:rPr>
          <w:rFonts w:ascii="Times New Roman" w:hAnsi="Times New Roman" w:eastAsia="Times New Roman" w:cs="Times New Roman"/>
        </w:rPr>
        <w:t>Na mokapo ya mwambe ya Daniele, emoniseli ya “nsuka ya suka” ya nkanda, oyo ezalaki mibu nkóto mibale na nkama mitano mpe tuku mibale, oyo esilaki na ntango moko na mibu nkóto mibale na nkama misato, ekangamaki mpo na “ntango ya nsuka”; mpamba te na 1844, oyo ezalaki ntango etyamaki mpo na bimoniseli nyonso mibale, pole ya anzelu ya misato efungwamaki. Na Daniele zomi na moko, molongo ya ntuku misato kino ntuku misato na motoba, na nsuka ya “nkanda ya liboso” na 1798, esengelaki kozala eleko moko oyo elakisamaki lokola “ntango ya nsuka,” tango pole ya anzelu ya liboso efungwamaki. Yango wana, esakweli ya ntango oyo etali Rome ya bapakano ezalaki na ntango ya nsuka te, kasi kaka na ntango oyo etyamaki, oyo emonisaki ntango mibu nkama misato na tuku motoba esukaki; kasi ntango oyo etyamaki na 1798, mpe ntango oyo etyamaki na 1844, nyonso mibale efungolaki nsango moko oyo esengelaki kososolama na eleko oyo elakisami lokola “ntango ya nsuka”.</w:t>
      </w:r>
    </w:p>
    <w:p>
      <w:pPr>
        <w:pStyle w:val="ArticleBody"/>
        <w:jc w:val="left"/>
      </w:pPr>
      <w:r>
        <w:rPr>
          <w:rFonts w:ascii="Times New Roman" w:hAnsi="Times New Roman" w:eastAsia="Times New Roman" w:cs="Times New Roman"/>
        </w:rPr>
        <w:t>Rom wird so offenbart, wie es innerhalb seiner prophetischen Zeit prophetisch dargestellt ist. „Eine Zeit und Zeiten und eine halbe Zeit“, „zweiundvierzig Monate“, „tausendzweihundertsechzig Tage“ und „dreieinhalb Jahre“ sind einige der verschiedenen Symbole, die den Zeitraum darstellen, in dem das Papsttum während des finsteren Mittelalters herrschte. Der Zeitraum, der die Bewegung der Milleriten mit der Bewegung der einhundertvierundvierzigtausend verbindet, beträgt einhundertsechsundzwanzig Jahre. Einhundertsechsundzwanzig ist ebenfalls ein Symbol für tausendzweihundertsechzig Tage, denn es ist ein Zehntel dieser Zahl. Die einhundertsechsundzwanzig Jahre von der Rebellion des Jahres 1863 bis zu der bestimmten Zeit im Jahr 1989 kennzeichnen 1989 als Gottes festgesetzten Termin mit Seinem Volk der letzten Tage.</w:t>
      </w:r>
    </w:p>
    <w:p>
      <w:pPr>
        <w:pStyle w:val="ArticleBody"/>
        <w:jc w:val="left"/>
      </w:pPr>
      <w:r>
        <w:rPr>
          <w:rFonts w:ascii="Times New Roman" w:hAnsi="Times New Roman" w:eastAsia="Times New Roman" w:cs="Times New Roman"/>
        </w:rPr>
        <w:t>Nous poursuivrons cette étude dans le prochain article.</w:t>
      </w:r>
    </w:p>
    <w:p>
      <w:pPr>
        <w:pStyle w:val="ArticleScripture"/>
        <w:jc w:val="left"/>
      </w:pPr>
      <w:r>
        <w:rPr>
          <w:rFonts w:ascii="Times New Roman" w:hAnsi="Times New Roman" w:eastAsia="Times New Roman" w:cs="Times New Roman"/>
        </w:rPr>
        <w:t>“Comment devons-nous sonder les Écritures? Devons-nous enfoncer, l’un après l’autre, les pieux de notre doctrine, puis chercher à faire concorder toute l’Écriture avec nos opinions arrêtées, ou bien devons-nous apporter nos idées et nos vues aux Écritures, et mesurer nos théories de tous côtés à l’aune des Écritures de vérité? Beaucoup de ceux qui lisent la Bible et même l’enseignent ne comprennent pas la précieuse vérité qu’ils enseignent ou étudient. Les hommes entretiennent des erreurs, alors que la vérité est clairement tracée; et s’ils voulaient seulement soumettre leurs doctrines à la parole de Dieu, au lieu de lire la parole de Dieu à la lumière de leurs doctrines pour prouver la justesse de leurs idées, ils ne marcheraient pas dans les ténèbres et l’aveuglement, ni ne nourriraient l’erreur. Beaucoup donnent aux paroles de l’Écriture un sens qui convient à leurs propres opinions, et ils s’égarent eux-mêmes et trompent les autres par leurs fausses interprétations de la parole de Dieu. Lorsque nous entreprenons l’étude de la parole de Dieu, nous devons le faire avec des cœurs humbles. Tout égoïsme, tout amour de l’originalité, doit être mis de côté. Les opinions longtemps chéries ne doivent pas être regardées comme infaillibles. Ce fut le refus des Juifs d’abandonner leurs traditions établies de longue date qui causa leur ruine. Ils étaient déterminés à ne voir aucune faille dans leurs propres opinions ni dans leurs explications des Écritures; mais, quelque longtemps que des hommes aient entretenu certaines vues, si elles ne sont pas clairement soutenues par la parole écrite, elles doivent être rejetées.</w:t>
      </w:r>
    </w:p>
    <w:p>
      <w:pPr>
        <w:pStyle w:val="ArticleScripture"/>
        <w:jc w:val="left"/>
      </w:pPr>
      <w:r>
        <w:rPr>
          <w:rFonts w:ascii="Times New Roman" w:hAnsi="Times New Roman" w:eastAsia="Times New Roman" w:cs="Times New Roman"/>
        </w:rPr>
        <w:t>“Ceux qui désirent sincèrement la vérité ne répugneront pas à soumettre leurs positions à l’examen et à la critique, et ne s’irriteront pas si l’on contredit leurs opinions et leurs idées. Tel était l’esprit entretenu parmi nous il y a quarante ans. Nous nous réunissions avec l’âme chargée, priant afin que nous fussions unis dans la foi et dans la doctrine; car nous savions que le Christ n’est pas divisé. Un point après l’autre était pris comme objet d’investigation. Une gravité solennelle caractérisait ces conseils d’examen. Les Écritures étaient ouvertes avec un sentiment de crainte révérencieuse. Souvent nous jeûnions, afin d’être mieux préparés à comprendre la vérité. Après une prière fervente, si un point n’était pas compris, il était discuté, et chacun exprimait librement son opinion; puis nous nous inclinions de nouveau dans la prière, et d’ardentes supplications montaient vers le ciel afin que Dieu nous aidât à voir d’un même œil, pour que nous fussions un, comme le Christ et le Père sont un. Bien des larmes furent versées. Si un frère reprenait un autre à cause de sa lenteur de compréhension, parce qu’il ne saisissait pas un passage comme lui-même le comprenait, celui qui avait été repris prenait ensuite son frère par la main et disait: ‘N’attristons pas le Saint-Esprit de Dieu. Jésus est avec nous; conservons un esprit humble et docile;’ et le frère auquel on s’adressait disait: ‘Pardonne-moi, frère, je t’ai fait tort.’ Alors nous nous agenouillions de nouveau pour un autre moment de prière. Nous passions ainsi de nombreuses heures. En général, nous n’étudiions pas ensemble plus de quatre heures à la fois; toutefois, il arrivait parfois que la nuit entière se passât en un solennel examen des Écritures, afin que nous comprissions la vérité pour notre temps. En certaines occasions, l’Esprit de Dieu venait sur moi, et des passages difficiles devenaient clairs par le moyen désigné de Dieu; alors régnait une parfaite harmonie. Nous étions tous d’une même pensée et d’un même Esprit.</w:t>
      </w:r>
    </w:p>
    <w:p>
      <w:pPr>
        <w:pStyle w:val="ArticleScripture"/>
        <w:jc w:val="left"/>
      </w:pPr>
      <w:r>
        <w:rPr>
          <w:rFonts w:ascii="Times New Roman" w:hAnsi="Times New Roman" w:eastAsia="Times New Roman" w:cs="Times New Roman"/>
        </w:rPr>
        <w:t>“Waxnu si daacadnimo iyo dadaal weyn leh u doonnay inaan Qorniinka lagu qalloocin si uu ugu habboonaado ra’yiga nin kasta. Waxaannu ku dadaalnay inaan kala duwanaanshahayaga ka dhigno mid sida ugu yar suurtogalka ah ah, annagoo aan ku dheeraan qodobbada muhiimaddoodu yar tahay ee ay ka jireen aragtiyo kala duwan. Laakiin culayska saarnaa naf kasta wuxuu ahaa in walaalaha dhexdooda lagu abuuro xaalad ka jawaabi karta ducadii Masiixa ee ahayd in xertiisu ay mid noqdaan sida isaga iyo Aabbuhu mid u yihiin. Mararka qaarkood hal ama laba ka mid ah walaalaha ayaa si madax-adayg ah isugu taagi jiray aragtida la soo bandhigay, oo waxay muujin jireen dareennada dabiiciga ah ee qalbiga; laakiin marka dabcigaas oo kale soo muuqdo, waxaannu hakinnay baadhitaannadayadii oo shirkeenna dib u dhignay, si mid kasta uu fursad ugu helo inuu Ilaah baryo, iyo isaga oo aan kuwa kale la hadlin, inuu barto qodobka lagu kala duwanaa, isagoo iftiin ka codsanaya samada. Annagoo muujinayna saaxiibtinnimo ayaannu kala tagi jirnay, si aan haddana mar kale isugu nimaadno sida ugu dhakhsaha badan ee suurtogalka ah baadhitaan dheeraad ah aawadiis. Mararka qaarkood xoogga Ilaah ayaa si muuqata noogu soo degi jiray, oo markii iftiin cad muujiyo qodobbada runta, waxaannu wada ooyi jirnay oo wada farxi jirnay. Ciise waan jeclayn; innaguna midba midka kale waan jeclayn.”</w:t>
      </w:r>
    </w:p>
    <w:p>
      <w:pPr>
        <w:pStyle w:val="ArticleScripture"/>
        <w:jc w:val="left"/>
      </w:pPr>
      <w:r>
        <w:rPr>
          <w:rFonts w:ascii="Times New Roman" w:hAnsi="Times New Roman" w:eastAsia="Times New Roman" w:cs="Times New Roman"/>
        </w:rPr>
        <w:t>«У ті дні Бог діяв для нас, і істина була дорогоцінною для наших душ. Необхідно, щоб наша єдність сьогодні була такого характеру, який витримає випробування скорботою. Тут ми перебуваємо в школі Вчителя, щоб бути навченими для школи вишньої. Ми повинні навчитися зносити розчарування по-христоподібному, і урок, що його навчає це, матиме для нас велике значення.</w:t>
      </w:r>
    </w:p>
    <w:p>
      <w:pPr>
        <w:pStyle w:val="ArticleScripture"/>
        <w:jc w:val="left"/>
      </w:pPr>
      <w:r>
        <w:rPr>
          <w:rFonts w:ascii="Times New Roman" w:hAnsi="Times New Roman" w:eastAsia="Times New Roman" w:cs="Times New Roman"/>
        </w:rPr>
        <w:t>« Nous avons beaucoup de leçons à apprendre, et beaucoup, beaucoup à désapprendre. Dieu et le ciel seuls sont infaillibles. Ceux qui pensent qu’ils n’auront jamais à abandonner une opinion chérie, qu’ils n’auront jamais occasion de changer d’avis, seront déçus. Tant que nous nous attacherons à nos propres idées et opinions avec une persistance déterminée, nous ne pourrons avoir l’unité pour laquelle Christ a prié. » Review and Herald, 26 juillet 1892.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 Livre de Daniel - Numéro cent soixante-deux</dc:title>
  <dc:subject>Wakati wa Kiunabii wa Roma: Kufunua Maono</dc:subject>
  <dc:creator>Jeff Pippenger</dc:creator>
  <cp:keywords/>
  <dc:description>Generated by ArticleDigger from daniel\162_daniel.json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