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soixante-trois</w:t>
      </w:r>
    </w:p>
    <w:p>
      <w:pPr>
        <w:pStyle w:val="ArticleSubtitle"/>
        <w:jc w:val="left"/>
      </w:pPr>
      <w:r>
        <w:rPr>
          <w:rFonts w:ascii="Arial" w:hAnsi="Arial" w:eastAsia="Arial" w:cs="Arial"/>
        </w:rPr>
        <w:t>Fakpaa Nɔ Cee: Daniel Kpasɛ 11wo Hakpanyaẹwo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Nous allons maintenant commencer à parcourir le chapitre onze de Daniel.</w:t>
      </w:r>
    </w:p>
    <w:p>
      <w:pPr>
        <w:pStyle w:val="ArticleScripture"/>
        <w:jc w:val="left"/>
      </w:pPr>
      <w:r>
        <w:rPr>
          <w:rFonts w:ascii="Microsoft YaHei" w:hAnsi="Microsoft YaHei" w:eastAsia="Microsoft YaHei" w:cs="Microsoft YaHei"/>
        </w:rPr>
        <w:t>我又曾在玛代人大利乌元年</w:t>
      </w:r>
      <w:r>
        <w:rPr>
          <w:rFonts w:ascii="Times New Roman" w:hAnsi="Times New Roman" w:eastAsia="Times New Roman" w:cs="Times New Roman"/>
        </w:rPr>
        <w:t>,</w:t>
      </w:r>
      <w:r>
        <w:rPr>
          <w:rFonts w:ascii="Microsoft YaHei" w:hAnsi="Microsoft YaHei" w:eastAsia="Microsoft YaHei" w:cs="Microsoft YaHei"/>
        </w:rPr>
        <w:t>起来扶助他</w:t>
      </w:r>
      <w:r>
        <w:rPr>
          <w:rFonts w:ascii="Times New Roman" w:hAnsi="Times New Roman" w:eastAsia="Times New Roman" w:cs="Times New Roman"/>
        </w:rPr>
        <w:t>,</w:t>
      </w:r>
      <w:r>
        <w:rPr>
          <w:rFonts w:ascii="Microsoft YaHei" w:hAnsi="Microsoft YaHei" w:eastAsia="Microsoft YaHei" w:cs="Microsoft YaHei"/>
        </w:rPr>
        <w:t>使他坚强</w:t>
      </w:r>
      <w:r>
        <w:rPr>
          <w:rFonts w:ascii="Times New Roman" w:hAnsi="Times New Roman" w:eastAsia="Times New Roman" w:cs="Times New Roman"/>
        </w:rPr>
        <w:t>.</w:t>
      </w:r>
      <w:r>
        <w:rPr>
          <w:rFonts w:ascii="Microsoft YaHei" w:hAnsi="Microsoft YaHei" w:eastAsia="Microsoft YaHei" w:cs="Microsoft YaHei"/>
        </w:rPr>
        <w:t>现在我要将真情指示你：看哪</w:t>
      </w:r>
      <w:r>
        <w:rPr>
          <w:rFonts w:ascii="Times New Roman" w:hAnsi="Times New Roman" w:eastAsia="Times New Roman" w:cs="Times New Roman"/>
        </w:rPr>
        <w:t>,</w:t>
      </w:r>
      <w:r>
        <w:rPr>
          <w:rFonts w:ascii="Microsoft YaHei" w:hAnsi="Microsoft YaHei" w:eastAsia="Microsoft YaHei" w:cs="Microsoft YaHei"/>
        </w:rPr>
        <w:t>波斯还必兴起三王</w:t>
      </w:r>
      <w:r>
        <w:rPr>
          <w:rFonts w:ascii="Times New Roman" w:hAnsi="Times New Roman" w:eastAsia="Times New Roman" w:cs="Times New Roman"/>
        </w:rPr>
        <w:t>;</w:t>
      </w:r>
      <w:r>
        <w:rPr>
          <w:rFonts w:ascii="Microsoft YaHei" w:hAnsi="Microsoft YaHei" w:eastAsia="Microsoft YaHei" w:cs="Microsoft YaHei"/>
        </w:rPr>
        <w:t>第四王必比他们众人更富足</w:t>
      </w:r>
      <w:r>
        <w:rPr>
          <w:rFonts w:ascii="Times New Roman" w:hAnsi="Times New Roman" w:eastAsia="Times New Roman" w:cs="Times New Roman"/>
        </w:rPr>
        <w:t>.</w:t>
      </w:r>
      <w:r>
        <w:rPr>
          <w:rFonts w:ascii="Microsoft YaHei" w:hAnsi="Microsoft YaHei" w:eastAsia="Microsoft YaHei" w:cs="Microsoft YaHei"/>
        </w:rPr>
        <w:t>他因财富强盛</w:t>
      </w:r>
      <w:r>
        <w:rPr>
          <w:rFonts w:ascii="Times New Roman" w:hAnsi="Times New Roman" w:eastAsia="Times New Roman" w:cs="Times New Roman"/>
        </w:rPr>
        <w:t>,</w:t>
      </w:r>
      <w:r>
        <w:rPr>
          <w:rFonts w:ascii="Microsoft YaHei" w:hAnsi="Microsoft YaHei" w:eastAsia="Microsoft YaHei" w:cs="Microsoft YaHei"/>
        </w:rPr>
        <w:t>就必激动众人攻击希腊国</w:t>
      </w:r>
      <w:r>
        <w:rPr>
          <w:rFonts w:ascii="Times New Roman" w:hAnsi="Times New Roman" w:eastAsia="Times New Roman" w:cs="Times New Roman"/>
        </w:rPr>
        <w:t>.</w:t>
      </w:r>
      <w:r>
        <w:rPr>
          <w:rFonts w:ascii="Microsoft YaHei" w:hAnsi="Microsoft YaHei" w:eastAsia="Microsoft YaHei" w:cs="Microsoft YaHei"/>
        </w:rPr>
        <w:t>必有一位勇猛的王兴起</w:t>
      </w:r>
      <w:r>
        <w:rPr>
          <w:rFonts w:ascii="Times New Roman" w:hAnsi="Times New Roman" w:eastAsia="Times New Roman" w:cs="Times New Roman"/>
        </w:rPr>
        <w:t>,</w:t>
      </w:r>
      <w:r>
        <w:rPr>
          <w:rFonts w:ascii="Microsoft YaHei" w:hAnsi="Microsoft YaHei" w:eastAsia="Microsoft YaHei" w:cs="Microsoft YaHei"/>
        </w:rPr>
        <w:t>执掌大权</w:t>
      </w:r>
      <w:r>
        <w:rPr>
          <w:rFonts w:ascii="Times New Roman" w:hAnsi="Times New Roman" w:eastAsia="Times New Roman" w:cs="Times New Roman"/>
        </w:rPr>
        <w:t>,</w:t>
      </w:r>
      <w:r>
        <w:rPr>
          <w:rFonts w:ascii="Microsoft YaHei" w:hAnsi="Microsoft YaHei" w:eastAsia="Microsoft YaHei" w:cs="Microsoft YaHei"/>
        </w:rPr>
        <w:t>任意而行</w:t>
      </w:r>
      <w:r>
        <w:rPr>
          <w:rFonts w:ascii="Times New Roman" w:hAnsi="Times New Roman" w:eastAsia="Times New Roman" w:cs="Times New Roman"/>
        </w:rPr>
        <w:t>.</w:t>
      </w:r>
      <w:r>
        <w:rPr>
          <w:rFonts w:ascii="Microsoft YaHei" w:hAnsi="Microsoft YaHei" w:eastAsia="Microsoft YaHei" w:cs="Microsoft YaHei"/>
        </w:rPr>
        <w:t>他兴起的时候</w:t>
      </w:r>
      <w:r>
        <w:rPr>
          <w:rFonts w:ascii="Times New Roman" w:hAnsi="Times New Roman" w:eastAsia="Times New Roman" w:cs="Times New Roman"/>
        </w:rPr>
        <w:t>,</w:t>
      </w:r>
      <w:r>
        <w:rPr>
          <w:rFonts w:ascii="Microsoft YaHei" w:hAnsi="Microsoft YaHei" w:eastAsia="Microsoft YaHei" w:cs="Microsoft YaHei"/>
        </w:rPr>
        <w:t>他的国必破裂</w:t>
      </w:r>
      <w:r>
        <w:rPr>
          <w:rFonts w:ascii="Times New Roman" w:hAnsi="Times New Roman" w:eastAsia="Times New Roman" w:cs="Times New Roman"/>
        </w:rPr>
        <w:t>,</w:t>
      </w:r>
      <w:r>
        <w:rPr>
          <w:rFonts w:ascii="Microsoft YaHei" w:hAnsi="Microsoft YaHei" w:eastAsia="Microsoft YaHei" w:cs="Microsoft YaHei"/>
        </w:rPr>
        <w:t>向天的四方分开</w:t>
      </w:r>
      <w:r>
        <w:rPr>
          <w:rFonts w:ascii="Times New Roman" w:hAnsi="Times New Roman" w:eastAsia="Times New Roman" w:cs="Times New Roman"/>
        </w:rPr>
        <w:t>;</w:t>
      </w:r>
      <w:r>
        <w:rPr>
          <w:rFonts w:ascii="Microsoft YaHei" w:hAnsi="Microsoft YaHei" w:eastAsia="Microsoft YaHei" w:cs="Microsoft YaHei"/>
        </w:rPr>
        <w:t>却不归他的后裔</w:t>
      </w:r>
      <w:r>
        <w:rPr>
          <w:rFonts w:ascii="Times New Roman" w:hAnsi="Times New Roman" w:eastAsia="Times New Roman" w:cs="Times New Roman"/>
        </w:rPr>
        <w:t>,</w:t>
      </w:r>
      <w:r>
        <w:rPr>
          <w:rFonts w:ascii="Microsoft YaHei" w:hAnsi="Microsoft YaHei" w:eastAsia="Microsoft YaHei" w:cs="Microsoft YaHei"/>
        </w:rPr>
        <w:t>治权也不照他所掌握的</w:t>
      </w:r>
      <w:r>
        <w:rPr>
          <w:rFonts w:ascii="Times New Roman" w:hAnsi="Times New Roman" w:eastAsia="Times New Roman" w:cs="Times New Roman"/>
        </w:rPr>
        <w:t>,</w:t>
      </w:r>
      <w:r>
        <w:rPr>
          <w:rFonts w:ascii="Microsoft YaHei" w:hAnsi="Microsoft YaHei" w:eastAsia="Microsoft YaHei" w:cs="Microsoft YaHei"/>
        </w:rPr>
        <w:t>因为他的国必被拔出</w:t>
      </w:r>
      <w:r>
        <w:rPr>
          <w:rFonts w:ascii="Times New Roman" w:hAnsi="Times New Roman" w:eastAsia="Times New Roman" w:cs="Times New Roman"/>
        </w:rPr>
        <w:t>,</w:t>
      </w:r>
      <w:r>
        <w:rPr>
          <w:rFonts w:ascii="Microsoft YaHei" w:hAnsi="Microsoft YaHei" w:eastAsia="Microsoft YaHei" w:cs="Microsoft YaHei"/>
        </w:rPr>
        <w:t>归与后起之人</w:t>
      </w:r>
      <w:r>
        <w:rPr>
          <w:rFonts w:ascii="Times New Roman" w:hAnsi="Times New Roman" w:eastAsia="Times New Roman" w:cs="Times New Roman"/>
        </w:rPr>
        <w:t xml:space="preserve">. </w:t>
      </w:r>
      <w:r>
        <w:rPr>
          <w:rFonts w:ascii="Microsoft YaHei" w:hAnsi="Microsoft YaHei" w:eastAsia="Microsoft YaHei" w:cs="Microsoft YaHei"/>
        </w:rPr>
        <w:t>但以理书</w:t>
      </w:r>
      <w:r>
        <w:rPr>
          <w:rFonts w:ascii="Times New Roman" w:hAnsi="Times New Roman" w:eastAsia="Times New Roman" w:cs="Times New Roman"/>
        </w:rPr>
        <w:t xml:space="preserve"> 11:1–4</w:t>
      </w:r>
    </w:p>
    <w:p>
      <w:pPr>
        <w:pStyle w:val="ArticleBody"/>
        <w:jc w:val="left"/>
      </w:pPr>
      <w:r>
        <w:rPr>
          <w:rFonts w:ascii="Sylfaen" w:hAnsi="Sylfaen" w:eastAsia="Sylfaen" w:cs="Sylfaen"/>
        </w:rPr>
        <w:t>გაბრიელი</w:t>
      </w:r>
      <w:r>
        <w:rPr>
          <w:rFonts w:ascii="Times New Roman" w:hAnsi="Times New Roman" w:eastAsia="Times New Roman" w:cs="Times New Roman"/>
        </w:rPr>
        <w:t xml:space="preserve"> </w:t>
      </w:r>
      <w:r>
        <w:rPr>
          <w:rFonts w:ascii="Sylfaen" w:hAnsi="Sylfaen" w:eastAsia="Sylfaen" w:cs="Sylfaen"/>
        </w:rPr>
        <w:t>იწყებს</w:t>
      </w:r>
      <w:r>
        <w:rPr>
          <w:rFonts w:ascii="Times New Roman" w:hAnsi="Times New Roman" w:eastAsia="Times New Roman" w:cs="Times New Roman"/>
        </w:rPr>
        <w:t xml:space="preserve"> </w:t>
      </w:r>
      <w:r>
        <w:rPr>
          <w:rFonts w:ascii="Sylfaen" w:hAnsi="Sylfaen" w:eastAsia="Sylfaen" w:cs="Sylfaen"/>
        </w:rPr>
        <w:t>იმით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ატყობინებს</w:t>
      </w:r>
      <w:r>
        <w:rPr>
          <w:rFonts w:ascii="Times New Roman" w:hAnsi="Times New Roman" w:eastAsia="Times New Roman" w:cs="Times New Roman"/>
        </w:rPr>
        <w:t xml:space="preserve"> </w:t>
      </w:r>
      <w:r>
        <w:rPr>
          <w:rFonts w:ascii="Sylfaen" w:hAnsi="Sylfaen" w:eastAsia="Sylfaen" w:cs="Sylfaen"/>
        </w:rPr>
        <w:t>დანიელს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დარიოსთანაც</w:t>
      </w:r>
      <w:r>
        <w:rPr>
          <w:rFonts w:ascii="Times New Roman" w:hAnsi="Times New Roman" w:eastAsia="Times New Roman" w:cs="Times New Roman"/>
        </w:rPr>
        <w:t xml:space="preserve"> </w:t>
      </w:r>
      <w:r>
        <w:rPr>
          <w:rFonts w:ascii="Sylfaen" w:hAnsi="Sylfaen" w:eastAsia="Sylfaen" w:cs="Sylfaen"/>
        </w:rPr>
        <w:t>მოქმედებდა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განმავლობაში</w:t>
      </w:r>
      <w:r>
        <w:rPr>
          <w:rFonts w:ascii="Times New Roman" w:hAnsi="Times New Roman" w:eastAsia="Times New Roman" w:cs="Times New Roman"/>
        </w:rPr>
        <w:t xml:space="preserve">, </w:t>
      </w:r>
      <w:r>
        <w:rPr>
          <w:rFonts w:ascii="Sylfaen" w:hAnsi="Sylfaen" w:eastAsia="Sylfaen" w:cs="Sylfaen"/>
        </w:rPr>
        <w:t>ესე</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დარიოსის</w:t>
      </w:r>
      <w:r>
        <w:rPr>
          <w:rFonts w:ascii="Times New Roman" w:hAnsi="Times New Roman" w:eastAsia="Times New Roman" w:cs="Times New Roman"/>
        </w:rPr>
        <w:t xml:space="preserve"> </w:t>
      </w:r>
      <w:r>
        <w:rPr>
          <w:rFonts w:ascii="Sylfaen" w:hAnsi="Sylfaen" w:eastAsia="Sylfaen" w:cs="Sylfaen"/>
        </w:rPr>
        <w:t>ძმისშვილმა</w:t>
      </w:r>
      <w:r>
        <w:rPr>
          <w:rFonts w:ascii="Times New Roman" w:hAnsi="Times New Roman" w:eastAsia="Times New Roman" w:cs="Times New Roman"/>
        </w:rPr>
        <w:t xml:space="preserve">, </w:t>
      </w:r>
      <w:r>
        <w:rPr>
          <w:rFonts w:ascii="Sylfaen" w:hAnsi="Sylfaen" w:eastAsia="Sylfaen" w:cs="Sylfaen"/>
        </w:rPr>
        <w:t>მისმა</w:t>
      </w:r>
      <w:r>
        <w:rPr>
          <w:rFonts w:ascii="Times New Roman" w:hAnsi="Times New Roman" w:eastAsia="Times New Roman" w:cs="Times New Roman"/>
        </w:rPr>
        <w:t xml:space="preserve"> </w:t>
      </w:r>
      <w:r>
        <w:rPr>
          <w:rFonts w:ascii="Sylfaen" w:hAnsi="Sylfaen" w:eastAsia="Sylfaen" w:cs="Sylfaen"/>
        </w:rPr>
        <w:t>მხედართმთავარმა</w:t>
      </w:r>
      <w:r>
        <w:rPr>
          <w:rFonts w:ascii="Times New Roman" w:hAnsi="Times New Roman" w:eastAsia="Times New Roman" w:cs="Times New Roman"/>
        </w:rPr>
        <w:t xml:space="preserve">, </w:t>
      </w:r>
      <w:r>
        <w:rPr>
          <w:rFonts w:ascii="Sylfaen" w:hAnsi="Sylfaen" w:eastAsia="Sylfaen" w:cs="Sylfaen"/>
        </w:rPr>
        <w:t>აიღო</w:t>
      </w:r>
      <w:r>
        <w:rPr>
          <w:rFonts w:ascii="Times New Roman" w:hAnsi="Times New Roman" w:eastAsia="Times New Roman" w:cs="Times New Roman"/>
        </w:rPr>
        <w:t xml:space="preserve"> </w:t>
      </w:r>
      <w:r>
        <w:rPr>
          <w:rFonts w:ascii="Sylfaen" w:hAnsi="Sylfaen" w:eastAsia="Sylfaen" w:cs="Sylfaen"/>
        </w:rPr>
        <w:t>ბაბილონი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მოკლა</w:t>
      </w:r>
      <w:r>
        <w:rPr>
          <w:rFonts w:ascii="Times New Roman" w:hAnsi="Times New Roman" w:eastAsia="Times New Roman" w:cs="Times New Roman"/>
        </w:rPr>
        <w:t xml:space="preserve"> </w:t>
      </w:r>
      <w:r>
        <w:rPr>
          <w:rFonts w:ascii="Sylfaen" w:hAnsi="Sylfaen" w:eastAsia="Sylfaen" w:cs="Sylfaen"/>
        </w:rPr>
        <w:t>ბელშაცარი</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თანახმად</w:t>
      </w:r>
      <w:r>
        <w:rPr>
          <w:rFonts w:ascii="Times New Roman" w:hAnsi="Times New Roman" w:eastAsia="Times New Roman" w:cs="Times New Roman"/>
        </w:rPr>
        <w:t xml:space="preserve">, </w:t>
      </w:r>
      <w:r>
        <w:rPr>
          <w:rFonts w:ascii="Sylfaen" w:hAnsi="Sylfaen" w:eastAsia="Sylfaen" w:cs="Sylfaen"/>
        </w:rPr>
        <w:t>დანიელი</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ხილვას</w:t>
      </w:r>
      <w:r>
        <w:rPr>
          <w:rFonts w:ascii="Times New Roman" w:hAnsi="Times New Roman" w:eastAsia="Times New Roman" w:cs="Times New Roman"/>
        </w:rPr>
        <w:t xml:space="preserve"> </w:t>
      </w:r>
      <w:r>
        <w:rPr>
          <w:rFonts w:ascii="Sylfaen" w:hAnsi="Sylfaen" w:eastAsia="Sylfaen" w:cs="Sylfaen"/>
        </w:rPr>
        <w:t>იღებს</w:t>
      </w:r>
      <w:r>
        <w:rPr>
          <w:rFonts w:ascii="Times New Roman" w:hAnsi="Times New Roman" w:eastAsia="Times New Roman" w:cs="Times New Roman"/>
        </w:rPr>
        <w:t xml:space="preserve"> </w:t>
      </w:r>
      <w:r>
        <w:rPr>
          <w:rFonts w:ascii="Sylfaen" w:hAnsi="Sylfaen" w:eastAsia="Sylfaen" w:cs="Sylfaen"/>
        </w:rPr>
        <w:t>კიროსის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ამიტომ</w:t>
      </w:r>
      <w:r>
        <w:rPr>
          <w:rFonts w:ascii="Times New Roman" w:hAnsi="Times New Roman" w:eastAsia="Times New Roman" w:cs="Times New Roman"/>
        </w:rPr>
        <w:t xml:space="preserve"> </w:t>
      </w:r>
      <w:r>
        <w:rPr>
          <w:rFonts w:ascii="Sylfaen" w:hAnsi="Sylfaen" w:eastAsia="Sylfaen" w:cs="Sylfaen"/>
        </w:rPr>
        <w:t>გაბრიელი</w:t>
      </w:r>
      <w:r>
        <w:rPr>
          <w:rFonts w:ascii="Times New Roman" w:hAnsi="Times New Roman" w:eastAsia="Times New Roman" w:cs="Times New Roman"/>
        </w:rPr>
        <w:t xml:space="preserve"> </w:t>
      </w:r>
      <w:r>
        <w:rPr>
          <w:rFonts w:ascii="Sylfaen" w:hAnsi="Sylfaen" w:eastAsia="Sylfaen" w:cs="Sylfaen"/>
        </w:rPr>
        <w:t>დარიოსსაც</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კიროსსაც</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სიმბოლოებს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აღსასრულის</w:t>
      </w:r>
      <w:r>
        <w:rPr>
          <w:rFonts w:ascii="Times New Roman" w:hAnsi="Times New Roman" w:eastAsia="Times New Roman" w:cs="Times New Roman"/>
        </w:rPr>
        <w:t xml:space="preserve"> </w:t>
      </w:r>
      <w:r>
        <w:rPr>
          <w:rFonts w:ascii="Sylfaen" w:hAnsi="Sylfaen" w:eastAsia="Sylfaen" w:cs="Sylfaen"/>
        </w:rPr>
        <w:t>ჟამს</w:t>
      </w:r>
      <w:r>
        <w:rPr>
          <w:rFonts w:ascii="Times New Roman" w:hAnsi="Times New Roman" w:eastAsia="Times New Roman" w:cs="Times New Roman"/>
        </w:rPr>
        <w:t xml:space="preserve">“ </w:t>
      </w:r>
      <w:r>
        <w:rPr>
          <w:rFonts w:ascii="Sylfaen" w:hAnsi="Sylfaen" w:eastAsia="Sylfaen" w:cs="Sylfaen"/>
        </w:rPr>
        <w:t>წარმოადგენენ</w:t>
      </w:r>
      <w:r>
        <w:rPr>
          <w:rFonts w:ascii="Times New Roman" w:hAnsi="Times New Roman" w:eastAsia="Times New Roman" w:cs="Times New Roman"/>
        </w:rPr>
        <w:t xml:space="preserve">. </w:t>
      </w:r>
      <w:r>
        <w:rPr>
          <w:rFonts w:ascii="Sylfaen" w:hAnsi="Sylfaen" w:eastAsia="Sylfaen" w:cs="Sylfaen"/>
        </w:rPr>
        <w:t>ბელშაცარი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ბაბილონი</w:t>
      </w:r>
      <w:r>
        <w:rPr>
          <w:rFonts w:ascii="Times New Roman" w:hAnsi="Times New Roman" w:eastAsia="Times New Roman" w:cs="Times New Roman"/>
        </w:rPr>
        <w:t xml:space="preserve"> </w:t>
      </w:r>
      <w:r>
        <w:rPr>
          <w:rFonts w:ascii="Sylfaen" w:hAnsi="Sylfaen" w:eastAsia="Sylfaen" w:cs="Sylfaen"/>
        </w:rPr>
        <w:t>მიდო</w:t>
      </w:r>
      <w:r>
        <w:rPr>
          <w:rFonts w:ascii="Times New Roman" w:hAnsi="Times New Roman" w:eastAsia="Times New Roman" w:cs="Times New Roman"/>
        </w:rPr>
        <w:t>-</w:t>
      </w:r>
      <w:r>
        <w:rPr>
          <w:rFonts w:ascii="Sylfaen" w:hAnsi="Sylfaen" w:eastAsia="Sylfaen" w:cs="Sylfaen"/>
        </w:rPr>
        <w:t>სპარსეთის</w:t>
      </w:r>
      <w:r>
        <w:rPr>
          <w:rFonts w:ascii="Times New Roman" w:hAnsi="Times New Roman" w:eastAsia="Times New Roman" w:cs="Times New Roman"/>
        </w:rPr>
        <w:t xml:space="preserve"> </w:t>
      </w:r>
      <w:r>
        <w:rPr>
          <w:rFonts w:ascii="Sylfaen" w:hAnsi="Sylfaen" w:eastAsia="Sylfaen" w:cs="Sylfaen"/>
        </w:rPr>
        <w:t>იმპერიამ</w:t>
      </w:r>
      <w:r>
        <w:rPr>
          <w:rFonts w:ascii="Times New Roman" w:hAnsi="Times New Roman" w:eastAsia="Times New Roman" w:cs="Times New Roman"/>
        </w:rPr>
        <w:t xml:space="preserve"> </w:t>
      </w:r>
      <w:r>
        <w:rPr>
          <w:rFonts w:ascii="Sylfaen" w:hAnsi="Sylfaen" w:eastAsia="Sylfaen" w:cs="Sylfaen"/>
        </w:rPr>
        <w:t>დაიპყრო</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538 </w:t>
      </w:r>
      <w:r>
        <w:rPr>
          <w:rFonts w:ascii="Sylfaen" w:hAnsi="Sylfaen" w:eastAsia="Sylfaen" w:cs="Sylfaen"/>
        </w:rPr>
        <w:t>წელს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«Κῦρος ἐπολιόρκησε τὴν Βαβυλῶνα, τὴν ὁποίαν κατέλαβε διὰ στρατηγήματος τὸ 538 π.Χ., καὶ μὲ τὸν θάνατο τοῦ Βαλτάσαρ, τὸν ὁποῖον ἐφόνευσαν οἱ Πέρσαι, τὸ βασίλειον τῆς Βαβυλῶνος ἔπαυσε νὰ ὑπάρχει.» Uriah Smith, Daniel and the Revelation, 46.</w:t>
      </w:r>
    </w:p>
    <w:p>
      <w:pPr>
        <w:pStyle w:val="ArticleBody"/>
        <w:jc w:val="left"/>
      </w:pPr>
      <w:r>
        <w:rPr>
          <w:rFonts w:ascii="Leelawadee UI" w:hAnsi="Leelawadee UI" w:eastAsia="Leelawadee UI" w:cs="Leelawadee UI"/>
        </w:rPr>
        <w:t>ในปี</w:t>
      </w:r>
      <w:r>
        <w:rPr>
          <w:rFonts w:ascii="Times New Roman" w:hAnsi="Times New Roman" w:eastAsia="Times New Roman" w:cs="Times New Roman"/>
        </w:rPr>
        <w:t xml:space="preserve"> 538 </w:t>
      </w:r>
      <w:r>
        <w:rPr>
          <w:rFonts w:ascii="Leelawadee UI" w:hAnsi="Leelawadee UI" w:eastAsia="Leelawadee UI" w:cs="Leelawadee UI"/>
        </w:rPr>
        <w:t>ก่อนคริสตกาล</w:t>
      </w:r>
      <w:r>
        <w:rPr>
          <w:rFonts w:ascii="Times New Roman" w:hAnsi="Times New Roman" w:eastAsia="Times New Roman" w:cs="Times New Roman"/>
        </w:rPr>
        <w:t xml:space="preserve"> </w:t>
      </w:r>
      <w:r>
        <w:rPr>
          <w:rFonts w:ascii="Leelawadee UI" w:hAnsi="Leelawadee UI" w:eastAsia="Leelawadee UI" w:cs="Leelawadee UI"/>
        </w:rPr>
        <w:t>ดาเนียลได้บันทึกบทที่เก้าไว้</w:t>
      </w:r>
    </w:p>
    <w:p>
      <w:pPr>
        <w:pStyle w:val="ArticleScripture"/>
        <w:jc w:val="left"/>
      </w:pPr>
      <w:r>
        <w:rPr>
          <w:rFonts w:ascii="Times New Roman" w:hAnsi="Times New Roman" w:eastAsia="Times New Roman" w:cs="Times New Roman"/>
        </w:rPr>
        <w:t>«Tafsiri iliyorekodiwa katika sura iliyotangulia [sura ya nane] ilitolewa katika mwaka wa tatu wa Belshaza, KK 538. Katika mwaka huohuo, ambao pia ulikuwa mwaka wa kwanza wa Dario, matukio yaliyosimuliwa katika sura hii [sura ya tisa] yalitukia.» Uriah Smith, Daniel and the Revelation, 205.</w:t>
      </w:r>
    </w:p>
    <w:p>
      <w:pPr>
        <w:pStyle w:val="ArticleBody"/>
        <w:jc w:val="left"/>
      </w:pPr>
      <w:r>
        <w:rPr>
          <w:rFonts w:ascii="Times New Roman" w:hAnsi="Times New Roman" w:eastAsia="Times New Roman" w:cs="Times New Roman"/>
        </w:rPr>
        <w:t>Mwaka wa liboso ya Dariusi, oyo ezalaki mobu ya misato mpe ya nsuka ya Beleshasari, na mobu 538 liboso ya Klisto, Nkolo apesaki etumbu na mokili ya Bakaladea, mpe akómisaki yango etando.</w:t>
      </w:r>
    </w:p>
    <w:p>
      <w:pPr>
        <w:pStyle w:val="ArticleScripture"/>
        <w:jc w:val="left"/>
      </w:pPr>
      <w:r>
        <w:rPr>
          <w:rFonts w:ascii="Times New Roman" w:hAnsi="Times New Roman" w:eastAsia="Times New Roman" w:cs="Times New Roman"/>
        </w:rPr>
        <w:t>Y esta tierra entera será desolación y espanto; y estas naciones servirán al rey de Babilonia setenta años. Y acontecerá que, cuando se hayan cumplido los setenta años, castigaré al rey de Babilonia y a aquella nación, dice el Señor, por su iniquidad, y a la tierra de los caldeos; y la convertiré en desolaciones perpetuas. Jeremías 25:11, 12.</w:t>
      </w:r>
    </w:p>
    <w:p>
      <w:pPr>
        <w:pStyle w:val="ArticleBody"/>
        <w:jc w:val="left"/>
      </w:pPr>
      <w:r>
        <w:rPr>
          <w:rFonts w:ascii="Times New Roman" w:hAnsi="Times New Roman" w:eastAsia="Times New Roman" w:cs="Times New Roman"/>
        </w:rPr>
        <w:t>Au verset dix, le Seigneur emploie le mot « après », alors qu’il introduit le châtiment de Babylone. « Après » que Babylone aura été rendue désolée, le Seigneur accomplira sa bonne œuvre en faveur du peuple de Dieu.</w:t>
      </w:r>
    </w:p>
    <w:p>
      <w:pPr>
        <w:pStyle w:val="ArticleScripture"/>
        <w:jc w:val="left"/>
      </w:pPr>
      <w:r>
        <w:rPr>
          <w:rFonts w:ascii="Times New Roman" w:hAnsi="Times New Roman" w:eastAsia="Times New Roman" w:cs="Times New Roman"/>
        </w:rPr>
        <w:t>Car ainsi parle le Seigneur : Lorsque soixante-dix ans seront accomplis à Babylone, je vous visiterai, et j’accomplirai à votre égard ma bonne parole, en vous faisant revenir dans ce lieu. Jérémie 25:10.</w:t>
      </w:r>
    </w:p>
    <w:p>
      <w:pPr>
        <w:pStyle w:val="ArticleBody"/>
        <w:jc w:val="left"/>
      </w:pPr>
      <w:r>
        <w:rPr>
          <w:rFonts w:ascii="Times New Roman" w:hAnsi="Times New Roman" w:eastAsia="Times New Roman" w:cs="Times New Roman"/>
        </w:rPr>
        <w:t>Die siebzigjährige Gefangenschaft begann im Jahr 606 v. Chr.</w:t>
      </w:r>
    </w:p>
    <w:p>
      <w:pPr>
        <w:pStyle w:val="ArticleScripture"/>
        <w:jc w:val="left"/>
      </w:pPr>
      <w:r>
        <w:rPr>
          <w:rFonts w:ascii="Times New Roman" w:hAnsi="Times New Roman" w:eastAsia="Times New Roman" w:cs="Times New Roman"/>
        </w:rPr>
        <w:t>“Kuanzia miaka ile sabini mwaka 606 KK, Danieli alielewa kwamba sasa ilikuwa inakaribia mwisho wake.” Uriah Smith, Daniel and the Revelation, 205.</w:t>
      </w:r>
    </w:p>
    <w:p>
      <w:pPr>
        <w:pStyle w:val="ArticleBody"/>
        <w:jc w:val="left"/>
      </w:pPr>
      <w:r>
        <w:rPr>
          <w:rFonts w:ascii="Times New Roman" w:hAnsi="Times New Roman" w:eastAsia="Times New Roman" w:cs="Times New Roman"/>
        </w:rPr>
        <w:t>Īpaši septiņdesmit gadu gūstība sākās 606. gadā p.m.ē. un beidzās 536. gadā p.m.ē., tas ir, divus gadus pēc Belšacara nāves un Bābeles izpostīšanas 538. gadā p.m.ē. Tas bija Kīra trešais valdīšanas gads. Gabriēls novieto pravietojumu pie Hiddeķela upes Kīra trešajā gadā un sāk vienpadsmitās nodaļas vēstījumu, atsaucoties uz Dārija pirmo gadu, un, to darīdams, viņš norāda uz diviem konkrētiem gadiem. Gan 538. gads p.m.ē., gan 536. gads p.m.ē. bija nolikti laiki: 538. gads p.m.ē. bija noliktais laiks, kad bija jānoslēdzas septiņdesmit gadu pravietojumam, bet 536. gads p.m.ē. bija noliktais pravietiskais laiks, kad “pēc” 538. gada p.m.ē. Tas Kungs piepildīs Savu labo darbu Savu ļaužu labā.</w:t>
      </w:r>
    </w:p>
    <w:p>
      <w:pPr>
        <w:pStyle w:val="ArticleBody"/>
        <w:jc w:val="left"/>
      </w:pPr>
      <w:r>
        <w:rPr>
          <w:rFonts w:ascii="Times New Roman" w:hAnsi="Times New Roman" w:eastAsia="Times New Roman" w:cs="Times New Roman"/>
        </w:rPr>
        <w:t>538 av. J.-C. et 536 av. J.-C. sont tous deux des temps marqués, et ils sont représentés par deux personnages historiques : le premier était le premier roi des Mèdes, et le second le premier roi de Perse. La fin des soixante-dix années durant lesquelles l’Israël littéral fut captif dans Babylone littérale représentait les mille deux cent soixante années durant lesquelles l’Israël spirituel fut captif dans Babylone spirituelle, de l’an 538 apr. J.-C. à 1798. 1798 fut un « temps marqué », puis commença la période prophétiquement désignée comme « le temps de la fin ». 538 av. J.-C. et 536 av. J.-C., qui sont représentés comme un « temps marqué », marquent aussi le commencement d’une période représentée comme « le temps de la fin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សាសនាចក្ររបស់ព្រះនៅលើផែនដី</w:t>
      </w:r>
      <w:r>
        <w:rPr>
          <w:rFonts w:ascii="Times New Roman" w:hAnsi="Times New Roman" w:eastAsia="Times New Roman" w:cs="Times New Roman"/>
        </w:rPr>
        <w:t xml:space="preserve"> </w:t>
      </w:r>
      <w:r>
        <w:rPr>
          <w:rFonts w:ascii="Leelawadee UI" w:hAnsi="Leelawadee UI" w:eastAsia="Leelawadee UI" w:cs="Leelawadee UI"/>
        </w:rPr>
        <w:t>បានស្ថិតនៅក្នុងការជាប់ជាឈ្លើយយ៉ាងពិតប្រាកដក្នុងអំឡុងពេលដ៏យូរនៃការបៀតបៀនឥតស្រាកស្រានេះ</w:t>
      </w:r>
      <w:r>
        <w:rPr>
          <w:rFonts w:ascii="Times New Roman" w:hAnsi="Times New Roman" w:eastAsia="Times New Roman" w:cs="Times New Roman"/>
        </w:rPr>
        <w:t xml:space="preserve"> </w:t>
      </w:r>
      <w:r>
        <w:rPr>
          <w:rFonts w:ascii="Leelawadee UI" w:hAnsi="Leelawadee UI" w:eastAsia="Leelawadee UI" w:cs="Leelawadee UI"/>
        </w:rPr>
        <w:t>ដូចជាកូនចៅអ៊ីស្រាអែលដែលត្រូវបានឃុំជាឈ្លើយនៅបាប៊ីឡូន</w:t>
      </w:r>
      <w:r>
        <w:rPr>
          <w:rFonts w:ascii="Times New Roman" w:hAnsi="Times New Roman" w:eastAsia="Times New Roman" w:cs="Times New Roman"/>
        </w:rPr>
        <w:t xml:space="preserve"> </w:t>
      </w:r>
      <w:r>
        <w:rPr>
          <w:rFonts w:ascii="Leelawadee UI" w:hAnsi="Leelawadee UI" w:eastAsia="Leelawadee UI" w:cs="Leelawadee UI"/>
        </w:rPr>
        <w:t>ក្នុងអំឡុងពេលនៃការនិរទេសដែរ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Prophets and Kings, 714.</w:t>
      </w:r>
    </w:p>
    <w:p>
      <w:pPr>
        <w:pStyle w:val="ArticleBody"/>
        <w:jc w:val="left"/>
      </w:pPr>
      <w:r>
        <w:rPr>
          <w:rFonts w:ascii="Leelawadee UI" w:hAnsi="Leelawadee UI" w:eastAsia="Leelawadee UI" w:cs="Leelawadee UI"/>
        </w:rPr>
        <w:t>ทุกคำพยากรณ์กล่าวถึงยุคสุดท้ายโดยเฉพาะเจาะจงยิ่งกว่าวันเวลาในยุคที่คำพยากรณ์นั้นสำเร็จเป็นครั้งแรก</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538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และกษัตริย์ดาริอัส</w:t>
      </w:r>
      <w:r>
        <w:rPr>
          <w:rFonts w:ascii="Times New Roman" w:hAnsi="Times New Roman" w:eastAsia="Times New Roman" w:cs="Times New Roman"/>
        </w:rPr>
        <w:t xml:space="preserve"> </w:t>
      </w:r>
      <w:r>
        <w:rPr>
          <w:rFonts w:ascii="Leelawadee UI" w:hAnsi="Leelawadee UI" w:eastAsia="Leelawadee UI" w:cs="Leelawadee UI"/>
        </w:rPr>
        <w:t>พร้อมทั้งปี</w:t>
      </w:r>
      <w:r>
        <w:rPr>
          <w:rFonts w:ascii="Times New Roman" w:hAnsi="Times New Roman" w:eastAsia="Times New Roman" w:cs="Times New Roman"/>
        </w:rPr>
        <w:t xml:space="preserve"> 536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และกษัตริย์ไซรัส</w:t>
      </w:r>
      <w:r>
        <w:rPr>
          <w:rFonts w:ascii="Times New Roman" w:hAnsi="Times New Roman" w:eastAsia="Times New Roman" w:cs="Times New Roman"/>
        </w:rPr>
        <w:t xml:space="preserve"> </w:t>
      </w:r>
      <w:r>
        <w:rPr>
          <w:rFonts w:ascii="Leelawadee UI" w:hAnsi="Leelawadee UI" w:eastAsia="Leelawadee UI" w:cs="Leelawadee UI"/>
        </w:rPr>
        <w:t>จึงเป็นภาพแทนของ</w:t>
      </w:r>
      <w:r>
        <w:rPr>
          <w:rFonts w:ascii="Times New Roman" w:hAnsi="Times New Roman" w:eastAsia="Times New Roman" w:cs="Times New Roman"/>
        </w:rPr>
        <w:t xml:space="preserve"> “</w:t>
      </w:r>
      <w:r>
        <w:rPr>
          <w:rFonts w:ascii="Leelawadee UI" w:hAnsi="Leelawadee UI" w:eastAsia="Leelawadee UI" w:cs="Leelawadee UI"/>
        </w:rPr>
        <w:t>เวลาแห่งจุดจบ</w:t>
      </w:r>
      <w:r>
        <w:rPr>
          <w:rFonts w:ascii="Times New Roman" w:hAnsi="Times New Roman" w:eastAsia="Times New Roman" w:cs="Times New Roman"/>
        </w:rPr>
        <w:t xml:space="preserve">” </w:t>
      </w:r>
      <w:r>
        <w:rPr>
          <w:rFonts w:ascii="Leelawadee UI" w:hAnsi="Leelawadee UI" w:eastAsia="Leelawadee UI" w:cs="Leelawadee UI"/>
        </w:rPr>
        <w:t>ในปี</w:t>
      </w:r>
      <w:r>
        <w:rPr>
          <w:rFonts w:ascii="Times New Roman" w:hAnsi="Times New Roman" w:eastAsia="Times New Roman" w:cs="Times New Roman"/>
        </w:rPr>
        <w:t xml:space="preserve"> 1989 </w:t>
      </w:r>
      <w:r>
        <w:rPr>
          <w:rFonts w:ascii="Leelawadee UI" w:hAnsi="Leelawadee UI" w:eastAsia="Leelawadee UI" w:cs="Leelawadee UI"/>
        </w:rPr>
        <w:t>และกษัตริย์ทั้งสองเป็นแบบอย่างเชิงสัญลักษณ์ของประธานาธิบดีเรแกนและประธานาธิบดีบุชผู้บิดา</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538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และ</w:t>
      </w:r>
      <w:r>
        <w:rPr>
          <w:rFonts w:ascii="Times New Roman" w:hAnsi="Times New Roman" w:eastAsia="Times New Roman" w:cs="Times New Roman"/>
        </w:rPr>
        <w:t xml:space="preserve"> 536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เป็นตัวแทนของหมายสำคัญหนึ่งซึ่งสำเร็จครบถ้วนโดยเข้าใจว่าทั้งสองวันที่กล่าวนั้นเป็นตัวแทนของหมายสำคัญเดียวกัน</w:t>
      </w:r>
      <w:r>
        <w:rPr>
          <w:rFonts w:ascii="Times New Roman" w:hAnsi="Times New Roman" w:eastAsia="Times New Roman" w:cs="Times New Roman"/>
        </w:rPr>
        <w:t xml:space="preserve"> </w:t>
      </w:r>
      <w:r>
        <w:rPr>
          <w:rFonts w:ascii="Leelawadee UI" w:hAnsi="Leelawadee UI" w:eastAsia="Leelawadee UI" w:cs="Leelawadee UI"/>
        </w:rPr>
        <w:t>หมายสำคัญของ</w:t>
      </w:r>
      <w:r>
        <w:rPr>
          <w:rFonts w:ascii="Times New Roman" w:hAnsi="Times New Roman" w:eastAsia="Times New Roman" w:cs="Times New Roman"/>
        </w:rPr>
        <w:t xml:space="preserve"> “</w:t>
      </w:r>
      <w:r>
        <w:rPr>
          <w:rFonts w:ascii="Leelawadee UI" w:hAnsi="Leelawadee UI" w:eastAsia="Leelawadee UI" w:cs="Leelawadee UI"/>
        </w:rPr>
        <w:t>เวลาแห่งจุดจบ</w:t>
      </w:r>
      <w:r>
        <w:rPr>
          <w:rFonts w:ascii="Times New Roman" w:hAnsi="Times New Roman" w:eastAsia="Times New Roman" w:cs="Times New Roman"/>
        </w:rPr>
        <w:t xml:space="preserve">” </w:t>
      </w:r>
      <w:r>
        <w:rPr>
          <w:rFonts w:ascii="Leelawadee UI" w:hAnsi="Leelawadee UI" w:eastAsia="Leelawadee UI" w:cs="Leelawadee UI"/>
        </w:rPr>
        <w:t>ประกอบด้วยสัญลักษณ์สองประการ</w:t>
      </w:r>
      <w:r>
        <w:rPr>
          <w:rFonts w:ascii="Times New Roman" w:hAnsi="Times New Roman" w:eastAsia="Times New Roman" w:cs="Times New Roman"/>
        </w:rPr>
        <w:t xml:space="preserve"> </w:t>
      </w:r>
      <w:r>
        <w:rPr>
          <w:rFonts w:ascii="Leelawadee UI" w:hAnsi="Leelawadee UI" w:eastAsia="Leelawadee UI" w:cs="Leelawadee UI"/>
        </w:rPr>
        <w:t>และบางครั้ง</w:t>
      </w:r>
      <w:r>
        <w:rPr>
          <w:rFonts w:ascii="Times New Roman" w:hAnsi="Times New Roman" w:eastAsia="Times New Roman" w:cs="Times New Roman"/>
        </w:rPr>
        <w:t xml:space="preserve"> </w:t>
      </w:r>
      <w:r>
        <w:rPr>
          <w:rFonts w:ascii="Leelawadee UI" w:hAnsi="Leelawadee UI" w:eastAsia="Leelawadee UI" w:cs="Leelawadee UI"/>
        </w:rPr>
        <w:t>ดังเช่นในกรณีของเรแกนและบุชผู้บิดา</w:t>
      </w:r>
      <w:r>
        <w:rPr>
          <w:rFonts w:ascii="Times New Roman" w:hAnsi="Times New Roman" w:eastAsia="Times New Roman" w:cs="Times New Roman"/>
        </w:rPr>
        <w:t xml:space="preserve"> </w:t>
      </w:r>
      <w:r>
        <w:rPr>
          <w:rFonts w:ascii="Leelawadee UI" w:hAnsi="Leelawadee UI" w:eastAsia="Leelawadee UI" w:cs="Leelawadee UI"/>
        </w:rPr>
        <w:t>สัญลักษณ์ทั้งสองนั้นก็สำเร็จในปีเดียวกัน</w:t>
      </w:r>
      <w:r>
        <w:rPr>
          <w:rFonts w:ascii="Times New Roman" w:hAnsi="Times New Roman" w:eastAsia="Times New Roman" w:cs="Times New Roman"/>
        </w:rPr>
        <w:t xml:space="preserve"> </w:t>
      </w:r>
      <w:r>
        <w:rPr>
          <w:rFonts w:ascii="Leelawadee UI" w:hAnsi="Leelawadee UI" w:eastAsia="Leelawadee UI" w:cs="Leelawadee UI"/>
        </w:rPr>
        <w:t>แต่กรณีนั้นเป็นข้อยกเว้นจากหลักทั่วไป</w:t>
      </w:r>
      <w:r>
        <w:rPr>
          <w:rFonts w:ascii="Times New Roman" w:hAnsi="Times New Roman" w:eastAsia="Times New Roman" w:cs="Times New Roman"/>
        </w:rPr>
        <w:t xml:space="preserve"> </w:t>
      </w:r>
      <w:r>
        <w:rPr>
          <w:rFonts w:ascii="Leelawadee UI" w:hAnsi="Leelawadee UI" w:eastAsia="Leelawadee UI" w:cs="Leelawadee UI"/>
        </w:rPr>
        <w:t>เพราะหมายสำคัญของ</w:t>
      </w:r>
      <w:r>
        <w:rPr>
          <w:rFonts w:ascii="Times New Roman" w:hAnsi="Times New Roman" w:eastAsia="Times New Roman" w:cs="Times New Roman"/>
        </w:rPr>
        <w:t xml:space="preserve"> “</w:t>
      </w:r>
      <w:r>
        <w:rPr>
          <w:rFonts w:ascii="Leelawadee UI" w:hAnsi="Leelawadee UI" w:eastAsia="Leelawadee UI" w:cs="Leelawadee UI"/>
        </w:rPr>
        <w:t>เวลาแห่งจุดจบ</w:t>
      </w:r>
      <w:r>
        <w:rPr>
          <w:rFonts w:ascii="Times New Roman" w:hAnsi="Times New Roman" w:eastAsia="Times New Roman" w:cs="Times New Roman"/>
        </w:rPr>
        <w:t xml:space="preserve">” </w:t>
      </w:r>
      <w:r>
        <w:rPr>
          <w:rFonts w:ascii="Leelawadee UI" w:hAnsi="Leelawadee UI" w:eastAsia="Leelawadee UI" w:cs="Leelawadee UI"/>
        </w:rPr>
        <w:t>ในสมัยของโมเสสคือการกำเนิดของทั้งอาโรนและโมเสส</w:t>
      </w:r>
      <w:r>
        <w:rPr>
          <w:rFonts w:ascii="Times New Roman" w:hAnsi="Times New Roman" w:eastAsia="Times New Roman" w:cs="Times New Roman"/>
        </w:rPr>
        <w:t xml:space="preserve"> </w:t>
      </w:r>
      <w:r>
        <w:rPr>
          <w:rFonts w:ascii="Leelawadee UI" w:hAnsi="Leelawadee UI" w:eastAsia="Leelawadee UI" w:cs="Leelawadee UI"/>
        </w:rPr>
        <w:t>ซึ่งห่างกันสามปี</w:t>
      </w:r>
      <w:r>
        <w:rPr>
          <w:rFonts w:ascii="Times New Roman" w:hAnsi="Times New Roman" w:eastAsia="Times New Roman" w:cs="Times New Roman"/>
        </w:rPr>
        <w:t xml:space="preserve"> </w:t>
      </w:r>
      <w:r>
        <w:rPr>
          <w:rFonts w:ascii="Leelawadee UI" w:hAnsi="Leelawadee UI" w:eastAsia="Leelawadee UI" w:cs="Leelawadee UI"/>
        </w:rPr>
        <w:t>ในประวัติศาสตร์ของพระคริสต์</w:t>
      </w:r>
      <w:r>
        <w:rPr>
          <w:rFonts w:ascii="Times New Roman" w:hAnsi="Times New Roman" w:eastAsia="Times New Roman" w:cs="Times New Roman"/>
        </w:rPr>
        <w:t xml:space="preserve"> </w:t>
      </w:r>
      <w:r>
        <w:rPr>
          <w:rFonts w:ascii="Leelawadee UI" w:hAnsi="Leelawadee UI" w:eastAsia="Leelawadee UI" w:cs="Leelawadee UI"/>
        </w:rPr>
        <w:t>หมายสำคัญนั้นคือการกำเนิดของยอห์นผู้ให้บัพติศมาและพระคริสต์</w:t>
      </w:r>
      <w:r>
        <w:rPr>
          <w:rFonts w:ascii="Times New Roman" w:hAnsi="Times New Roman" w:eastAsia="Times New Roman" w:cs="Times New Roman"/>
        </w:rPr>
        <w:t xml:space="preserve"> </w:t>
      </w:r>
      <w:r>
        <w:rPr>
          <w:rFonts w:ascii="Leelawadee UI" w:hAnsi="Leelawadee UI" w:eastAsia="Leelawadee UI" w:cs="Leelawadee UI"/>
        </w:rPr>
        <w:t>ซึ่งห่างกันหกเดือน</w:t>
      </w:r>
    </w:p>
    <w:p>
      <w:pPr>
        <w:pStyle w:val="ArticleBody"/>
        <w:jc w:val="left"/>
      </w:pPr>
      <w:r>
        <w:rPr>
          <w:rFonts w:ascii="Times New Roman" w:hAnsi="Times New Roman" w:eastAsia="Times New Roman" w:cs="Times New Roman"/>
        </w:rPr>
        <w:t>بـ«وقت النهاية»، في تاريخ ضدّ المسيح، كان ذلك في 1798 و1799. إنّ الثورة الفرنسية موضوعٌ للنبوة، وقد بدأت سنة 1789 واستمرّت عشر سنوات، منتهيةً في 1799، في وقتها المعيَّن، كما كانت سنة 1798 أيضًا وقتًا معيَّنًا. وهما معًا يحدّدان الجرح المميت الذي أُعطي للوحش، وكذلك المرأة التي كانت راكبةً على الوحش ومتسلّطةً عليه. وكان داريوس هو الملك الذي هزم عدوّه بإدخال جيشه عبر «السور»، وهو يمثّل ريغان، الذي هزم عدوّه بإسقاط جدار «الستار الحديدي». ويمثّل كورش بوش الأوّل، لأنّ كورش معروفٌ باسم كورش العظيم، وجورج بوش الأوّل هو بوش الأكبر، أمّا بوش الأخير فهو بوش الأصغر.</w:t>
      </w:r>
    </w:p>
    <w:p>
      <w:pPr>
        <w:pStyle w:val="ArticleBody"/>
        <w:jc w:val="left"/>
      </w:pPr>
      <w:r>
        <w:rPr>
          <w:rFonts w:ascii="Times New Roman" w:hAnsi="Times New Roman" w:eastAsia="Times New Roman" w:cs="Times New Roman"/>
        </w:rPr>
        <w:t>Boŋɛni mɛ ni kaŋa fila ni tilegbɛ fila minnu bɛ u jira fɔlɔ kelen de ye. Kelen bɛ san biwɔrɔ ni kelen jira, minnu la Babilɔni tun bɛna masaya kɛ. O san biwɔrɔ ma se a dafa yɔrɔ la san 538 ka sɔn Yesu siɲɛ fɔ, ani o bɛ Darius taamasiyɛn na. Mɔgɔ minnu tun bɛ jɔnw la san biwɔrɔ, olu hakɛ dafa ma se a dafa yɔrɔ la san 536 ka sɔn Yesu siɲɛ fɔ, ani o bɛ Cyrus taamasiyɛn na. U bee faraɲɔgɔn kan ka “laban waati” jira, waati min na annabiya kalan kɛnɛya ka kan ka yɔrɔla. San 1798 la, Kɛnɛyali sarakɛla fɔlɔ, min bɛ Kɛnɛyali sɛbɛn tan ni naani la, seera “laban waati” ma, ani Muso White ko o mɛlɛka “tɛ se ka kɛ mɔgɔ wɛrɛ ye fɔ Yesu Kristi yɛrɛ.”</w:t>
      </w:r>
    </w:p>
    <w:p>
      <w:pPr>
        <w:pStyle w:val="ArticleBody"/>
        <w:jc w:val="left"/>
      </w:pPr>
      <w:r>
        <w:rPr>
          <w:rFonts w:ascii="Microsoft YaHei" w:hAnsi="Microsoft YaHei" w:eastAsia="Microsoft YaHei" w:cs="Microsoft YaHei"/>
        </w:rPr>
        <w:t>於古列第三年</w:t>
      </w:r>
      <w:r>
        <w:rPr>
          <w:rFonts w:ascii="Times New Roman" w:hAnsi="Times New Roman" w:eastAsia="Times New Roman" w:cs="Times New Roman"/>
        </w:rPr>
        <w:t>,</w:t>
      </w:r>
      <w:r>
        <w:rPr>
          <w:rFonts w:ascii="Microsoft YaHei" w:hAnsi="Microsoft YaHei" w:eastAsia="Microsoft YaHei" w:cs="Microsoft YaHei"/>
        </w:rPr>
        <w:t>上帝子民的君米迦勒、亦為眾天使的天使長</w:t>
      </w:r>
      <w:r>
        <w:rPr>
          <w:rFonts w:ascii="Times New Roman" w:hAnsi="Times New Roman" w:eastAsia="Times New Roman" w:cs="Times New Roman"/>
        </w:rPr>
        <w:t>,</w:t>
      </w:r>
      <w:r>
        <w:rPr>
          <w:rFonts w:ascii="Microsoft YaHei" w:hAnsi="Microsoft YaHei" w:eastAsia="Microsoft YaHei" w:cs="Microsoft YaHei"/>
        </w:rPr>
        <w:t>降臨與古列相交</w:t>
      </w:r>
      <w:r>
        <w:rPr>
          <w:rFonts w:ascii="Times New Roman" w:hAnsi="Times New Roman" w:eastAsia="Times New Roman" w:cs="Times New Roman"/>
        </w:rPr>
        <w:t>,</w:t>
      </w:r>
      <w:r>
        <w:rPr>
          <w:rFonts w:ascii="Microsoft YaHei" w:hAnsi="Microsoft YaHei" w:eastAsia="Microsoft YaHei" w:cs="Microsoft YaHei"/>
        </w:rPr>
        <w:t>並堅固那將引導古列頒布三道諭令中第一道的光</w:t>
      </w:r>
      <w:r>
        <w:rPr>
          <w:rFonts w:ascii="Times New Roman" w:hAnsi="Times New Roman" w:eastAsia="Times New Roman" w:cs="Times New Roman"/>
        </w:rPr>
        <w:t>,</w:t>
      </w:r>
      <w:r>
        <w:rPr>
          <w:rFonts w:ascii="Microsoft YaHei" w:hAnsi="Microsoft YaHei" w:eastAsia="Microsoft YaHei" w:cs="Microsoft YaHei"/>
        </w:rPr>
        <w:t>使上帝的子民得以歸回耶路撒冷</w:t>
      </w:r>
      <w:r>
        <w:rPr>
          <w:rFonts w:ascii="Times New Roman" w:hAnsi="Times New Roman" w:eastAsia="Times New Roman" w:cs="Times New Roman"/>
        </w:rPr>
        <w:t>,</w:t>
      </w:r>
      <w:r>
        <w:rPr>
          <w:rFonts w:ascii="Microsoft YaHei" w:hAnsi="Microsoft YaHei" w:eastAsia="Microsoft YaHei" w:cs="Microsoft YaHei"/>
        </w:rPr>
        <w:t>重建城邑、聖所</w:t>
      </w:r>
      <w:r>
        <w:rPr>
          <w:rFonts w:ascii="Times New Roman" w:hAnsi="Times New Roman" w:eastAsia="Times New Roman" w:cs="Times New Roman"/>
        </w:rPr>
        <w:t>,</w:t>
      </w:r>
      <w:r>
        <w:rPr>
          <w:rFonts w:ascii="Microsoft YaHei" w:hAnsi="Microsoft YaHei" w:eastAsia="Microsoft YaHei" w:cs="Microsoft YaHei"/>
        </w:rPr>
        <w:t>以及街道與城牆</w:t>
      </w:r>
      <w:r>
        <w:rPr>
          <w:rFonts w:ascii="Times New Roman" w:hAnsi="Times New Roman" w:eastAsia="Times New Roman" w:cs="Times New Roman"/>
        </w:rPr>
        <w:t>.</w:t>
      </w:r>
      <w:r>
        <w:rPr>
          <w:rFonts w:ascii="Microsoft YaHei" w:hAnsi="Microsoft YaHei" w:eastAsia="Microsoft YaHei" w:cs="Microsoft YaHei"/>
        </w:rPr>
        <w:t>那項工作乃是第一位與第二位天使之工作的預表</w:t>
      </w:r>
      <w:r>
        <w:rPr>
          <w:rFonts w:ascii="Times New Roman" w:hAnsi="Times New Roman" w:eastAsia="Times New Roman" w:cs="Times New Roman"/>
        </w:rPr>
        <w:t>;</w:t>
      </w:r>
      <w:r>
        <w:rPr>
          <w:rFonts w:ascii="Microsoft YaHei" w:hAnsi="Microsoft YaHei" w:eastAsia="Microsoft YaHei" w:cs="Microsoft YaHei"/>
        </w:rPr>
        <w:t>此工作始於</w:t>
      </w:r>
      <w:r>
        <w:rPr>
          <w:rFonts w:ascii="Times New Roman" w:hAnsi="Times New Roman" w:eastAsia="Times New Roman" w:cs="Times New Roman"/>
        </w:rPr>
        <w:t>1798</w:t>
      </w:r>
      <w:r>
        <w:rPr>
          <w:rFonts w:ascii="Microsoft YaHei" w:hAnsi="Microsoft YaHei" w:eastAsia="Microsoft YaHei" w:cs="Microsoft YaHei"/>
        </w:rPr>
        <w:t>年「末時」</w:t>
      </w:r>
      <w:r>
        <w:rPr>
          <w:rFonts w:ascii="Times New Roman" w:hAnsi="Times New Roman" w:eastAsia="Times New Roman" w:cs="Times New Roman"/>
        </w:rPr>
        <w:t>.</w:t>
      </w:r>
    </w:p>
    <w:p>
      <w:pPr>
        <w:pStyle w:val="ArticleBody"/>
        <w:jc w:val="left"/>
      </w:pPr>
      <w:r>
        <w:rPr>
          <w:rFonts w:ascii="Nirmala UI" w:hAnsi="Nirmala UI" w:eastAsia="Nirmala UI" w:cs="Nirmala UI"/>
        </w:rPr>
        <w:t>ಮೈಕೆಲನು</w:t>
      </w:r>
      <w:r>
        <w:rPr>
          <w:rFonts w:ascii="Times New Roman" w:hAnsi="Times New Roman" w:eastAsia="Times New Roman" w:cs="Times New Roman"/>
        </w:rPr>
        <w:t xml:space="preserve"> </w:t>
      </w:r>
      <w:r>
        <w:rPr>
          <w:rFonts w:ascii="Nirmala UI" w:hAnsi="Nirmala UI" w:eastAsia="Nirmala UI" w:cs="Nirmala UI"/>
        </w:rPr>
        <w:t>ದಾರಿಯನ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ಕೊರೇಶನ</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ಅಂತ್ಯಕಾಲದಲ್ಲಿ</w:t>
      </w:r>
      <w:r>
        <w:rPr>
          <w:rFonts w:ascii="Times New Roman" w:hAnsi="Times New Roman" w:eastAsia="Times New Roman" w:cs="Times New Roman"/>
        </w:rPr>
        <w:t xml:space="preserve"> </w:t>
      </w:r>
      <w:r>
        <w:rPr>
          <w:rFonts w:ascii="Nirmala UI" w:hAnsi="Nirmala UI" w:eastAsia="Nirmala UI" w:cs="Nirmala UI"/>
        </w:rPr>
        <w:t>ಇಳಿದುಬಂದದ್ದು</w:t>
      </w:r>
      <w:r>
        <w:rPr>
          <w:rFonts w:ascii="Times New Roman" w:hAnsi="Times New Roman" w:eastAsia="Times New Roman" w:cs="Times New Roman"/>
        </w:rPr>
        <w:t xml:space="preserve"> 1798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ಆಗಮನವನ್ನು</w:t>
      </w:r>
      <w:r>
        <w:rPr>
          <w:rFonts w:ascii="Times New Roman" w:hAnsi="Times New Roman" w:eastAsia="Times New Roman" w:cs="Times New Roman"/>
        </w:rPr>
        <w:t xml:space="preserve"> </w:t>
      </w:r>
      <w:r>
        <w:rPr>
          <w:rFonts w:ascii="Nirmala UI" w:hAnsi="Nirmala UI" w:eastAsia="Nirmala UI" w:cs="Nirmala UI"/>
        </w:rPr>
        <w:t>ಪ್ರತಿನಿಧಿಸಿತು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ಇವೆರಡೂ</w:t>
      </w:r>
      <w:r>
        <w:rPr>
          <w:rFonts w:ascii="Times New Roman" w:hAnsi="Times New Roman" w:eastAsia="Times New Roman" w:cs="Times New Roman"/>
        </w:rPr>
        <w:t xml:space="preserve"> </w:t>
      </w:r>
      <w:r>
        <w:rPr>
          <w:rFonts w:ascii="Nirmala UI" w:hAnsi="Nirmala UI" w:eastAsia="Nirmala UI" w:cs="Nirmala UI"/>
        </w:rPr>
        <w:t>ಸೇರಿ</w:t>
      </w:r>
      <w:r>
        <w:rPr>
          <w:rFonts w:ascii="Times New Roman" w:hAnsi="Times New Roman" w:eastAsia="Times New Roman" w:cs="Times New Roman"/>
        </w:rPr>
        <w:t xml:space="preserve"> 1989</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ಅಂತ್ಯಕಾಲದಲ್ಲಿ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ಆಗಮನವನ್ನು</w:t>
      </w:r>
      <w:r>
        <w:rPr>
          <w:rFonts w:ascii="Times New Roman" w:hAnsi="Times New Roman" w:eastAsia="Times New Roman" w:cs="Times New Roman"/>
        </w:rPr>
        <w:t xml:space="preserve"> </w:t>
      </w:r>
      <w:r>
        <w:rPr>
          <w:rFonts w:ascii="Nirmala UI" w:hAnsi="Nirmala UI" w:eastAsia="Nirmala UI" w:cs="Nirmala UI"/>
        </w:rPr>
        <w:t>ಸೂಚಿಸುತ್ತವೆ</w:t>
      </w:r>
      <w:r>
        <w:rPr>
          <w:rFonts w:ascii="Times New Roman" w:hAnsi="Times New Roman" w:eastAsia="Times New Roman" w:cs="Times New Roman"/>
        </w:rPr>
        <w:t>. 1989 “</w:t>
      </w:r>
      <w:r>
        <w:rPr>
          <w:rFonts w:ascii="Nirmala UI" w:hAnsi="Nirmala UI" w:eastAsia="Nirmala UI" w:cs="Nirmala UI"/>
        </w:rPr>
        <w:t>ಅಂತ್ಯಕಾಲ</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ಆರಂಭವಾಗಿತ್ತು</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ನೇಮಿತ</w:t>
      </w:r>
      <w:r>
        <w:rPr>
          <w:rFonts w:ascii="Times New Roman" w:hAnsi="Times New Roman" w:eastAsia="Times New Roman" w:cs="Times New Roman"/>
        </w:rPr>
        <w:t xml:space="preserve"> </w:t>
      </w:r>
      <w:r>
        <w:rPr>
          <w:rFonts w:ascii="Nirmala UI" w:hAnsi="Nirmala UI" w:eastAsia="Nirmala UI" w:cs="Nirmala UI"/>
        </w:rPr>
        <w:t>ಕಾಲವೂ</w:t>
      </w:r>
      <w:r>
        <w:rPr>
          <w:rFonts w:ascii="Times New Roman" w:hAnsi="Times New Roman" w:eastAsia="Times New Roman" w:cs="Times New Roman"/>
        </w:rPr>
        <w:t xml:space="preserve"> </w:t>
      </w:r>
      <w:r>
        <w:rPr>
          <w:rFonts w:ascii="Nirmala UI" w:hAnsi="Nirmala UI" w:eastAsia="Nirmala UI" w:cs="Nirmala UI"/>
        </w:rPr>
        <w:t>ಆಗಿತ್ತು</w:t>
      </w:r>
      <w:r>
        <w:rPr>
          <w:rFonts w:ascii="Times New Roman" w:hAnsi="Times New Roman" w:eastAsia="Times New Roman" w:cs="Times New Roman"/>
        </w:rPr>
        <w:t xml:space="preserve">. </w:t>
      </w:r>
      <w:r>
        <w:rPr>
          <w:rFonts w:ascii="Nirmala UI" w:hAnsi="Nirmala UI" w:eastAsia="Nirmala UI" w:cs="Nirmala UI"/>
        </w:rPr>
        <w:t>ನೇಮಿತ</w:t>
      </w:r>
      <w:r>
        <w:rPr>
          <w:rFonts w:ascii="Times New Roman" w:hAnsi="Times New Roman" w:eastAsia="Times New Roman" w:cs="Times New Roman"/>
        </w:rPr>
        <w:t xml:space="preserve"> </w:t>
      </w:r>
      <w:r>
        <w:rPr>
          <w:rFonts w:ascii="Nirmala UI" w:hAnsi="Nirmala UI" w:eastAsia="Nirmala UI" w:cs="Nirmala UI"/>
        </w:rPr>
        <w:t>ಕಾಲವೆಂದರೆ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ಕಾಲಾವಧಿಯ</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ಗುರುತಿಸುವುದು</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ಆತ್ಮಿಕ</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ಕಾದೇಶ್</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1863</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ದಂಗೆ</w:t>
      </w:r>
      <w:r>
        <w:rPr>
          <w:rFonts w:ascii="Times New Roman" w:hAnsi="Times New Roman" w:eastAsia="Times New Roman" w:cs="Times New Roman"/>
        </w:rPr>
        <w:t>, 1989</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ನೇಮಿತ</w:t>
      </w:r>
      <w:r>
        <w:rPr>
          <w:rFonts w:ascii="Times New Roman" w:hAnsi="Times New Roman" w:eastAsia="Times New Roman" w:cs="Times New Roman"/>
        </w:rPr>
        <w:t xml:space="preserve"> </w:t>
      </w:r>
      <w:r>
        <w:rPr>
          <w:rFonts w:ascii="Nirmala UI" w:hAnsi="Nirmala UI" w:eastAsia="Nirmala UI" w:cs="Nirmala UI"/>
        </w:rPr>
        <w:t>ಕಾಲದಲ್ಲಿ</w:t>
      </w:r>
      <w:r>
        <w:rPr>
          <w:rFonts w:ascii="Times New Roman" w:hAnsi="Times New Roman" w:eastAsia="Times New Roman" w:cs="Times New Roman"/>
        </w:rPr>
        <w:t xml:space="preserve">” </w:t>
      </w:r>
      <w:r>
        <w:rPr>
          <w:rFonts w:ascii="Nirmala UI" w:hAnsi="Nirmala UI" w:eastAsia="Nirmala UI" w:cs="Nirmala UI"/>
        </w:rPr>
        <w:t>ಅಂತ್ಯಗೊಂಡ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ಆರಂಭವಾಗಿತ್ತು</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ಹನ್ನೆರಡು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ಅರವತ್ತಿನ</w:t>
      </w:r>
      <w:r>
        <w:rPr>
          <w:rFonts w:ascii="Times New Roman" w:hAnsi="Times New Roman" w:eastAsia="Times New Roman" w:cs="Times New Roman"/>
        </w:rPr>
        <w:t xml:space="preserve"> </w:t>
      </w:r>
      <w:r>
        <w:rPr>
          <w:rFonts w:ascii="Nirmala UI" w:hAnsi="Nirmala UI" w:eastAsia="Nirmala UI" w:cs="Nirmala UI"/>
        </w:rPr>
        <w:t>ದಶಾಂಶ</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ದಶಮಾಂಶ</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1798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ಹನ್ನೆರಡು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ಅರವತ್ತು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ಚಳುವಳಿ</w:t>
      </w:r>
      <w:r>
        <w:rPr>
          <w:rFonts w:ascii="Times New Roman" w:hAnsi="Times New Roman" w:eastAsia="Times New Roman" w:cs="Times New Roman"/>
        </w:rPr>
        <w:t xml:space="preserve"> </w:t>
      </w:r>
      <w:r>
        <w:rPr>
          <w:rFonts w:ascii="Nirmala UI" w:hAnsi="Nirmala UI" w:eastAsia="Nirmala UI" w:cs="Nirmala UI"/>
        </w:rPr>
        <w:t>ಇತಿಹಾಸದಲ್ಲಿ</w:t>
      </w:r>
      <w:r>
        <w:rPr>
          <w:rFonts w:ascii="Times New Roman" w:hAnsi="Times New Roman" w:eastAsia="Times New Roman" w:cs="Times New Roman"/>
        </w:rPr>
        <w:t xml:space="preserve"> </w:t>
      </w:r>
      <w:r>
        <w:rPr>
          <w:rFonts w:ascii="Nirmala UI" w:hAnsi="Nirmala UI" w:eastAsia="Nirmala UI" w:cs="Nirmala UI"/>
        </w:rPr>
        <w:t>ಆಗಮಿಸಿತು</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1989</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ಚಳುವಳಿ</w:t>
      </w:r>
      <w:r>
        <w:rPr>
          <w:rFonts w:ascii="Times New Roman" w:hAnsi="Times New Roman" w:eastAsia="Times New Roman" w:cs="Times New Roman"/>
        </w:rPr>
        <w:t xml:space="preserve"> </w:t>
      </w:r>
      <w:r>
        <w:rPr>
          <w:rFonts w:ascii="Nirmala UI" w:hAnsi="Nirmala UI" w:eastAsia="Nirmala UI" w:cs="Nirmala UI"/>
        </w:rPr>
        <w:t>ಇತಿಹಾಸದಲ್ಲಿ</w:t>
      </w:r>
      <w:r>
        <w:rPr>
          <w:rFonts w:ascii="Times New Roman" w:hAnsi="Times New Roman" w:eastAsia="Times New Roman" w:cs="Times New Roman"/>
        </w:rPr>
        <w:t xml:space="preserve"> </w:t>
      </w:r>
      <w:r>
        <w:rPr>
          <w:rFonts w:ascii="Nirmala UI" w:hAnsi="Nirmala UI" w:eastAsia="Nirmala UI" w:cs="Nirmala UI"/>
        </w:rPr>
        <w:t>ಆಗಮಿಸಿತು</w:t>
      </w:r>
      <w:r>
        <w:rPr>
          <w:rFonts w:ascii="Times New Roman" w:hAnsi="Times New Roman" w:eastAsia="Times New Roman" w:cs="Times New Roman"/>
        </w:rPr>
        <w:t>.</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सटीक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महत्तर</w:t>
      </w:r>
      <w:r>
        <w:rPr>
          <w:rFonts w:ascii="Times New Roman" w:hAnsi="Times New Roman" w:eastAsia="Times New Roman" w:cs="Times New Roman"/>
        </w:rPr>
        <w:t xml:space="preserve"> </w:t>
      </w:r>
      <w:r>
        <w:rPr>
          <w:rFonts w:ascii="Nirmala UI" w:hAnsi="Nirmala UI" w:eastAsia="Nirmala UI" w:cs="Nirmala UI"/>
        </w:rPr>
        <w:t>बुश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Muzviitiko zvechitsauko chegumi, Danieri anoratidzwa achichema, uye muchiitiko chake chokuchema anoshandurwa kuti afanane nemufananidzo waKristu, sezvaanoona chiratidzo. Nguva yamazuva makumi maviri nerimwe yokuchema inomiririra nguva yorufu inopera nokumuka kuvakafa. Muchitsauko chegumi, Mikaeri aburuka kubva kudenga, uye muna Judha nomwe, paanoburuka, anomutsa Mozisi. Muna Zvakazarurwa chitsauko chegumi nerimwe Mozisi (naEria) vakaurayiwa, uye vakafa mumugwagwa kwamazuva matatu nehafu okufananidzira. Ipapo Mozisi, (pamwe naEria) vanomutswa kuvakafa ne“inzwi guru”.</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hofu kuu ikawapata wale waliowaona. Nao wakasikia sauti kuu kutoka mbinguni, ikiwaambia, Kweeni huku juu. Wakapaa juu mbinguni ndani ya wingu; na adui zao wakawaona. Ufunuo 11:11, 12.</w:t>
      </w:r>
    </w:p>
    <w:p>
      <w:pPr>
        <w:pStyle w:val="ArticleBody"/>
        <w:jc w:val="left"/>
      </w:pPr>
      <w:r>
        <w:rPr>
          <w:rFonts w:ascii="Times New Roman" w:hAnsi="Times New Roman" w:eastAsia="Times New Roman" w:cs="Times New Roman"/>
        </w:rPr>
        <w:t>“Great voice” fi a na di voice of di archangel weh raise di dead, an di archangel a Michael.</w:t>
      </w:r>
    </w:p>
    <w:p>
      <w:pPr>
        <w:pStyle w:val="ArticleScripture"/>
        <w:jc w:val="left"/>
      </w:pPr>
      <w:r>
        <w:rPr>
          <w:rFonts w:ascii="Times New Roman" w:hAnsi="Times New Roman" w:eastAsia="Times New Roman" w:cs="Times New Roman"/>
        </w:rPr>
        <w:t>Ngokuba iNkosi ngokwayo iyakwehla ivela ezulwini ngokumemeza okukhulu, ngezwi lengelosi enkulu, nangexilongo likaNkulunkulu; abafileyo kuKristu bayakuvuka kuqala. 1 Thesalonika 4:16.</w:t>
      </w:r>
    </w:p>
    <w:p>
      <w:pPr>
        <w:pStyle w:val="ArticleBody"/>
        <w:jc w:val="left"/>
      </w:pPr>
      <w:r>
        <w:rPr>
          <w:rFonts w:ascii="Times New Roman" w:hAnsi="Times New Roman" w:eastAsia="Times New Roman" w:cs="Times New Roman"/>
        </w:rPr>
        <w:t>Tarihi ambayo Musa na Eliya wanauawa na kufufuliwa ni historia ya kutiwa muhuri kwa wale mia moja arobaini na nne elfu. Historia hiyo ilianza tarehe 11 Septemba, 2001 kwa “sauti ya kwanza” ya malaika wa Ufunuo kumi na nane, ambayo Dada White anaitambulisha kuwa inawasili wakati majengo makubwa ya Jiji la New York yalipoporomoshwa. “Sauti ya pili” ya Ufunuo sura ya kumi na nane, inatolewa katika sheria ya Jumapili iliyo karibu kuja, wakati kundi jingine la Mungu linapoitwa litoke Babeli. Ni katika historia hiyo, historia ya kutiwa muhuri, ambapo Danieli anawakilishwa kuwa anabadilishwa na kufanywa katika mfano wa Kristo kwa kulitazama ono la “marah,” ambalo ni umbo la kike la ono la “mareh.” Hilo ndilo ono la “kisababishi,” ambalo “husababisha” mfano unaotazamwa kuzalishwa tena ndani ya wale wanaoutazama.</w:t>
      </w:r>
    </w:p>
    <w:p>
      <w:pPr>
        <w:pStyle w:val="ArticleBody"/>
        <w:jc w:val="left"/>
      </w:pPr>
      <w:r>
        <w:rPr>
          <w:rFonts w:ascii="Times New Roman" w:hAnsi="Times New Roman" w:eastAsia="Times New Roman" w:cs="Times New Roman"/>
        </w:rPr>
        <w:t>Ɔsɔanoo no abakɔsɛm no, ne Daniel nsakraeɛ a ɛwɔ ti du mu no, ka Michael sian no ho asɛm, berɛ a Ɔsɔre wɔn a wɔde Mose, Elia ne Daniel gyina hɔ no fi awufoɔ mu na ɔsakyera wɔn. Ɔde ɔbɔfo panyin no “nne kɛseɛ” na yɛ saa wusɔre no, na ɛma “nne” a ɛtɔ so mmiɛnsa ba hɔ, nne a ɛdi kan ne deɛ ɛtwa toɔ no ntam; na saa nne mmienu no nyinaa yɛ baako, ɛfiri sɛ wɔn nyinaa yɛ Adiyisɛm ti dunwɔtwe no nne. Mfinimfini nne no ne baabi a wɔgyina hɔ ma atuateɛ, ɛfiri sɛ berɛ a Michael nyanee Mose no fii awufoɔ mu no, wannyɛ akyinnyeɛ amma Satan, ɛwom sɛ na Satan a ɔyɛ atuateɛ no farebae no wɔ hɔ sɛ ɔrebɛyɛ ɔsɔretia.</w:t>
      </w:r>
    </w:p>
    <w:p>
      <w:pPr>
        <w:pStyle w:val="ArticleScripture"/>
        <w:jc w:val="left"/>
      </w:pPr>
      <w:r>
        <w:rPr>
          <w:rFonts w:ascii="Times New Roman" w:hAnsi="Times New Roman" w:eastAsia="Times New Roman" w:cs="Times New Roman"/>
        </w:rPr>
        <w:t>Nokho uMikayeli ingelosi enkulu, kwathi lapho ephikisana nodeveli, ephikisana naye ngomzimba kaMose, akazange alinge ukumlethela isimangalo sokuthuka, kodwa wathi: INkosi mayikusole. UJuda 7.</w:t>
      </w:r>
    </w:p>
    <w:p>
      <w:pPr>
        <w:pStyle w:val="ArticleBody"/>
        <w:jc w:val="left"/>
      </w:pPr>
      <w:r>
        <w:rPr>
          <w:rFonts w:ascii="Times New Roman" w:hAnsi="Times New Roman" w:eastAsia="Times New Roman" w:cs="Times New Roman"/>
        </w:rPr>
        <w:t>Ibẹrẹ̀ àkókò fífi èdìdì sílẹ̀ tí ó bẹ̀rẹ̀ ní September 11, 2001, tí yóò sì parí ní òfin Sunday tí ń bọ̀ láìpẹ́, ni a fi ààmì ìbuwọlu “Òtítọ́” mọ̀, nítorí pé ní àárín àkókò náà, ní July 2023, ohùn ńlá ti olú-áńgẹ́lì bẹ̀rẹ̀ iṣẹ́ jíjí àwọn òkú nínú Kristi dìde, àwọn tí wọ́n yàn láti gbọ́ ohùn àárín Rẹ̀. Ṣàkíyèsí pé 2023 wá lẹ́yìn ọdún méjìlélógún lẹ́yìn 2001, àti pé méjìlélógún jẹ́ ìdámẹ́wàá nínú igba méjìdínlógójì, èyí tí í ṣe ààmì ìsopọ̀ láàárín Ìwà-Òrìṣà àti ẹ̀dá ènìyàn, tí ó sì tún jẹ́ ààmì ìmúpadàbọ̀sípò.</w:t>
      </w:r>
    </w:p>
    <w:p>
      <w:pPr>
        <w:pStyle w:val="ArticleBody"/>
        <w:jc w:val="left"/>
      </w:pPr>
      <w:r>
        <w:rPr>
          <w:rFonts w:ascii="Times New Roman" w:hAnsi="Times New Roman" w:eastAsia="Times New Roman" w:cs="Times New Roman"/>
        </w:rPr>
        <w:t>Mnamo Julayi 2023, ingelosi enamandla engeyena ongaphantsi komntu onguYesu Kristu, onguNyaniso, okwangaye noMikayeli, nongoAlfa noOmega, yehla inesigidimi esandleni saYo. Incwadana encinane esandleni saYo yinxalenye kaDaniyeli eyatywinwayo kwada kwangemihla yokugqibela.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ក្នុងព្រះគម្ពីរវិវរណៈ</w:t>
      </w:r>
      <w:r>
        <w:rPr>
          <w:rFonts w:ascii="Times New Roman" w:hAnsi="Times New Roman" w:eastAsia="Times New Roman" w:cs="Times New Roman"/>
        </w:rPr>
        <w:t xml:space="preserve"> </w:t>
      </w:r>
      <w:r>
        <w:rPr>
          <w:rFonts w:ascii="Leelawadee UI" w:hAnsi="Leelawadee UI" w:eastAsia="Leelawadee UI" w:cs="Leelawadee UI"/>
        </w:rPr>
        <w:t>សៀវភៅទាំងអស់នៃព្រះគម្ពីរមកជួបគ្នា</w:t>
      </w:r>
      <w:r>
        <w:rPr>
          <w:rFonts w:ascii="Times New Roman" w:hAnsi="Times New Roman" w:eastAsia="Times New Roman" w:cs="Times New Roman"/>
        </w:rPr>
        <w:t xml:space="preserve"> </w:t>
      </w:r>
      <w:r>
        <w:rPr>
          <w:rFonts w:ascii="Leelawadee UI" w:hAnsi="Leelawadee UI" w:eastAsia="Leelawadee UI" w:cs="Leelawadee UI"/>
        </w:rPr>
        <w:t>ហើយបញ្ចប់នៅទីនេះ។</w:t>
      </w:r>
      <w:r>
        <w:rPr>
          <w:rFonts w:ascii="Times New Roman" w:hAnsi="Times New Roman" w:eastAsia="Times New Roman" w:cs="Times New Roman"/>
        </w:rPr>
        <w:t xml:space="preserve"> </w:t>
      </w:r>
      <w:r>
        <w:rPr>
          <w:rFonts w:ascii="Leelawadee UI" w:hAnsi="Leelawadee UI" w:eastAsia="Leelawadee UI" w:cs="Leelawadee UI"/>
        </w:rPr>
        <w:t>នៅទីនេះគឺជាការបំពេញបន្ថែមនៃសៀវភៅដានីយ៉ែល។</w:t>
      </w:r>
      <w:r>
        <w:rPr>
          <w:rFonts w:ascii="Times New Roman" w:hAnsi="Times New Roman" w:eastAsia="Times New Roman" w:cs="Times New Roman"/>
        </w:rPr>
        <w:t xml:space="preserve"> </w:t>
      </w:r>
      <w:r>
        <w:rPr>
          <w:rFonts w:ascii="Leelawadee UI" w:hAnsi="Leelawadee UI" w:eastAsia="Leelawadee UI" w:cs="Leelawadee UI"/>
        </w:rPr>
        <w:t>មួយជាពាក្យទំនាយ</w:t>
      </w:r>
      <w:r>
        <w:rPr>
          <w:rFonts w:ascii="Times New Roman" w:hAnsi="Times New Roman" w:eastAsia="Times New Roman" w:cs="Times New Roman"/>
        </w:rPr>
        <w:t xml:space="preserve">; </w:t>
      </w:r>
      <w:r>
        <w:rPr>
          <w:rFonts w:ascii="Leelawadee UI" w:hAnsi="Leelawadee UI" w:eastAsia="Leelawadee UI" w:cs="Leelawadee UI"/>
        </w:rPr>
        <w:t>មួយទៀតជាវិវរណៈ។</w:t>
      </w:r>
      <w:r>
        <w:rPr>
          <w:rFonts w:ascii="Times New Roman" w:hAnsi="Times New Roman" w:eastAsia="Times New Roman" w:cs="Times New Roman"/>
        </w:rPr>
        <w:t xml:space="preserve"> </w:t>
      </w:r>
      <w:r>
        <w:rPr>
          <w:rFonts w:ascii="Leelawadee UI" w:hAnsi="Leelawadee UI" w:eastAsia="Leelawadee UI" w:cs="Leelawadee UI"/>
        </w:rPr>
        <w:t>សៀវភៅដែលត្រូវបានបិទត្រា</w:t>
      </w:r>
      <w:r>
        <w:rPr>
          <w:rFonts w:ascii="Times New Roman" w:hAnsi="Times New Roman" w:eastAsia="Times New Roman" w:cs="Times New Roman"/>
        </w:rPr>
        <w:t xml:space="preserve"> </w:t>
      </w:r>
      <w:r>
        <w:rPr>
          <w:rFonts w:ascii="Leelawadee UI" w:hAnsi="Leelawadee UI" w:eastAsia="Leelawadee UI" w:cs="Leelawadee UI"/>
        </w:rPr>
        <w:t>មិនមែនជាវិវរណៈទេ</w:t>
      </w:r>
      <w:r>
        <w:rPr>
          <w:rFonts w:ascii="Times New Roman" w:hAnsi="Times New Roman" w:eastAsia="Times New Roman" w:cs="Times New Roman"/>
        </w:rPr>
        <w:t xml:space="preserve"> </w:t>
      </w:r>
      <w:r>
        <w:rPr>
          <w:rFonts w:ascii="Leelawadee UI" w:hAnsi="Leelawadee UI" w:eastAsia="Leelawadee UI" w:cs="Leelawadee UI"/>
        </w:rPr>
        <w:t>ប៉ុន្តែជាផ្នែកនោះនៃពាក្យទំនាយរបស់ដានីយ៉ែលដែលទាក់ទងនឹងថ្ងៃចុងក្រោយ។</w:t>
      </w:r>
      <w:r>
        <w:rPr>
          <w:rFonts w:ascii="Times New Roman" w:hAnsi="Times New Roman" w:eastAsia="Times New Roman" w:cs="Times New Roman"/>
        </w:rPr>
        <w:t xml:space="preserve"> </w:t>
      </w:r>
      <w:r>
        <w:rPr>
          <w:rFonts w:ascii="Leelawadee UI" w:hAnsi="Leelawadee UI" w:eastAsia="Leelawadee UI" w:cs="Leelawadee UI"/>
        </w:rPr>
        <w:t>ទេវតាបានបង្គាប់ថា៖</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ឱ</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អើយ</w:t>
      </w:r>
      <w:r>
        <w:rPr>
          <w:rFonts w:ascii="Times New Roman" w:hAnsi="Times New Roman" w:eastAsia="Times New Roman" w:cs="Times New Roman"/>
        </w:rPr>
        <w:t xml:space="preserve"> </w:t>
      </w:r>
      <w:r>
        <w:rPr>
          <w:rFonts w:ascii="Leelawadee UI" w:hAnsi="Leelawadee UI" w:eastAsia="Leelawadee UI" w:cs="Leelawadee UI"/>
        </w:rPr>
        <w:t>ចូរបិទពាក្យទាំងនេះ</w:t>
      </w:r>
      <w:r>
        <w:rPr>
          <w:rFonts w:ascii="Times New Roman" w:hAnsi="Times New Roman" w:eastAsia="Times New Roman" w:cs="Times New Roman"/>
        </w:rPr>
        <w:t xml:space="preserve"> </w:t>
      </w:r>
      <w:r>
        <w:rPr>
          <w:rFonts w:ascii="Leelawadee UI" w:hAnsi="Leelawadee UI" w:eastAsia="Leelawadee UI" w:cs="Leelawadee UI"/>
        </w:rPr>
        <w:t>ហើយបិទត្រាសៀវភៅនេះ</w:t>
      </w:r>
      <w:r>
        <w:rPr>
          <w:rFonts w:ascii="Times New Roman" w:hAnsi="Times New Roman" w:eastAsia="Times New Roman" w:cs="Times New Roman"/>
        </w:rPr>
        <w:t xml:space="preserve"> </w:t>
      </w:r>
      <w:r>
        <w:rPr>
          <w:rFonts w:ascii="Leelawadee UI" w:hAnsi="Leelawadee UI" w:eastAsia="Leelawadee UI" w:cs="Leelawadee UI"/>
        </w:rPr>
        <w:t>ទុករហូតដល់ពេលវេលាចុងបញ្ចប់។</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12:4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កិច្ចការរបស់ពួកសាវក</w:t>
      </w:r>
      <w:r>
        <w:rPr>
          <w:rFonts w:ascii="Times New Roman" w:hAnsi="Times New Roman" w:eastAsia="Times New Roman" w:cs="Times New Roman"/>
        </w:rPr>
        <w:t>, 585</w:t>
      </w:r>
      <w:r>
        <w:rPr>
          <w:rFonts w:ascii="Leelawadee UI" w:hAnsi="Leelawadee UI" w:eastAsia="Leelawadee UI" w:cs="Leelawadee UI"/>
        </w:rPr>
        <w:t>។</w:t>
      </w:r>
    </w:p>
    <w:p>
      <w:pPr>
        <w:pStyle w:val="ArticleBody"/>
        <w:jc w:val="left"/>
      </w:pP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वृत्तांत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«N’avons plus de temps à perdre. Des temps de détresse sont devant nous. Le monde est agité par l’esprit de guerre. Bientôt s’accompliront les scènes de trouble annoncées dans les prophéties. La prophétie du onzième chapitre de Daniel a presque atteint son entier accomplissement. Une grande partie de l’histoire qui s’est déroulée en accomplissement de cette prophétie se répétera.» Manuscript Releases, no 13, p. 394.</w:t>
      </w:r>
    </w:p>
    <w:p>
      <w:pPr>
        <w:pStyle w:val="ArticleBody"/>
        <w:jc w:val="left"/>
      </w:pPr>
      <w:r>
        <w:rPr>
          <w:rFonts w:ascii="Times New Roman" w:hAnsi="Times New Roman" w:eastAsia="Times New Roman" w:cs="Times New Roman"/>
        </w:rPr>
        <w:t>Vesi ya kumi na sita ya Danieli sura ya kumi na moja inaonyesha historia inayorudiwa katika vesi ya arobaini na moja, kwa maana katika vesi hiyo mfalme wa kaskazini anasimama katika nchi ya utukufu. Historia ya vesi ya kumi na sita hutambulisha wakati jenerali wa Kirumi, Pompey, alipoleta Yuda na Yerusalemu katika utumwa.</w:t>
      </w:r>
    </w:p>
    <w:p>
      <w:pPr>
        <w:pStyle w:val="ArticleScripture"/>
        <w:jc w:val="left"/>
      </w:pPr>
      <w:r>
        <w:rPr>
          <w:rFonts w:ascii="Times New Roman" w:hAnsi="Times New Roman" w:eastAsia="Times New Roman" w:cs="Times New Roman"/>
        </w:rPr>
        <w:t>Ny tena ho avy hamely azy dia hanao araka izay sitrapony, ary tsy hisy hahatohitra azy; ary hijanona ao amin’ilay tany mahafinaritra izy, izay ho levon’ny tanany. Daniela 11:16.</w:t>
      </w:r>
    </w:p>
    <w:p>
      <w:pPr>
        <w:pStyle w:val="ArticleBody"/>
        <w:jc w:val="left"/>
      </w:pPr>
      <w:r>
        <w:rPr>
          <w:rFonts w:ascii="Times New Roman" w:hAnsi="Times New Roman" w:eastAsia="Times New Roman" w:cs="Times New Roman"/>
        </w:rPr>
        <w:t>Ich beabsichtige, diesen Vers als Anker für unsere Betrachtung der dem Vers vorausgehenden Verse zu verwenden; daher werde ich dieses Verständnis zunächst darlegen. Wir beabsichtigen aufzuzeigen, dass die Geschichte, die in den Versen drei und vier auf den Zerfall des Reiches Alexanders des Großen folgt, im Jahr 1989 beginnt und sodann den gegenwärtigen ukrainischen Krieg, Putins Sieg über die Kräfte des Westens sowie Putins anschließende Niederlage bezeichnet, die in Vers sechzehn hinüberführt.</w:t>
      </w:r>
    </w:p>
    <w:p>
      <w:pPr>
        <w:pStyle w:val="ArticleScripture"/>
        <w:jc w:val="left"/>
      </w:pPr>
      <w:r>
        <w:rPr>
          <w:rFonts w:ascii="Times New Roman" w:hAnsi="Times New Roman" w:eastAsia="Times New Roman" w:cs="Times New Roman"/>
        </w:rPr>
        <w:t xml:space="preserve">“Yadyapi Misr uttar ka raja Antiochus ke samne ṭik na saka, tathapi Antiochus bhī Romiyon ke samne ṭik na saka, jo ab uske viruddh āye. Ab koī bhī rājy is udit hotī śakti kā virodh karne mein aur adhik samarth na rahe. Sīriyā vijit kar liyā gayā, aur Romī sāmrājya mein milā liyā gayā, jab Pompey ne, 65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mein, Antiochus Asiaticus ko uski sampattiyon se vanchit kar diyā, aur Sīriyā ko Romī prānt mein parivartit kar diyā.”</w:t>
      </w:r>
    </w:p>
    <w:p>
      <w:pPr>
        <w:pStyle w:val="ArticleScripture"/>
        <w:jc w:val="left"/>
      </w:pPr>
      <w:r>
        <w:rPr>
          <w:rFonts w:ascii="Times New Roman" w:hAnsi="Times New Roman" w:eastAsia="Times New Roman" w:cs="Times New Roman"/>
        </w:rPr>
        <w:t>«Ще се изправи същата сила и в Святата земя, и ще я погълне. Рим влезе в съюз с Божия народ, юдеите, през 161 г. пр. Хр., от която дата заема видно място в пророческия календар. Все пак той не придоби власт над Юдея чрез действително завоевание до 63 г. пр. Хр.; а това стана по следния начин.</w:t>
      </w:r>
    </w:p>
    <w:p>
      <w:pPr>
        <w:pStyle w:val="ArticleScripture"/>
        <w:jc w:val="left"/>
      </w:pPr>
      <w:r>
        <w:rPr>
          <w:rFonts w:ascii="Times New Roman" w:hAnsi="Times New Roman" w:eastAsia="Times New Roman" w:cs="Times New Roman"/>
        </w:rPr>
        <w:t>“Depois de Pompeu regressar da sua expedição contra Mitrídates, rei do Ponto, dois competidores, Hircano e Aristóbulo, disputavam a coroa da Judeia. A sua causa foi apresentada diante de Pompeu, o qual logo percebeu a injustiça das pretensões de Aristóbulo, mas desejou adiar a decisão da questão até depois da sua há muito desejada expedição à Arábia, prometendo então voltar e resolver os seus assuntos conforme lhe parecesse justo e apropriado. Aristóbulo, sondando os verdadeiros sentimentos de Pompeu, apressou-se a voltar para a Judeia, armou os seus súditos e preparou-se para uma defesa vigorosa, determinado, a todo custo, a conservar a coroa, que previa vir a ser adjudicada a outro. Pompeu seguiu de perto o fugitivo. Ao aproximar-se de Jerusalém, Aristóbulo, começando a arrepender-se do seu procedimento, saiu ao seu encontro e procurou ajustar as coisas, prometendo inteira submissão e grandes somas de dinheiro. Pompeu, aceitando essa oferta, enviou Gabínio, à frente de um destacamento de soldados, para receber o dinheiro. Mas, quando esse tenente-general chegou a Jerusalém, encontrou as portas fechadas contra si e foi-lhe dito do alto dos muros que a cidade não manteria o acordo.”</w:t>
      </w:r>
    </w:p>
    <w:p>
      <w:pPr>
        <w:pStyle w:val="ArticleScripture"/>
        <w:jc w:val="left"/>
      </w:pPr>
      <w:r>
        <w:rPr>
          <w:rFonts w:ascii="Times New Roman" w:hAnsi="Times New Roman" w:eastAsia="Times New Roman" w:cs="Times New Roman"/>
        </w:rPr>
        <w:t>«Помпей, не желая безнаказанно дать себя таким образом обмануть, заковал в оковы Аристобула, которого удерживал при себе, и тотчас двинулся со всем своим войском на Иерусалим. Сторонники Аристобула стояли за защиту города; сторонники Гиркана — за то, чтобы открыть ворота. Последние, будучи в большинстве и одержав верх, предоставили Помпею свободный вход в город. Тогда приверженцы Аристобула удалились на храмовую гору, будучи столь же твердо решены защищать это место, сколь Помпей — покорить его. По истечении трёх месяцев в стене был сделан пролом, достаточный для приступа, и город был взят остриём меча. В последовавшем страшном избиении было убито двенадцать тысяч человек. Поразительное зрелище, замечает историк, представляли священники, которые, будучи в то время заняты богослужением, с невозмутимой рукой и непоколебимым намерением продолжали своё обычное служение, по-видимому не сознавая дикого смятения, хотя вокруг них друзья их предавались убиению и хотя нередко собственная их кровь смешивалась с кровью их жертв.»</w:t>
      </w:r>
    </w:p>
    <w:p>
      <w:pPr>
        <w:pStyle w:val="ArticleScripture"/>
        <w:jc w:val="left"/>
      </w:pPr>
      <w:r>
        <w:rPr>
          <w:rFonts w:ascii="Times New Roman" w:hAnsi="Times New Roman" w:eastAsia="Times New Roman" w:cs="Times New Roman"/>
        </w:rPr>
        <w:t>«Положив конец войне, Помпей разрушил стены Иерусалима, передал несколько городов из-под юрисдикции Иудеи под власть Сирии и наложил на иудеев дань. Так впервые Иерусалим был посредством завоевания отдан в руки той власти, которой предстояло держать “славную землю” в своей железной хватке, доколе не поглотит её совершенно». Uriah Smith, Daniel and the Revelation, 259, 260.</w:t>
      </w:r>
    </w:p>
    <w:p>
      <w:pPr>
        <w:pStyle w:val="ArticleBody"/>
        <w:jc w:val="left"/>
      </w:pPr>
      <w:r>
        <w:rPr>
          <w:rFonts w:ascii="Times New Roman" w:hAnsi="Times New Roman" w:eastAsia="Times New Roman" w:cs="Times New Roman"/>
        </w:rPr>
        <w:t>Nous poursuivrons cette étude dans notre prochain article.</w:t>
      </w:r>
    </w:p>
    <w:p>
      <w:pPr>
        <w:pStyle w:val="ArticleScripture"/>
        <w:jc w:val="left"/>
      </w:pPr>
      <w:r>
        <w:rPr>
          <w:rFonts w:ascii="Times New Roman" w:hAnsi="Times New Roman" w:eastAsia="Times New Roman" w:cs="Times New Roman"/>
        </w:rPr>
        <w:t>“꞉꞉꞉꞉꞉ ꞉꞉꞉꞉ ꞉꞉꞉꞉꞉ ꞉꞉꞉꞉꞉ ꞉꞉꞉꞉꞉ ꞉꞉꞉꞉꞉ ꞉꞉꞉꞉ ꞉꞉꞉꞉꞉ ꞉꞉꞉꞉꞉ ꞉꞉꞉꞉꞉ ꞉꞉꞉꞉꞉ ꞉꞉꞉꞉꞉ ꞉꞉꞉꞉꞉ ꞉꞉꞉꞉꞉ ꞉꞉꞉꞉꞉ ꞉꞉꞉꞉꞉꞉ ꞉꞉꞉꞉ ꞉꞉꞉꞉꞉ ꞉꞉꞉꞉꞉ ꞉꞉꞉꞉꞉ ꞉꞉꞉꞉꞉ ꞉꞉꞉꞉꞉ ꞉꞉꞉꞉꞉ ꞉꞉꞉꞉꞉ ꞉꞉꞉꞉꞉꞉ ꞉꞉꞉꞉꞉ ꞉꞉꞉꞉꞉ ꞉꞉꞉꞉ ꞉꞉꞉꞉꞉ ꞉꞉꞉꞉꞉ ꞉꞉꞉꞉꞉ ꞉꞉꞉꞉꞉ ꞉꞉꞉꞉ ꞉꞉꞉꞉꞉ ꞉꞉꞉꞉꞉ ꞉꞉꞉꞉꞉꞉ ꞉꞉꞉꞉꞉ ꞉꞉꞉꞉꞉ ꞉꞉꞉꞉꞉ ꞉꞉꞉꞉꞉ ꞉꞉꞉꞉꞉ ꞉꞉꞉꞉꞉ ꞉꞉꞉꞉꞉꞉ ꞉꞉꞉꞉꞉ ꞉꞉꞉꞉꞉ ꞉꞉꞉꞉꞉ ꞉꞉꞉꞉꞉ ꞉꞉꞉꞉꞉ ꞉꞉꞉꞉꞉ ꞉꞉꞉꞉꞉ ꞉꞉꞉꞉꞉꞉ ꞉꞉꞉꞉꞉ ꞉꞉꞉꞉꞉ ꞉꞉꞉꞉꞉ ꞉꞉꞉꞉꞉ ꞉꞉꞉꞉꞉ ꞉꞉꞉꞉꞉ ꞉꞉꞉꞉꞉ ꞉꞉꞉꞉꞉꞉ ꞉꞉꞉꞉꞉ ꞉꞉꞉꞉꞉ ꞉꞉꞉꞉꞉ ꞉꞉꞉꞉꞉꞉”</w:t>
      </w:r>
    </w:p>
    <w:p>
      <w:pPr>
        <w:pStyle w:val="ArticleScripture"/>
        <w:jc w:val="left"/>
      </w:pPr>
      <w:r>
        <w:rPr>
          <w:rFonts w:ascii="Times New Roman" w:hAnsi="Times New Roman" w:eastAsia="Times New Roman" w:cs="Times New Roman"/>
        </w:rPr>
        <w:t>«Jeg har fået vist, at mange, som bekender at have kundskab om den nærværende sandhed, ikke ved, hvad de tror. De forstår ikke beviserne for deres tro. De har ingen rigtig forståelse af værket for den nuværende tid. Når prøvelsens tid kommer, findes der mænd, som nu prædiker for andre, der ved at undersøge de standpunkter, de indtager, vil opdage, at der er mange ting, som de ikke kan give nogen tilfredsstillende grund for. Indtil de således blev prøvet, kendte de ikke deres store uvidenhed. Og der er mange i menigheden, som tager for givet, at de forstår, hvad de tror; men indtil der opstår strid, kender de ikke deres egen svaghed. Når de skilles fra dem, der har samme tro, og tvinges til hver for sig og alene at stå og forklare deres tro, vil de blive overraskede over at se, hvor forvirrede deres forestillinger er om det, de havde antaget som sandhed. Det er sikkert, at der iblandt os har været et frafald fra den levende Gud og en vending mod mennesker, idet man sætter det menneskelige i stedet for den guddommelige visdom.».</w:t>
      </w:r>
    </w:p>
    <w:p>
      <w:pPr>
        <w:pStyle w:val="ArticleScripture"/>
        <w:jc w:val="left"/>
      </w:pPr>
      <w:r>
        <w:rPr>
          <w:rFonts w:ascii="Times New Roman" w:hAnsi="Times New Roman" w:eastAsia="Times New Roman" w:cs="Times New Roman"/>
        </w:rPr>
        <w:t>“God will arouse His people; if other means fail, heresies will come in among them, which will sift them, separating the chaff from the wheat. The Lord calls upon all who believe His word to awake out of sleep. Precious light has come, appropriate for this time. It is Bible truth, showing the perils that are right upon us. This light should lead us to a diligent study of the Scriptures and a most critical examination of the positions which we hold. God would have all the bearings and positions of truth thoroughly and perseveringly searched, with prayer and fasting. Believers are not to rest in suppositions and ill-defined ideas of what constitutes truth. Their faith must be firmly founded upon the word of God so that when the testing time shall come and they are brought before councils to answer for their faith they may be able to give a reason for the hope that is in them, with meekness and fear.</w:t>
      </w:r>
    </w:p>
    <w:p>
      <w:pPr>
        <w:pStyle w:val="ArticleScripture"/>
        <w:jc w:val="left"/>
      </w:pPr>
      <w:r>
        <w:rPr>
          <w:rFonts w:ascii="Times New Roman" w:hAnsi="Times New Roman" w:eastAsia="Times New Roman" w:cs="Times New Roman"/>
        </w:rPr>
        <w:t>«Қозғаңдар, қозғаңдар, қозғаңдар. Біз дүниеге ұсынатын тақырыптар өзіміз үшін тірі шындық болуға тиіс. Сенімнің негізгі баптары деп санайтын ілімдерді қорғағанда, толықтай берік емес дәлелдерді қолдануға ешқашан жол бермеуіміз маңызды. Мұндай дәлелдер қарсыласушының үнін өшіруге жарауы мүмкін, бірақ олар шындықты дәріптемейді. Біз тек қарсыластарымыздың үнін өшіріп қана қоймай, ең жақын әрі ең қатаң тексеріске де төтеп бере алатын орнықты дәлелдерді ұсынуымыз керек. Өзін пікірсайысшы ретінде тәрбиелегендер үшін Құдай сөзін әділдікпен қолданбай қою қаупі өте зор. Қарсыласпен бетпе-бет келгенде, біз тек сенушінің сенімін нығайтуды ғана көздемей, тақырыптарды оның санасында көз жеткізуді оятатындай етіп ұсынуға шынайы күш салуымыз керек.»</w:t>
      </w:r>
    </w:p>
    <w:p>
      <w:pPr>
        <w:pStyle w:val="ArticleScripture"/>
        <w:jc w:val="left"/>
      </w:pPr>
      <w:r>
        <w:rPr>
          <w:rFonts w:ascii="Times New Roman" w:hAnsi="Times New Roman" w:eastAsia="Times New Roman" w:cs="Times New Roman"/>
        </w:rPr>
        <w:t>“</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क्षणका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नठानोस्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धर्मशास्त्रहरूको</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अनुसन्धानको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विद्यार्थी</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बोलाइएका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तत्परताका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जाग्राम</w:t>
      </w:r>
      <w:r>
        <w:rPr>
          <w:rFonts w:ascii="Times New Roman" w:hAnsi="Times New Roman" w:eastAsia="Times New Roman" w:cs="Times New Roman"/>
        </w:rPr>
        <w:t xml:space="preserve"> </w:t>
      </w:r>
      <w:r>
        <w:rPr>
          <w:rFonts w:ascii="Nirmala UI" w:hAnsi="Nirmala UI" w:eastAsia="Nirmala UI" w:cs="Nirmala UI"/>
        </w:rPr>
        <w:t>बस्नुपर्छ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हामीसमक्ष</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गर्नुहुने</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किरणलाई</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झल्काहरू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प्रार्थनापूर्वक</w:t>
      </w:r>
      <w:r>
        <w:rPr>
          <w:rFonts w:ascii="Times New Roman" w:hAnsi="Times New Roman" w:eastAsia="Times New Roman" w:cs="Times New Roman"/>
        </w:rPr>
        <w:t xml:space="preserve"> </w:t>
      </w:r>
      <w:r>
        <w:rPr>
          <w:rFonts w:ascii="Nirmala UI" w:hAnsi="Nirmala UI" w:eastAsia="Nirmala UI" w:cs="Nirmala UI"/>
        </w:rPr>
        <w:t>अध्ययनद्वारा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अरूहरूको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सकिन्छ।</w:t>
      </w:r>
    </w:p>
    <w:p>
      <w:pPr>
        <w:pStyle w:val="ArticleScripture"/>
        <w:jc w:val="left"/>
      </w:pPr>
      <w:r>
        <w:rPr>
          <w:rFonts w:ascii="Times New Roman" w:hAnsi="Times New Roman" w:eastAsia="Times New Roman" w:cs="Times New Roman"/>
        </w:rPr>
        <w:t>«متى كان شعبُ الله في حالِ راحةٍ واكتفاءٍ بما لديهم من الاستنارة الحاضرة، جاز لنا أن نتيقّن أنه لا يرضى عنهم. فمشيئتُه أن يظلّوا دائمًا متقدّمين ليتلقّوا النورَ المتزايدَ والمتعاظمَ على الدوام، الذي يشرق لهم. إن موقفَ الكنيسة الحاضرَ غيرُ مُرضٍ لله. لقد تسلّل إليها اعتمادٌ على الذات قادهم إلى ألّا يشعروا بحاجةٍ إلى مزيدٍ من الحقّ ونورٍ أعظم. نحن نعيش في زمانٍ يعمل فيه الشيطان عن اليمين وعن الشمال، أمامنا وخلفنا؛ ومع ذلك فنحن، كشعبٍ، نيام. إن الله يريد أن يُسمَع صوتٌ يوقظ شعبَه إلى العمل». الشهادات، المجلد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soixante-trois</dc:title>
  <dc:subject>Fakpaa Nɔ Cee: Daniel Kpasɛ 11wo Hakpanyaẹwo</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