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Puka ha Daniel - Helu Hoʻokahi Haneri Kanaono Kūmāono</w:t>
      </w:r>
    </w:p>
    <w:p>
      <w:pPr>
        <w:pStyle w:val="ArticleSubtitle"/>
        <w:jc w:val="left"/>
      </w:pPr>
      <w:r>
        <w:rPr>
          <w:rFonts w:ascii="Arial" w:hAnsi="Arial" w:eastAsia="Arial" w:cs="Arial"/>
        </w:rPr>
        <w:t>Défaire les fils de la prophétie : la Révolution française, la Russie de Poutine et le conflit ukrainien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بينما نبدأ في تأمّل تمثيل زمن النهاية في عام 1989، من خلال التاريخ النبوي للعدد العاشر، يلزمنا أن نعود إلى تاريخ الجيل الثالث لكلٍّ من قرني وحش الأرض. ففي عام 1913، بدأ قرن الجمهوريّة التابع لوحش الأرض جيله من المساومة مع النظام المصرفي العولمي، وفي عام 1919، بدأ قرن البروتستانتيّة الحقّة جيله من المساومة مع لاهوتيّي البروتستانتيّة المرتدّة، وكذلك مع الجمعيّة الطبيّة الأمريكيّة، حين سلّم اعتماد نظامه التعليمي إلى العالم. وقد بدأ القرنان كلاهما علاقة مساومة مع العالم من شأنها أن تغيّر اتجاه رسالتيهما الخاصّتين منذ تلك النقطة فصاعدًا.</w:t>
      </w:r>
    </w:p>
    <w:p>
      <w:pPr>
        <w:pStyle w:val="ArticleBody"/>
        <w:jc w:val="left"/>
      </w:pPr>
      <w:r>
        <w:rPr>
          <w:rFonts w:ascii="Times New Roman" w:hAnsi="Times New Roman" w:eastAsia="Times New Roman" w:cs="Times New Roman"/>
        </w:rPr>
        <w:t>Naquela história, o ponto de partida para o rei do norte, e também para o rei do sul dos últimos dias, alcançou um ponto de viragem. O Milagre de Fátima ocorreu em 13 de outubro de 1917, em Fátima, Portugal. Foi o culminar de uma série de aparições marianas testemunhadas por três jovens crianças pastorinhas: Lúcia dos Santos e seus primos Francisco e Jacinta Marto. Segundo os relatos fornecidos pelas crianças, a Virgem Maria, identificada como Nossa Senhora de Fátima, apareceu-lhes no dia 13 de cada mês, de maio a outubro de 1917.</w:t>
      </w:r>
    </w:p>
    <w:p>
      <w:pPr>
        <w:pStyle w:val="ArticleBody"/>
        <w:jc w:val="left"/>
      </w:pP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१९१७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प्रकटताका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बालबालिकाहरूले</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गरेअनुसार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आशामा</w:t>
      </w:r>
      <w:r>
        <w:rPr>
          <w:rFonts w:ascii="Times New Roman" w:hAnsi="Times New Roman" w:eastAsia="Times New Roman" w:cs="Times New Roman"/>
        </w:rPr>
        <w:t xml:space="preserve"> </w:t>
      </w:r>
      <w:r>
        <w:rPr>
          <w:rFonts w:ascii="Nirmala UI" w:hAnsi="Nirmala UI" w:eastAsia="Nirmala UI" w:cs="Nirmala UI"/>
        </w:rPr>
        <w:t>फातिमानजिकको</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इरियामा</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साक्षीहरूका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सूर्यले</w:t>
      </w:r>
      <w:r>
        <w:rPr>
          <w:rFonts w:ascii="Times New Roman" w:hAnsi="Times New Roman" w:eastAsia="Times New Roman" w:cs="Times New Roman"/>
        </w:rPr>
        <w:t xml:space="preserve"> </w:t>
      </w:r>
      <w:r>
        <w:rPr>
          <w:rFonts w:ascii="Nirmala UI" w:hAnsi="Nirmala UI" w:eastAsia="Nirmala UI" w:cs="Nirmala UI"/>
        </w:rPr>
        <w:t>रङ</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घुमेको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आकाशमा</w:t>
      </w:r>
      <w:r>
        <w:rPr>
          <w:rFonts w:ascii="Times New Roman" w:hAnsi="Times New Roman" w:eastAsia="Times New Roman" w:cs="Times New Roman"/>
        </w:rPr>
        <w:t xml:space="preserve"> </w:t>
      </w:r>
      <w:r>
        <w:rPr>
          <w:rFonts w:ascii="Nirmala UI" w:hAnsi="Nirmala UI" w:eastAsia="Nirmala UI" w:cs="Nirmala UI"/>
        </w:rPr>
        <w:t>नाचेजस्तो</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सूर्यको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फातिमाको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पुग्यो।</w:t>
      </w:r>
    </w:p>
    <w:p>
      <w:pPr>
        <w:pStyle w:val="ArticleBody"/>
        <w:jc w:val="left"/>
      </w:pPr>
      <w:r>
        <w:rPr>
          <w:rFonts w:ascii="Times New Roman" w:hAnsi="Times New Roman" w:eastAsia="Times New Roman" w:cs="Times New Roman"/>
        </w:rPr>
        <w:t>Le Miracle de Fatima est un événement marquant de l’histoire et de la dévotion catholiques, et il a fait, au fil des années, l’objet de nombreuses études, de débats et d’interprétations religieuses. Les événements de Fatima ont exercé une influence durable sur la piété populaire, la dévotion mariale et l’interprétation des thèmes apocalyptiques au sein de l’Église catholique.</w:t>
      </w:r>
    </w:p>
    <w:p>
      <w:pPr>
        <w:pStyle w:val="ArticleBody"/>
        <w:jc w:val="left"/>
      </w:pPr>
      <w:r>
        <w:rPr>
          <w:rFonts w:ascii="Times New Roman" w:hAnsi="Times New Roman" w:eastAsia="Times New Roman" w:cs="Times New Roman"/>
        </w:rPr>
        <w:t>Uguquko lwamaBolshevik lwenzeka eRussia ngomhla ka-7 Novemba 1917, lapho amabutho amaBolshevik, eholwa nguVladimir Lenin kanye neQembu lamaBolshevik, ethatha izakhiwo ezibalulekile zikahulumeni kanye nengqalasizinda ePetrograd (manje eyiSaint Petersburg). Lesi sigameko saba uphawu lokuphetha koGuquko lwaseRussia lwango-1917, olwaqala ngoGuquko lwangoFebhuwari ekuqaleni kwalowo nyaka, olwaholela ekudilizweni kukaTsar Nicholas II esihlalweni sobukhosi nasekusungulweni kukahulumeni wesikhashana.</w:t>
      </w:r>
    </w:p>
    <w:p>
      <w:pPr>
        <w:pStyle w:val="ArticleBody"/>
        <w:jc w:val="left"/>
      </w:pPr>
      <w:r>
        <w:rPr>
          <w:rFonts w:ascii="Nirmala UI" w:hAnsi="Nirmala UI" w:eastAsia="Nirmala UI" w:cs="Nirmala UI"/>
        </w:rPr>
        <w:t>ਰਿਵੋਲਿਊਸ਼ਨ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ਬੋਲਸ਼ੇਵਿਕਾਂ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ਅਸਥਾਈ</w:t>
      </w:r>
      <w:r>
        <w:rPr>
          <w:rFonts w:ascii="Times New Roman" w:hAnsi="Times New Roman" w:eastAsia="Times New Roman" w:cs="Times New Roman"/>
        </w:rPr>
        <w:t xml:space="preserve"> </w:t>
      </w:r>
      <w:r>
        <w:rPr>
          <w:rFonts w:ascii="Nirmala UI" w:hAnsi="Nirmala UI" w:eastAsia="Nirmala UI" w:cs="Nirmala UI"/>
        </w:rPr>
        <w:t>ਸਰਕਾਰ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ਸਫਲਤਾਪੂਰਵਕ</w:t>
      </w:r>
      <w:r>
        <w:rPr>
          <w:rFonts w:ascii="Times New Roman" w:hAnsi="Times New Roman" w:eastAsia="Times New Roman" w:cs="Times New Roman"/>
        </w:rPr>
        <w:t xml:space="preserve"> </w:t>
      </w:r>
      <w:r>
        <w:rPr>
          <w:rFonts w:ascii="Nirmala UI" w:hAnsi="Nirmala UI" w:eastAsia="Nirmala UI" w:cs="Nirmala UI"/>
        </w:rPr>
        <w:t>ਉਲਟ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ਨਿਯੰਤਰਣ</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ਬੋਲਸ਼ੇਵਿਕਾਂ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ਸਮਾਜਵਾਦੀ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ਸਥਾਪਨਾ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ਐਲਾਨ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ਕ੍ਰਾਂਤਿਕਾਰੀ</w:t>
      </w:r>
      <w:r>
        <w:rPr>
          <w:rFonts w:ascii="Times New Roman" w:hAnsi="Times New Roman" w:eastAsia="Times New Roman" w:cs="Times New Roman"/>
        </w:rPr>
        <w:t xml:space="preserve"> </w:t>
      </w:r>
      <w:r>
        <w:rPr>
          <w:rFonts w:ascii="Nirmala UI" w:hAnsi="Nirmala UI" w:eastAsia="Nirmala UI" w:cs="Nirmala UI"/>
        </w:rPr>
        <w:t>ਕਾਰਜਕ੍ਰਮ</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ਉਦਯੋਗਾਂ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ਰਾਸ਼ਟਰੀਕਰਨ</w:t>
      </w:r>
      <w:r>
        <w:rPr>
          <w:rFonts w:ascii="Times New Roman" w:hAnsi="Times New Roman" w:eastAsia="Times New Roman" w:cs="Times New Roman"/>
        </w:rPr>
        <w:t xml:space="preserve">, </w:t>
      </w:r>
      <w:r>
        <w:rPr>
          <w:rFonts w:ascii="Nirmala UI" w:hAnsi="Nirmala UI" w:eastAsia="Nirmala UI" w:cs="Nirmala UI"/>
        </w:rPr>
        <w:t>ਜ਼ਮੀਨ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ਅਕਤੂਬਰ</w:t>
      </w:r>
      <w:r>
        <w:rPr>
          <w:rFonts w:ascii="Times New Roman" w:hAnsi="Times New Roman" w:eastAsia="Times New Roman" w:cs="Times New Roman"/>
        </w:rPr>
        <w:t xml:space="preserve"> </w:t>
      </w:r>
      <w:r>
        <w:rPr>
          <w:rFonts w:ascii="Nirmala UI" w:hAnsi="Nirmala UI" w:eastAsia="Nirmala UI" w:cs="Nirmala UI"/>
        </w:rPr>
        <w:t>ਕ੍ਰਾਂਤੀ</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ਯੂਨੀਅਨ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ਡੂੰਘੇ</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ਦੂਰਗਾਮੀ</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ਪਏ</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ਵੀਹਵੀਂ</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ਆਕਾਰ</w:t>
      </w:r>
      <w:r>
        <w:rPr>
          <w:rFonts w:ascii="Times New Roman" w:hAnsi="Times New Roman" w:eastAsia="Times New Roman" w:cs="Times New Roman"/>
        </w:rPr>
        <w:t xml:space="preserve"> </w:t>
      </w:r>
      <w:r>
        <w:rPr>
          <w:rFonts w:ascii="Nirmala UI" w:hAnsi="Nirmala UI" w:eastAsia="Nirmala UI" w:cs="Nirmala UI"/>
        </w:rPr>
        <w:t>ਦਿੱਤਾ।</w:t>
      </w:r>
    </w:p>
    <w:p>
      <w:pPr>
        <w:pStyle w:val="ArticleBody"/>
        <w:jc w:val="left"/>
      </w:pPr>
      <w:r>
        <w:rPr>
          <w:rFonts w:ascii="Times New Roman" w:hAnsi="Times New Roman" w:eastAsia="Times New Roman" w:cs="Times New Roman"/>
        </w:rPr>
        <w:t>Jésus illustre la fin par le commencement, et, afin de discerner pleinement le roi du nord et le roi du sud des derniers jours, il est nécessaire de comprendre leurs origines. Les rois littéraux du sud et du nord qui sont identifiés dans le chapitre onze de Daniel sont définis comme la puissance qui gouverne la région littérale de l’Égypte en tant que roi du sud, et la puissance qui gouverne la région géographique littérale associée à Babylone en tant que roi du nord.</w:t>
      </w:r>
    </w:p>
    <w:p>
      <w:pPr>
        <w:pStyle w:val="ArticleBody"/>
        <w:jc w:val="left"/>
      </w:pPr>
      <w:r>
        <w:rPr>
          <w:rFonts w:ascii="Times New Roman" w:hAnsi="Times New Roman" w:eastAsia="Times New Roman" w:cs="Times New Roman"/>
        </w:rPr>
        <w:t>La prophétie littérale passa à la prophétie spirituelle au temps de la croix, lorsque l’ancien Israël littéral passait à l’Israël spirituel moderne. La Rome païenne littérale foula aux pieds la Jérusalem littérale pendant trois ans et demi littéraux, de l’an 67 apr. J.-C. jusqu’à l’an 70 apr. J.-C., et la Rome papale spirituelle foula aux pieds la Jérusalem spirituelle pendant trois ans et demi spirituels.</w:t>
      </w:r>
    </w:p>
    <w:p>
      <w:pPr>
        <w:pStyle w:val="ArticleBody"/>
        <w:jc w:val="left"/>
      </w:pP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अभिव्यक्तियाँ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प्रत्याक्रमण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1917 </w:t>
      </w:r>
      <w:r>
        <w:rPr>
          <w:rFonts w:ascii="Nirmala UI" w:hAnsi="Nirmala UI" w:eastAsia="Nirmala UI" w:cs="Nirmala UI"/>
        </w:rPr>
        <w:t>से</w:t>
      </w:r>
      <w:r>
        <w:rPr>
          <w:rFonts w:ascii="Times New Roman" w:hAnsi="Times New Roman" w:eastAsia="Times New Roman" w:cs="Times New Roman"/>
        </w:rPr>
        <w:t xml:space="preserve"> 1918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समुचित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अनिवार्य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«Дар асри шонздаҳум Ислоҳот, ки Китоби Муқаддаси кушодаро ба мардум пешкаш мекард, кӯшида буд ба ҳамаи кишварҳои Аврупо роҳ ёбад. Баъзе миллатҳо онро бо шодмонӣ, ҳамчун фиристодаи Осмон, пазируфтанд. Дар кишварҳои дигар папагӣ то андозае бисёр муваффақ шуд, ки вуруди онро пешгирӣ намояд; ва нури дониши Китоби Муқаддас, бо таъсирҳои боло-барандаи худ, қариб тамоман маҳдуд карда шуд. Дар як кишвар, гарчанде ки нур роҳ ёфт, онро зулмот дарк накард. Дар тӯли асрҳо ҳақиқат ва иштибоҳ барои ҳукмронӣ мубориза бурданд. Ниҳоят бадӣ ғолиб омад, ва ҳақиқати Осмон берун ронда шуд. «Ва ҳукм ин аст, ки нур ба ҷаҳон омад, лекин одамон зулмотро бештар аз нур дӯст доштанд». Юҳанно 3:19. Он миллат вогузошта шуд, то натиҷаҳои роҳи интихобкардаи худро дарав кунад. Монеаи Рӯҳи Худо аз қавме, ки атои файзи Ӯро хор шумурда буд, бардошта шуд. Ба бадӣ иҷозат дода шуд, ки ба камол расад. Ва тамоми ҷаҳон самари радкунии қасдонаи нурро дид.»</w:t>
      </w:r>
    </w:p>
    <w:p>
      <w:pPr>
        <w:pStyle w:val="ArticleScripture"/>
        <w:jc w:val="left"/>
      </w:pPr>
      <w:r>
        <w:rPr>
          <w:rFonts w:ascii="Times New Roman" w:hAnsi="Times New Roman" w:eastAsia="Times New Roman" w:cs="Times New Roman"/>
        </w:rPr>
        <w:t>«Согуш, Ыйык Китепке каршы багытталып, Францияда ушунча кылымдар бою жүргүзүлүп келген, акыры Революциянын окуяларында туу чокусуна жетти. Ал коркунучтуу жарылуу Римдин Ыйык Жазмаларды басып-жанышынан келип чыккан мыйзам ченемдүү натыйжа гана эле. Ал папалык саясаттын ишке ашышынын дүйнө буга чейин көргөн эң таасирдүү мисалын көрсөттү — Рим чиркөөсүнүн окутуусу миң жылдан ашуун убакыт бою алып барып жаткан натыйжалардын мисалын.»</w:t>
      </w:r>
    </w:p>
    <w:p>
      <w:pPr>
        <w:pStyle w:val="ArticleScripture"/>
        <w:jc w:val="left"/>
      </w:pPr>
      <w:r>
        <w:rPr>
          <w:rFonts w:ascii="Times New Roman" w:hAnsi="Times New Roman" w:eastAsia="Times New Roman" w:cs="Times New Roman"/>
        </w:rPr>
        <w:t>“Az Írások elnyomását a pápai felsőbbség időszakában a próféták előre megjövendölték; és a Jelenések könyvének írója rámutat azokra a rettenetes következményekre is, amelyek különösen Franciaországra hárultak a „bűn emberének” uralma következtében.” A nagy küzdelem, 265, 266.</w:t>
      </w:r>
    </w:p>
    <w:p>
      <w:pPr>
        <w:pStyle w:val="ArticleBody"/>
        <w:jc w:val="left"/>
      </w:pPr>
      <w:r>
        <w:rPr>
          <w:rFonts w:ascii="Nirmala UI" w:hAnsi="Nirmala UI" w:eastAsia="Nirmala UI" w:cs="Nirmala UI"/>
        </w:rPr>
        <w:t>தந்தையர்</w:t>
      </w:r>
      <w:r>
        <w:rPr>
          <w:rFonts w:ascii="Times New Roman" w:hAnsi="Times New Roman" w:eastAsia="Times New Roman" w:cs="Times New Roman"/>
        </w:rPr>
        <w:t xml:space="preserve"> </w:t>
      </w:r>
      <w:r>
        <w:rPr>
          <w:rFonts w:ascii="Nirmala UI" w:hAnsi="Nirmala UI" w:eastAsia="Nirmala UI" w:cs="Nirmala UI"/>
        </w:rPr>
        <w:t>ஆதிக்கத்தின்</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வேதாகமங்கள்</w:t>
      </w:r>
      <w:r>
        <w:rPr>
          <w:rFonts w:ascii="Times New Roman" w:hAnsi="Times New Roman" w:eastAsia="Times New Roman" w:cs="Times New Roman"/>
        </w:rPr>
        <w:t xml:space="preserve"> </w:t>
      </w:r>
      <w:r>
        <w:rPr>
          <w:rFonts w:ascii="Nirmala UI" w:hAnsi="Nirmala UI" w:eastAsia="Nirmala UI" w:cs="Nirmala UI"/>
        </w:rPr>
        <w:t>ஒடுக்கப்பட்டதினால்</w:t>
      </w:r>
      <w:r>
        <w:rPr>
          <w:rFonts w:ascii="Times New Roman" w:hAnsi="Times New Roman" w:eastAsia="Times New Roman" w:cs="Times New Roman"/>
        </w:rPr>
        <w:t xml:space="preserve"> </w:t>
      </w:r>
      <w:r>
        <w:rPr>
          <w:rFonts w:ascii="Nirmala UI" w:hAnsi="Nirmala UI" w:eastAsia="Nirmala UI" w:cs="Nirmala UI"/>
        </w:rPr>
        <w:t>பிரெஞ்சுப்</w:t>
      </w:r>
      <w:r>
        <w:rPr>
          <w:rFonts w:ascii="Times New Roman" w:hAnsi="Times New Roman" w:eastAsia="Times New Roman" w:cs="Times New Roman"/>
        </w:rPr>
        <w:t xml:space="preserve"> </w:t>
      </w:r>
      <w:r>
        <w:rPr>
          <w:rFonts w:ascii="Nirmala UI" w:hAnsi="Nirmala UI" w:eastAsia="Nirmala UI" w:cs="Nirmala UI"/>
        </w:rPr>
        <w:t>புரட்சி</w:t>
      </w:r>
      <w:r>
        <w:rPr>
          <w:rFonts w:ascii="Times New Roman" w:hAnsi="Times New Roman" w:eastAsia="Times New Roman" w:cs="Times New Roman"/>
        </w:rPr>
        <w:t xml:space="preserve"> </w:t>
      </w:r>
      <w:r>
        <w:rPr>
          <w:rFonts w:ascii="Nirmala UI" w:hAnsi="Nirmala UI" w:eastAsia="Nirmala UI" w:cs="Nirmala UI"/>
        </w:rPr>
        <w:t>உருவாயிற்று</w:t>
      </w:r>
      <w:r>
        <w:rPr>
          <w:rFonts w:ascii="Times New Roman" w:hAnsi="Times New Roman" w:eastAsia="Times New Roman" w:cs="Times New Roman"/>
        </w:rPr>
        <w:t xml:space="preserve">. </w:t>
      </w:r>
      <w:r>
        <w:rPr>
          <w:rFonts w:ascii="Nirmala UI" w:hAnsi="Nirmala UI" w:eastAsia="Nirmala UI" w:cs="Nirmala UI"/>
        </w:rPr>
        <w:t>பாப்பரசாட்சியின்</w:t>
      </w:r>
      <w:r>
        <w:rPr>
          <w:rFonts w:ascii="Times New Roman" w:hAnsi="Times New Roman" w:eastAsia="Times New Roman" w:cs="Times New Roman"/>
        </w:rPr>
        <w:t xml:space="preserve"> </w:t>
      </w:r>
      <w:r>
        <w:rPr>
          <w:rFonts w:ascii="Nirmala UI" w:hAnsi="Nirmala UI" w:eastAsia="Nirmala UI" w:cs="Nirmala UI"/>
        </w:rPr>
        <w:t>பிரதான</w:t>
      </w:r>
      <w:r>
        <w:rPr>
          <w:rFonts w:ascii="Times New Roman" w:hAnsi="Times New Roman" w:eastAsia="Times New Roman" w:cs="Times New Roman"/>
        </w:rPr>
        <w:t xml:space="preserve"> </w:t>
      </w:r>
      <w:r>
        <w:rPr>
          <w:rFonts w:ascii="Nirmala UI" w:hAnsi="Nirmala UI" w:eastAsia="Nirmala UI" w:cs="Nirmala UI"/>
        </w:rPr>
        <w:t>பகைவராக</w:t>
      </w:r>
      <w:r>
        <w:rPr>
          <w:rFonts w:ascii="Times New Roman" w:hAnsi="Times New Roman" w:eastAsia="Times New Roman" w:cs="Times New Roman"/>
        </w:rPr>
        <w:t xml:space="preserve"> </w:t>
      </w:r>
      <w:r>
        <w:rPr>
          <w:rFonts w:ascii="Nirmala UI" w:hAnsi="Nirmala UI" w:eastAsia="Nirmala UI" w:cs="Nirmala UI"/>
        </w:rPr>
        <w:t>ஆகவிருந்த</w:t>
      </w:r>
      <w:r>
        <w:rPr>
          <w:rFonts w:ascii="Times New Roman" w:hAnsi="Times New Roman" w:eastAsia="Times New Roman" w:cs="Times New Roman"/>
        </w:rPr>
        <w:t xml:space="preserve"> </w:t>
      </w:r>
      <w:r>
        <w:rPr>
          <w:rFonts w:ascii="Nirmala UI" w:hAnsi="Nirmala UI" w:eastAsia="Nirmala UI" w:cs="Nirmala UI"/>
        </w:rPr>
        <w:t>நாத்திகத்தின்</w:t>
      </w:r>
      <w:r>
        <w:rPr>
          <w:rFonts w:ascii="Times New Roman" w:hAnsi="Times New Roman" w:eastAsia="Times New Roman" w:cs="Times New Roman"/>
        </w:rPr>
        <w:t xml:space="preserve"> </w:t>
      </w:r>
      <w:r>
        <w:rPr>
          <w:rFonts w:ascii="Nirmala UI" w:hAnsi="Nirmala UI" w:eastAsia="Nirmala UI" w:cs="Nirmala UI"/>
        </w:rPr>
        <w:t>பிறப்பு</w:t>
      </w:r>
      <w:r>
        <w:rPr>
          <w:rFonts w:ascii="Times New Roman" w:hAnsi="Times New Roman" w:eastAsia="Times New Roman" w:cs="Times New Roman"/>
        </w:rPr>
        <w:t xml:space="preserve">, </w:t>
      </w:r>
      <w:r>
        <w:rPr>
          <w:rFonts w:ascii="Nirmala UI" w:hAnsi="Nirmala UI" w:eastAsia="Nirmala UI" w:cs="Nirmala UI"/>
        </w:rPr>
        <w:t>பாப்பரசாட்சியினாலேயே</w:t>
      </w:r>
      <w:r>
        <w:rPr>
          <w:rFonts w:ascii="Times New Roman" w:hAnsi="Times New Roman" w:eastAsia="Times New Roman" w:cs="Times New Roman"/>
        </w:rPr>
        <w:t xml:space="preserve"> </w:t>
      </w:r>
      <w:r>
        <w:rPr>
          <w:rFonts w:ascii="Nirmala UI" w:hAnsi="Nirmala UI" w:eastAsia="Nirmala UI" w:cs="Nirmala UI"/>
        </w:rPr>
        <w:t>உண்டாக்கப்பட்டது</w:t>
      </w:r>
      <w:r>
        <w:rPr>
          <w:rFonts w:ascii="Times New Roman" w:hAnsi="Times New Roman" w:eastAsia="Times New Roman" w:cs="Times New Roman"/>
        </w:rPr>
        <w:t xml:space="preserve">. </w:t>
      </w:r>
      <w:r>
        <w:rPr>
          <w:rFonts w:ascii="Nirmala UI" w:hAnsi="Nirmala UI" w:eastAsia="Nirmala UI" w:cs="Nirmala UI"/>
        </w:rPr>
        <w:t>பிரெஞ்சுப்</w:t>
      </w:r>
      <w:r>
        <w:rPr>
          <w:rFonts w:ascii="Times New Roman" w:hAnsi="Times New Roman" w:eastAsia="Times New Roman" w:cs="Times New Roman"/>
        </w:rPr>
        <w:t xml:space="preserve"> </w:t>
      </w:r>
      <w:r>
        <w:rPr>
          <w:rFonts w:ascii="Nirmala UI" w:hAnsi="Nirmala UI" w:eastAsia="Nirmala UI" w:cs="Nirmala UI"/>
        </w:rPr>
        <w:t>புரட்சி</w:t>
      </w:r>
      <w:r>
        <w:rPr>
          <w:rFonts w:ascii="Times New Roman" w:hAnsi="Times New Roman" w:eastAsia="Times New Roman" w:cs="Times New Roman"/>
        </w:rPr>
        <w:t xml:space="preserve"> 1789 </w:t>
      </w:r>
      <w:r>
        <w:rPr>
          <w:rFonts w:ascii="Nirmala UI" w:hAnsi="Nirmala UI" w:eastAsia="Nirmala UI" w:cs="Nirmala UI"/>
        </w:rPr>
        <w:t>முதல்</w:t>
      </w:r>
      <w:r>
        <w:rPr>
          <w:rFonts w:ascii="Times New Roman" w:hAnsi="Times New Roman" w:eastAsia="Times New Roman" w:cs="Times New Roman"/>
        </w:rPr>
        <w:t xml:space="preserve"> 1799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நடைபெற்றது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பிரான்சில்</w:t>
      </w:r>
      <w:r>
        <w:rPr>
          <w:rFonts w:ascii="Times New Roman" w:hAnsi="Times New Roman" w:eastAsia="Times New Roman" w:cs="Times New Roman"/>
        </w:rPr>
        <w:t xml:space="preserve"> </w:t>
      </w:r>
      <w:r>
        <w:rPr>
          <w:rFonts w:ascii="Nirmala UI" w:hAnsi="Nirmala UI" w:eastAsia="Nirmala UI" w:cs="Nirmala UI"/>
        </w:rPr>
        <w:t>தொடங்கிய</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நாத்திகப்</w:t>
      </w:r>
      <w:r>
        <w:rPr>
          <w:rFonts w:ascii="Times New Roman" w:hAnsi="Times New Roman" w:eastAsia="Times New Roman" w:cs="Times New Roman"/>
        </w:rPr>
        <w:t xml:space="preserve"> </w:t>
      </w:r>
      <w:r>
        <w:rPr>
          <w:rFonts w:ascii="Nirmala UI" w:hAnsi="Nirmala UI" w:eastAsia="Nirmala UI" w:cs="Nirmala UI"/>
        </w:rPr>
        <w:t>புரட்சிகர</w:t>
      </w:r>
      <w:r>
        <w:rPr>
          <w:rFonts w:ascii="Times New Roman" w:hAnsi="Times New Roman" w:eastAsia="Times New Roman" w:cs="Times New Roman"/>
        </w:rPr>
        <w:t xml:space="preserve"> </w:t>
      </w:r>
      <w:r>
        <w:rPr>
          <w:rFonts w:ascii="Nirmala UI" w:hAnsi="Nirmala UI" w:eastAsia="Nirmala UI" w:cs="Nirmala UI"/>
        </w:rPr>
        <w:t>ஆவி</w:t>
      </w:r>
      <w:r>
        <w:rPr>
          <w:rFonts w:ascii="Times New Roman" w:hAnsi="Times New Roman" w:eastAsia="Times New Roman" w:cs="Times New Roman"/>
        </w:rPr>
        <w:t xml:space="preserve"> </w:t>
      </w:r>
      <w:r>
        <w:rPr>
          <w:rFonts w:ascii="Nirmala UI" w:hAnsi="Nirmala UI" w:eastAsia="Nirmala UI" w:cs="Nirmala UI"/>
        </w:rPr>
        <w:t>ஐரோப்பா</w:t>
      </w:r>
      <w:r>
        <w:rPr>
          <w:rFonts w:ascii="Times New Roman" w:hAnsi="Times New Roman" w:eastAsia="Times New Roman" w:cs="Times New Roman"/>
        </w:rPr>
        <w:t xml:space="preserve"> </w:t>
      </w:r>
      <w:r>
        <w:rPr>
          <w:rFonts w:ascii="Nirmala UI" w:hAnsi="Nirmala UI" w:eastAsia="Nirmala UI" w:cs="Nirmala UI"/>
        </w:rPr>
        <w:t>முழுவதும்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அதற்குப்</w:t>
      </w:r>
      <w:r>
        <w:rPr>
          <w:rFonts w:ascii="Times New Roman" w:hAnsi="Times New Roman" w:eastAsia="Times New Roman" w:cs="Times New Roman"/>
        </w:rPr>
        <w:t xml:space="preserve"> </w:t>
      </w:r>
      <w:r>
        <w:rPr>
          <w:rFonts w:ascii="Nirmala UI" w:hAnsi="Nirmala UI" w:eastAsia="Nirmala UI" w:cs="Nirmala UI"/>
        </w:rPr>
        <w:t>புறம்பாகவும்</w:t>
      </w:r>
      <w:r>
        <w:rPr>
          <w:rFonts w:ascii="Times New Roman" w:hAnsi="Times New Roman" w:eastAsia="Times New Roman" w:cs="Times New Roman"/>
        </w:rPr>
        <w:t xml:space="preserve"> </w:t>
      </w:r>
      <w:r>
        <w:rPr>
          <w:rFonts w:ascii="Nirmala UI" w:hAnsi="Nirmala UI" w:eastAsia="Nirmala UI" w:cs="Nirmala UI"/>
        </w:rPr>
        <w:t>பரவிக்கொண்டே</w:t>
      </w:r>
      <w:r>
        <w:rPr>
          <w:rFonts w:ascii="Times New Roman" w:hAnsi="Times New Roman" w:eastAsia="Times New Roman" w:cs="Times New Roman"/>
        </w:rPr>
        <w:t xml:space="preserve"> </w:t>
      </w:r>
      <w:r>
        <w:rPr>
          <w:rFonts w:ascii="Nirmala UI" w:hAnsi="Nirmala UI" w:eastAsia="Nirmala UI" w:cs="Nirmala UI"/>
        </w:rPr>
        <w:t>போனது</w:t>
      </w:r>
      <w:r>
        <w:rPr>
          <w:rFonts w:ascii="Times New Roman" w:hAnsi="Times New Roman" w:eastAsia="Times New Roman" w:cs="Times New Roman"/>
        </w:rPr>
        <w:t xml:space="preserve">. </w:t>
      </w:r>
      <w:r>
        <w:rPr>
          <w:rFonts w:ascii="Nirmala UI" w:hAnsi="Nirmala UI" w:eastAsia="Nirmala UI" w:cs="Nirmala UI"/>
        </w:rPr>
        <w:t>பிரான்சிலுள்ள</w:t>
      </w:r>
      <w:r>
        <w:rPr>
          <w:rFonts w:ascii="Times New Roman" w:hAnsi="Times New Roman" w:eastAsia="Times New Roman" w:cs="Times New Roman"/>
        </w:rPr>
        <w:t xml:space="preserve"> </w:t>
      </w:r>
      <w:r>
        <w:rPr>
          <w:rFonts w:ascii="Nirmala UI" w:hAnsi="Nirmala UI" w:eastAsia="Nirmala UI" w:cs="Nirmala UI"/>
        </w:rPr>
        <w:t>புரட்சி</w:t>
      </w:r>
      <w:r>
        <w:rPr>
          <w:rFonts w:ascii="Times New Roman" w:hAnsi="Times New Roman" w:eastAsia="Times New Roman" w:cs="Times New Roman"/>
        </w:rPr>
        <w:t xml:space="preserve"> </w:t>
      </w:r>
      <w:r>
        <w:rPr>
          <w:rFonts w:ascii="Nirmala UI" w:hAnsi="Nirmala UI" w:eastAsia="Nirmala UI" w:cs="Nirmala UI"/>
        </w:rPr>
        <w:t>முடிவுற்றதிலிருந்து</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பதினெட்டு</w:t>
      </w:r>
      <w:r>
        <w:rPr>
          <w:rFonts w:ascii="Times New Roman" w:hAnsi="Times New Roman" w:eastAsia="Times New Roman" w:cs="Times New Roman"/>
        </w:rPr>
        <w:t xml:space="preserve"> </w:t>
      </w:r>
      <w:r>
        <w:rPr>
          <w:rFonts w:ascii="Nirmala UI" w:hAnsi="Nirmala UI" w:eastAsia="Nirmala UI" w:cs="Nirmala UI"/>
        </w:rPr>
        <w:t>ஆண்டுகளுக்குப்</w:t>
      </w:r>
      <w:r>
        <w:rPr>
          <w:rFonts w:ascii="Times New Roman" w:hAnsi="Times New Roman" w:eastAsia="Times New Roman" w:cs="Times New Roman"/>
        </w:rPr>
        <w:t xml:space="preserve"> </w:t>
      </w:r>
      <w:r>
        <w:rPr>
          <w:rFonts w:ascii="Nirmala UI" w:hAnsi="Nirmala UI" w:eastAsia="Nirmala UI" w:cs="Nirmala UI"/>
        </w:rPr>
        <w:t>பிறகு</w:t>
      </w:r>
      <w:r>
        <w:rPr>
          <w:rFonts w:ascii="Times New Roman" w:hAnsi="Times New Roman" w:eastAsia="Times New Roman" w:cs="Times New Roman"/>
        </w:rPr>
        <w:t xml:space="preserve">, </w:t>
      </w:r>
      <w:r>
        <w:rPr>
          <w:rFonts w:ascii="Nirmala UI" w:hAnsi="Nirmala UI" w:eastAsia="Nirmala UI" w:cs="Nirmala UI"/>
        </w:rPr>
        <w:t>ரஷ்யாவில்</w:t>
      </w:r>
      <w:r>
        <w:rPr>
          <w:rFonts w:ascii="Times New Roman" w:hAnsi="Times New Roman" w:eastAsia="Times New Roman" w:cs="Times New Roman"/>
        </w:rPr>
        <w:t xml:space="preserve"> </w:t>
      </w:r>
      <w:r>
        <w:rPr>
          <w:rFonts w:ascii="Nirmala UI" w:hAnsi="Nirmala UI" w:eastAsia="Nirmala UI" w:cs="Nirmala UI"/>
        </w:rPr>
        <w:t>ரஷ்யப்</w:t>
      </w:r>
      <w:r>
        <w:rPr>
          <w:rFonts w:ascii="Times New Roman" w:hAnsi="Times New Roman" w:eastAsia="Times New Roman" w:cs="Times New Roman"/>
        </w:rPr>
        <w:t xml:space="preserve"> </w:t>
      </w:r>
      <w:r>
        <w:rPr>
          <w:rFonts w:ascii="Nirmala UI" w:hAnsi="Nirmala UI" w:eastAsia="Nirmala UI" w:cs="Nirmala UI"/>
        </w:rPr>
        <w:t>புரட்சி</w:t>
      </w:r>
      <w:r>
        <w:rPr>
          <w:rFonts w:ascii="Times New Roman" w:hAnsi="Times New Roman" w:eastAsia="Times New Roman" w:cs="Times New Roman"/>
        </w:rPr>
        <w:t xml:space="preserve"> </w:t>
      </w:r>
      <w:r>
        <w:rPr>
          <w:rFonts w:ascii="Nirmala UI" w:hAnsi="Nirmala UI" w:eastAsia="Nirmala UI" w:cs="Nirmala UI"/>
        </w:rPr>
        <w:t>ஆரம்பமானது</w:t>
      </w:r>
      <w:r>
        <w:rPr>
          <w:rFonts w:ascii="Times New Roman" w:hAnsi="Times New Roman" w:eastAsia="Times New Roman" w:cs="Times New Roman"/>
        </w:rPr>
        <w:t xml:space="preserve">. </w:t>
      </w:r>
      <w:r>
        <w:rPr>
          <w:rFonts w:ascii="Nirmala UI" w:hAnsi="Nirmala UI" w:eastAsia="Nirmala UI" w:cs="Nirmala UI"/>
        </w:rPr>
        <w:t>பிரான்சில்</w:t>
      </w:r>
      <w:r>
        <w:rPr>
          <w:rFonts w:ascii="Times New Roman" w:hAnsi="Times New Roman" w:eastAsia="Times New Roman" w:cs="Times New Roman"/>
        </w:rPr>
        <w:t xml:space="preserve"> </w:t>
      </w:r>
      <w:r>
        <w:rPr>
          <w:rFonts w:ascii="Nirmala UI" w:hAnsi="Nirmala UI" w:eastAsia="Nirmala UI" w:cs="Nirmala UI"/>
        </w:rPr>
        <w:t>தொடங்கி</w:t>
      </w:r>
      <w:r>
        <w:rPr>
          <w:rFonts w:ascii="Times New Roman" w:hAnsi="Times New Roman" w:eastAsia="Times New Roman" w:cs="Times New Roman"/>
        </w:rPr>
        <w:t xml:space="preserve"> </w:t>
      </w:r>
      <w:r>
        <w:rPr>
          <w:rFonts w:ascii="Nirmala UI" w:hAnsi="Nirmala UI" w:eastAsia="Nirmala UI" w:cs="Nirmala UI"/>
        </w:rPr>
        <w:t>ரஷ்யாவில்</w:t>
      </w:r>
      <w:r>
        <w:rPr>
          <w:rFonts w:ascii="Times New Roman" w:hAnsi="Times New Roman" w:eastAsia="Times New Roman" w:cs="Times New Roman"/>
        </w:rPr>
        <w:t xml:space="preserve"> </w:t>
      </w:r>
      <w:r>
        <w:rPr>
          <w:rFonts w:ascii="Nirmala UI" w:hAnsi="Nirmala UI" w:eastAsia="Nirmala UI" w:cs="Nirmala UI"/>
        </w:rPr>
        <w:t>முடிவுற்ற</w:t>
      </w:r>
      <w:r>
        <w:rPr>
          <w:rFonts w:ascii="Times New Roman" w:hAnsi="Times New Roman" w:eastAsia="Times New Roman" w:cs="Times New Roman"/>
        </w:rPr>
        <w:t xml:space="preserve"> </w:t>
      </w:r>
      <w:r>
        <w:rPr>
          <w:rFonts w:ascii="Nirmala UI" w:hAnsi="Nirmala UI" w:eastAsia="Nirmala UI" w:cs="Nirmala UI"/>
        </w:rPr>
        <w:t>நாத்திகப்</w:t>
      </w:r>
      <w:r>
        <w:rPr>
          <w:rFonts w:ascii="Times New Roman" w:hAnsi="Times New Roman" w:eastAsia="Times New Roman" w:cs="Times New Roman"/>
        </w:rPr>
        <w:t xml:space="preserve"> </w:t>
      </w:r>
      <w:r>
        <w:rPr>
          <w:rFonts w:ascii="Nirmala UI" w:hAnsi="Nirmala UI" w:eastAsia="Nirmala UI" w:cs="Nirmala UI"/>
        </w:rPr>
        <w:t>புரட்சி</w:t>
      </w:r>
      <w:r>
        <w:rPr>
          <w:rFonts w:ascii="Times New Roman" w:hAnsi="Times New Roman" w:eastAsia="Times New Roman" w:cs="Times New Roman"/>
        </w:rPr>
        <w:t xml:space="preserve">, 1917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எகிப்தின்</w:t>
      </w:r>
      <w:r>
        <w:rPr>
          <w:rFonts w:ascii="Times New Roman" w:hAnsi="Times New Roman" w:eastAsia="Times New Roman" w:cs="Times New Roman"/>
        </w:rPr>
        <w:t xml:space="preserve"> </w:t>
      </w:r>
      <w:r>
        <w:rPr>
          <w:rFonts w:ascii="Nirmala UI" w:hAnsi="Nirmala UI" w:eastAsia="Nirmala UI" w:cs="Nirmala UI"/>
        </w:rPr>
        <w:t>நாத்திகத்தால்</w:t>
      </w:r>
      <w:r>
        <w:rPr>
          <w:rFonts w:ascii="Times New Roman" w:hAnsi="Times New Roman" w:eastAsia="Times New Roman" w:cs="Times New Roman"/>
        </w:rPr>
        <w:t xml:space="preserve"> </w:t>
      </w:r>
      <w:r>
        <w:rPr>
          <w:rFonts w:ascii="Nirmala UI" w:hAnsi="Nirmala UI" w:eastAsia="Nirmala UI" w:cs="Nirmala UI"/>
        </w:rPr>
        <w:t>குறியிடப்பட்ட</w:t>
      </w:r>
      <w:r>
        <w:rPr>
          <w:rFonts w:ascii="Times New Roman" w:hAnsi="Times New Roman" w:eastAsia="Times New Roman" w:cs="Times New Roman"/>
        </w:rPr>
        <w:t xml:space="preserve"> </w:t>
      </w:r>
      <w:r>
        <w:rPr>
          <w:rFonts w:ascii="Nirmala UI" w:hAnsi="Nirmala UI" w:eastAsia="Nirmala UI" w:cs="Nirmala UI"/>
        </w:rPr>
        <w:t>தேசத்தின்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பிரதிநிதியாக</w:t>
      </w:r>
      <w:r>
        <w:rPr>
          <w:rFonts w:ascii="Times New Roman" w:hAnsi="Times New Roman" w:eastAsia="Times New Roman" w:cs="Times New Roman"/>
        </w:rPr>
        <w:t xml:space="preserve"> </w:t>
      </w:r>
      <w:r>
        <w:rPr>
          <w:rFonts w:ascii="Nirmala UI" w:hAnsi="Nirmala UI" w:eastAsia="Nirmala UI" w:cs="Nirmala UI"/>
        </w:rPr>
        <w:t>ரஷ்யாவை</w:t>
      </w:r>
      <w:r>
        <w:rPr>
          <w:rFonts w:ascii="Times New Roman" w:hAnsi="Times New Roman" w:eastAsia="Times New Roman" w:cs="Times New Roman"/>
        </w:rPr>
        <w:t xml:space="preserve"> </w:t>
      </w:r>
      <w:r>
        <w:rPr>
          <w:rFonts w:ascii="Nirmala UI" w:hAnsi="Nirmala UI" w:eastAsia="Nirmala UI" w:cs="Nirmala UI"/>
        </w:rPr>
        <w:t>ஆக்கியது</w:t>
      </w:r>
      <w:r>
        <w:rPr>
          <w:rFonts w:ascii="Times New Roman" w:hAnsi="Times New Roman" w:eastAsia="Times New Roman" w:cs="Times New Roman"/>
        </w:rPr>
        <w:t xml:space="preserve">. </w:t>
      </w:r>
      <w:r>
        <w:rPr>
          <w:rFonts w:ascii="Nirmala UI" w:hAnsi="Nirmala UI" w:eastAsia="Nirmala UI" w:cs="Nirmala UI"/>
        </w:rPr>
        <w:t>தெற்கின்</w:t>
      </w:r>
      <w:r>
        <w:rPr>
          <w:rFonts w:ascii="Times New Roman" w:hAnsi="Times New Roman" w:eastAsia="Times New Roman" w:cs="Times New Roman"/>
        </w:rPr>
        <w:t xml:space="preserve"> </w:t>
      </w:r>
      <w:r>
        <w:rPr>
          <w:rFonts w:ascii="Nirmala UI" w:hAnsi="Nirmala UI" w:eastAsia="Nirmala UI" w:cs="Nirmala UI"/>
        </w:rPr>
        <w:t>இராஜாவாகக்</w:t>
      </w:r>
      <w:r>
        <w:rPr>
          <w:rFonts w:ascii="Times New Roman" w:hAnsi="Times New Roman" w:eastAsia="Times New Roman" w:cs="Times New Roman"/>
        </w:rPr>
        <w:t xml:space="preserve"> </w:t>
      </w:r>
      <w:r>
        <w:rPr>
          <w:rFonts w:ascii="Nirmala UI" w:hAnsi="Nirmala UI" w:eastAsia="Nirmala UI" w:cs="Nirmala UI"/>
        </w:rPr>
        <w:t>குறிக்கப்பட்டிருந்த</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பாம்பின்</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பிரான்சிலிருந்து</w:t>
      </w:r>
      <w:r>
        <w:rPr>
          <w:rFonts w:ascii="Times New Roman" w:hAnsi="Times New Roman" w:eastAsia="Times New Roman" w:cs="Times New Roman"/>
        </w:rPr>
        <w:t xml:space="preserve"> </w:t>
      </w:r>
      <w:r>
        <w:rPr>
          <w:rFonts w:ascii="Nirmala UI" w:hAnsi="Nirmala UI" w:eastAsia="Nirmala UI" w:cs="Nirmala UI"/>
        </w:rPr>
        <w:t>ரஷ்யாவுக்கு</w:t>
      </w:r>
      <w:r>
        <w:rPr>
          <w:rFonts w:ascii="Times New Roman" w:hAnsi="Times New Roman" w:eastAsia="Times New Roman" w:cs="Times New Roman"/>
        </w:rPr>
        <w:t xml:space="preserve"> </w:t>
      </w:r>
      <w:r>
        <w:rPr>
          <w:rFonts w:ascii="Nirmala UI" w:hAnsi="Nirmala UI" w:eastAsia="Nirmala UI" w:cs="Nirmala UI"/>
        </w:rPr>
        <w:t>இடம்பெயர்ந்திருந்தது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Mapinduzi ya Ufaransa yaliwakilishwa kisiasa na kinabii na Napoleon Bonaparte, na kwa maana hiyo, Napoleon anawakilisha kiongozi wa kwanza wa taifa lililoanzishwa katika mapinduzi yaliyoletwa na ukana-Mungu wa Misri. Hali ya kujipenda ya Napoleon inarudiwa kwa kufaa na hali ya kujipenda ya Putin.</w:t>
      </w:r>
    </w:p>
    <w:p>
      <w:pPr>
        <w:pStyle w:val="ArticleBody"/>
        <w:jc w:val="left"/>
      </w:pPr>
      <w:r>
        <w:rPr>
          <w:rFonts w:ascii="Times New Roman" w:hAnsi="Times New Roman" w:eastAsia="Times New Roman" w:cs="Times New Roman"/>
        </w:rPr>
        <w:t>Napoleon mar koan hrangin thlalâk leh thu theh darh thiltihtheihna chu hriat thar tak a nei a; chutiang bawkin Putin pawh, KGB officer hlui a nih avângin, a hre chiang hle. KGB hi thu theh darh lamah a thiam bik. Napoleon chuan mipuite hnênah a thuneihna, a chakna, leh hruaitû nihna lemchan a puan chhuahna tûrin mi lem ziahte a hmang. A hun lai hmingthang tak tak zînga mi lem ziah mi ropui takte—Jacques-Louis David, Antoine-Jean Gros, leh Jean-Auguste-Dominique Ingres te bakah mi dangte pawh—hnênah a lem ziah tûr chu a ti ve.</w:t>
      </w:r>
    </w:p>
    <w:p>
      <w:pPr>
        <w:pStyle w:val="ArticleBody"/>
        <w:jc w:val="left"/>
      </w:pPr>
      <w:r>
        <w:rPr>
          <w:rFonts w:ascii="Times New Roman" w:hAnsi="Times New Roman" w:eastAsia="Times New Roman" w:cs="Times New Roman"/>
        </w:rPr>
        <w:t>Ces portraits représentaient Napoléon dans diverses poses et divers cadres, allant des portraits officiels d’État à des scènes plus informelles. Ils servaient non seulement de souvenirs personnels pour Napoléon lui-même, mais aussi d’instruments destinés à diffuser son image et son influence tant à l’intérieur du pays qu’à l’étranger. Poutine a accompli exactement la même œuvre pour lui-même, au moyen d’une multitude d’images de sa personne dans des contextes qui rivalisent avec ceux de n’importe lequel des influenceurs modernes sur Internet.</w:t>
      </w:r>
    </w:p>
    <w:p>
      <w:pPr>
        <w:pStyle w:val="ArticleBody"/>
        <w:jc w:val="left"/>
      </w:pPr>
      <w:r>
        <w:rPr>
          <w:rFonts w:ascii="Times New Roman" w:hAnsi="Times New Roman" w:eastAsia="Times New Roman" w:cs="Times New Roman"/>
        </w:rPr>
        <w:t>Au commencement de la Révolution française, le roi, sa famille et son entourage furent renversés et exécutés. Au commencement de la Révolution russe, le tsar, sa famille et son entourage furent renversés et exécutés. La révolution qui commença en France atteignit son aboutissement en Russie. La Révolution française est le sujet de la prophétie du chapitre onze de l’Apocalypse, et par conséquent, la Révolution française est assujettie aux règles de l’interprétation prophétique. Jésus illustre toujours la fin d’une chose par le commencement d’une chose ; ainsi, la Révolution russe est la fin de la Révolution française.</w:t>
      </w:r>
    </w:p>
    <w:p>
      <w:pPr>
        <w:pStyle w:val="ArticleBody"/>
        <w:jc w:val="left"/>
      </w:pPr>
      <w:r>
        <w:rPr>
          <w:rFonts w:ascii="Times New Roman" w:hAnsi="Times New Roman" w:eastAsia="Times New Roman" w:cs="Times New Roman"/>
        </w:rPr>
        <w:t xml:space="preserve">Vladimir Putin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ერის</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ლიდერს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დამყარდა</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ათეიზმით</w:t>
      </w:r>
      <w:r>
        <w:rPr>
          <w:rFonts w:ascii="Times New Roman" w:hAnsi="Times New Roman" w:eastAsia="Times New Roman" w:cs="Times New Roman"/>
        </w:rPr>
        <w:t xml:space="preserve"> </w:t>
      </w:r>
      <w:r>
        <w:rPr>
          <w:rFonts w:ascii="Sylfaen" w:hAnsi="Sylfaen" w:eastAsia="Sylfaen" w:cs="Sylfaen"/>
        </w:rPr>
        <w:t>განხორციელებული</w:t>
      </w:r>
      <w:r>
        <w:rPr>
          <w:rFonts w:ascii="Times New Roman" w:hAnsi="Times New Roman" w:eastAsia="Times New Roman" w:cs="Times New Roman"/>
        </w:rPr>
        <w:t xml:space="preserve"> </w:t>
      </w:r>
      <w:r>
        <w:rPr>
          <w:rFonts w:ascii="Sylfaen" w:hAnsi="Sylfaen" w:eastAsia="Sylfaen" w:cs="Sylfaen"/>
        </w:rPr>
        <w:t>რევოლუციის</w:t>
      </w:r>
      <w:r>
        <w:rPr>
          <w:rFonts w:ascii="Times New Roman" w:hAnsi="Times New Roman" w:eastAsia="Times New Roman" w:cs="Times New Roman"/>
        </w:rPr>
        <w:t xml:space="preserve"> </w:t>
      </w:r>
      <w:r>
        <w:rPr>
          <w:rFonts w:ascii="Sylfaen" w:hAnsi="Sylfaen" w:eastAsia="Sylfaen" w:cs="Sylfaen"/>
        </w:rPr>
        <w:t>შედეგად</w:t>
      </w:r>
      <w:r>
        <w:rPr>
          <w:rFonts w:ascii="Times New Roman" w:hAnsi="Times New Roman" w:eastAsia="Times New Roman" w:cs="Times New Roman"/>
        </w:rPr>
        <w:t xml:space="preserve">. </w:t>
      </w:r>
      <w:r>
        <w:rPr>
          <w:rFonts w:ascii="Sylfaen" w:hAnsi="Sylfaen" w:eastAsia="Sylfaen" w:cs="Sylfaen"/>
        </w:rPr>
        <w:t>რუსეთის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ლიდერი</w:t>
      </w:r>
      <w:r>
        <w:rPr>
          <w:rFonts w:ascii="Times New Roman" w:hAnsi="Times New Roman" w:eastAsia="Times New Roman" w:cs="Times New Roman"/>
        </w:rPr>
        <w:t xml:space="preserve"> </w:t>
      </w:r>
      <w:r>
        <w:rPr>
          <w:rFonts w:ascii="Sylfaen" w:hAnsi="Sylfaen" w:eastAsia="Sylfaen" w:cs="Sylfaen"/>
        </w:rPr>
        <w:t>ვლადიმირ</w:t>
      </w:r>
      <w:r>
        <w:rPr>
          <w:rFonts w:ascii="Times New Roman" w:hAnsi="Times New Roman" w:eastAsia="Times New Roman" w:cs="Times New Roman"/>
        </w:rPr>
        <w:t xml:space="preserve"> </w:t>
      </w:r>
      <w:r>
        <w:rPr>
          <w:rFonts w:ascii="Sylfaen" w:hAnsi="Sylfaen" w:eastAsia="Sylfaen" w:cs="Sylfaen"/>
        </w:rPr>
        <w:t>ლენინი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სახელი</w:t>
      </w:r>
      <w:r>
        <w:rPr>
          <w:rFonts w:ascii="Times New Roman" w:hAnsi="Times New Roman" w:eastAsia="Times New Roman" w:cs="Times New Roman"/>
        </w:rPr>
        <w:t xml:space="preserve"> „</w:t>
      </w:r>
      <w:r>
        <w:rPr>
          <w:rFonts w:ascii="Sylfaen" w:hAnsi="Sylfaen" w:eastAsia="Sylfaen" w:cs="Sylfaen"/>
        </w:rPr>
        <w:t>ვლადიმირი</w:t>
      </w:r>
      <w:r>
        <w:rPr>
          <w:rFonts w:ascii="Times New Roman" w:hAnsi="Times New Roman" w:eastAsia="Times New Roman" w:cs="Times New Roman"/>
        </w:rPr>
        <w:t xml:space="preserve">“ </w:t>
      </w:r>
      <w:r>
        <w:rPr>
          <w:rFonts w:ascii="Sylfaen" w:hAnsi="Sylfaen" w:eastAsia="Sylfaen" w:cs="Sylfaen"/>
        </w:rPr>
        <w:t>სლავური</w:t>
      </w:r>
      <w:r>
        <w:rPr>
          <w:rFonts w:ascii="Times New Roman" w:hAnsi="Times New Roman" w:eastAsia="Times New Roman" w:cs="Times New Roman"/>
        </w:rPr>
        <w:t xml:space="preserve"> </w:t>
      </w:r>
      <w:r>
        <w:rPr>
          <w:rFonts w:ascii="Sylfaen" w:hAnsi="Sylfaen" w:eastAsia="Sylfaen" w:cs="Sylfaen"/>
        </w:rPr>
        <w:t>წარმოშობისაა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შედგება</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ელემენტისგან</w:t>
      </w:r>
      <w:r>
        <w:rPr>
          <w:rFonts w:ascii="Times New Roman" w:hAnsi="Times New Roman" w:eastAsia="Times New Roman" w:cs="Times New Roman"/>
        </w:rPr>
        <w:t>: „</w:t>
      </w:r>
      <w:r>
        <w:rPr>
          <w:rFonts w:ascii="Sylfaen" w:hAnsi="Sylfaen" w:eastAsia="Sylfaen" w:cs="Sylfaen"/>
        </w:rPr>
        <w:t>ვ</w:t>
      </w:r>
      <w:r>
        <w:rPr>
          <w:rFonts w:ascii="Times New Roman" w:hAnsi="Times New Roman" w:eastAsia="Times New Roman" w:cs="Times New Roman"/>
        </w:rPr>
        <w:t xml:space="preserve">lad“ </w:t>
      </w:r>
      <w:r>
        <w:rPr>
          <w:rFonts w:ascii="Sylfaen" w:hAnsi="Sylfaen" w:eastAsia="Sylfaen" w:cs="Sylfaen"/>
        </w:rPr>
        <w:t>და</w:t>
      </w:r>
      <w:r>
        <w:rPr>
          <w:rFonts w:ascii="Times New Roman" w:hAnsi="Times New Roman" w:eastAsia="Times New Roman" w:cs="Times New Roman"/>
        </w:rPr>
        <w:t xml:space="preserve"> „mir“. „Vlad“ </w:t>
      </w:r>
      <w:r>
        <w:rPr>
          <w:rFonts w:ascii="Sylfaen" w:hAnsi="Sylfaen" w:eastAsia="Sylfaen" w:cs="Sylfaen"/>
        </w:rPr>
        <w:t>მომდინარეობს</w:t>
      </w:r>
      <w:r>
        <w:rPr>
          <w:rFonts w:ascii="Times New Roman" w:hAnsi="Times New Roman" w:eastAsia="Times New Roman" w:cs="Times New Roman"/>
        </w:rPr>
        <w:t xml:space="preserve"> </w:t>
      </w:r>
      <w:r>
        <w:rPr>
          <w:rFonts w:ascii="Sylfaen" w:hAnsi="Sylfaen" w:eastAsia="Sylfaen" w:cs="Sylfaen"/>
        </w:rPr>
        <w:t>სლავური</w:t>
      </w:r>
      <w:r>
        <w:rPr>
          <w:rFonts w:ascii="Times New Roman" w:hAnsi="Times New Roman" w:eastAsia="Times New Roman" w:cs="Times New Roman"/>
        </w:rPr>
        <w:t xml:space="preserve"> </w:t>
      </w:r>
      <w:r>
        <w:rPr>
          <w:rFonts w:ascii="Sylfaen" w:hAnsi="Sylfaen" w:eastAsia="Sylfaen" w:cs="Sylfaen"/>
        </w:rPr>
        <w:t>ფესვიდან</w:t>
      </w:r>
      <w:r>
        <w:rPr>
          <w:rFonts w:ascii="Times New Roman" w:hAnsi="Times New Roman" w:eastAsia="Times New Roman" w:cs="Times New Roman"/>
        </w:rPr>
        <w:t xml:space="preserve"> „vladeti“,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მმართველობას</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ძალაუფლების</w:t>
      </w:r>
      <w:r>
        <w:rPr>
          <w:rFonts w:ascii="Times New Roman" w:hAnsi="Times New Roman" w:eastAsia="Times New Roman" w:cs="Times New Roman"/>
        </w:rPr>
        <w:t xml:space="preserve"> </w:t>
      </w:r>
      <w:r>
        <w:rPr>
          <w:rFonts w:ascii="Sylfaen" w:hAnsi="Sylfaen" w:eastAsia="Sylfaen" w:cs="Sylfaen"/>
        </w:rPr>
        <w:t>ფლობას</w:t>
      </w:r>
      <w:r>
        <w:rPr>
          <w:rFonts w:ascii="Times New Roman" w:hAnsi="Times New Roman" w:eastAsia="Times New Roman" w:cs="Times New Roman"/>
        </w:rPr>
        <w:t xml:space="preserve">. „Mir“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მსოფლიოს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ვლადიმირი</w:t>
      </w:r>
      <w:r>
        <w:rPr>
          <w:rFonts w:ascii="Times New Roman" w:hAnsi="Times New Roman" w:eastAsia="Times New Roman" w:cs="Times New Roman"/>
        </w:rPr>
        <w:t xml:space="preserve"> (</w:t>
      </w:r>
      <w:r>
        <w:rPr>
          <w:rFonts w:ascii="Sylfaen" w:hAnsi="Sylfaen" w:eastAsia="Sylfaen" w:cs="Sylfaen"/>
        </w:rPr>
        <w:t>ლენინი</w:t>
      </w:r>
      <w:r>
        <w:rPr>
          <w:rFonts w:ascii="Times New Roman" w:hAnsi="Times New Roman" w:eastAsia="Times New Roman" w:cs="Times New Roman"/>
        </w:rPr>
        <w:t xml:space="preserve">) </w:t>
      </w:r>
      <w:r>
        <w:rPr>
          <w:rFonts w:ascii="Sylfaen" w:hAnsi="Sylfaen" w:eastAsia="Sylfaen" w:cs="Sylfaen"/>
        </w:rPr>
        <w:t>განასახიერებს</w:t>
      </w:r>
      <w:r>
        <w:rPr>
          <w:rFonts w:ascii="Times New Roman" w:hAnsi="Times New Roman" w:eastAsia="Times New Roman" w:cs="Times New Roman"/>
        </w:rPr>
        <w:t xml:space="preserve"> </w:t>
      </w:r>
      <w:r>
        <w:rPr>
          <w:rFonts w:ascii="Sylfaen" w:hAnsi="Sylfaen" w:eastAsia="Sylfaen" w:cs="Sylfaen"/>
        </w:rPr>
        <w:t>უკანასკნელ</w:t>
      </w:r>
      <w:r>
        <w:rPr>
          <w:rFonts w:ascii="Times New Roman" w:hAnsi="Times New Roman" w:eastAsia="Times New Roman" w:cs="Times New Roman"/>
        </w:rPr>
        <w:t xml:space="preserve"> </w:t>
      </w:r>
      <w:r>
        <w:rPr>
          <w:rFonts w:ascii="Sylfaen" w:hAnsi="Sylfaen" w:eastAsia="Sylfaen" w:cs="Sylfaen"/>
        </w:rPr>
        <w:t>ვლადიმირს</w:t>
      </w:r>
      <w:r>
        <w:rPr>
          <w:rFonts w:ascii="Times New Roman" w:hAnsi="Times New Roman" w:eastAsia="Times New Roman" w:cs="Times New Roman"/>
        </w:rPr>
        <w:t xml:space="preserve"> (</w:t>
      </w:r>
      <w:r>
        <w:rPr>
          <w:rFonts w:ascii="Sylfaen" w:hAnsi="Sylfaen" w:eastAsia="Sylfaen" w:cs="Sylfaen"/>
        </w:rPr>
        <w:t>პუტინს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განასახიერებს</w:t>
      </w:r>
      <w:r>
        <w:rPr>
          <w:rFonts w:ascii="Times New Roman" w:hAnsi="Times New Roman" w:eastAsia="Times New Roman" w:cs="Times New Roman"/>
        </w:rPr>
        <w:t xml:space="preserve"> </w:t>
      </w:r>
      <w:r>
        <w:rPr>
          <w:rFonts w:ascii="Sylfaen" w:hAnsi="Sylfaen" w:eastAsia="Sylfaen" w:cs="Sylfaen"/>
        </w:rPr>
        <w:t>ათეიზმის</w:t>
      </w:r>
      <w:r>
        <w:rPr>
          <w:rFonts w:ascii="Times New Roman" w:hAnsi="Times New Roman" w:eastAsia="Times New Roman" w:cs="Times New Roman"/>
        </w:rPr>
        <w:t xml:space="preserve"> </w:t>
      </w:r>
      <w:r>
        <w:rPr>
          <w:rFonts w:ascii="Sylfaen" w:hAnsi="Sylfaen" w:eastAsia="Sylfaen" w:cs="Sylfaen"/>
        </w:rPr>
        <w:t>რევოლუციის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ლიდერი</w:t>
      </w:r>
      <w:r>
        <w:rPr>
          <w:rFonts w:ascii="Times New Roman" w:hAnsi="Times New Roman" w:eastAsia="Times New Roman" w:cs="Times New Roman"/>
        </w:rPr>
        <w:t xml:space="preserve"> (</w:t>
      </w:r>
      <w:r>
        <w:rPr>
          <w:rFonts w:ascii="Sylfaen" w:hAnsi="Sylfaen" w:eastAsia="Sylfaen" w:cs="Sylfaen"/>
        </w:rPr>
        <w:t>ნაპოლეონი</w:t>
      </w:r>
      <w:r>
        <w:rPr>
          <w:rFonts w:ascii="Times New Roman" w:hAnsi="Times New Roman" w:eastAsia="Times New Roman" w:cs="Times New Roman"/>
        </w:rPr>
        <w:t>).</w:t>
      </w:r>
    </w:p>
    <w:p>
      <w:pPr>
        <w:pStyle w:val="ArticleBody"/>
        <w:jc w:val="left"/>
      </w:pPr>
      <w:r>
        <w:rPr>
          <w:rFonts w:ascii="Nirmala UI" w:hAnsi="Nirmala UI" w:eastAsia="Nirmala UI" w:cs="Nirmala UI"/>
        </w:rPr>
        <w:t>নােপোলিয়নের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জোটের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পরাজয়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১৮১৪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এপ্রিল</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ফঁতেনব্লো</w:t>
      </w:r>
      <w:r>
        <w:rPr>
          <w:rFonts w:ascii="Times New Roman" w:hAnsi="Times New Roman" w:eastAsia="Times New Roman" w:cs="Times New Roman"/>
        </w:rPr>
        <w:t>-</w:t>
      </w:r>
      <w:r>
        <w:rPr>
          <w:rFonts w:ascii="Nirmala UI" w:hAnsi="Nirmala UI" w:eastAsia="Nirmala UI" w:cs="Nirmala UI"/>
        </w:rPr>
        <w:t>সন্ধির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ফ্রান্সের</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ভূমধ্যসাগরের</w:t>
      </w:r>
      <w:r>
        <w:rPr>
          <w:rFonts w:ascii="Times New Roman" w:hAnsi="Times New Roman" w:eastAsia="Times New Roman" w:cs="Times New Roman"/>
        </w:rPr>
        <w:t xml:space="preserve"> </w:t>
      </w:r>
      <w:r>
        <w:rPr>
          <w:rFonts w:ascii="Nirmala UI" w:hAnsi="Nirmala UI" w:eastAsia="Nirmala UI" w:cs="Nirmala UI"/>
        </w:rPr>
        <w:t>এলবা</w:t>
      </w:r>
      <w:r>
        <w:rPr>
          <w:rFonts w:ascii="Times New Roman" w:hAnsi="Times New Roman" w:eastAsia="Times New Roman" w:cs="Times New Roman"/>
        </w:rPr>
        <w:t xml:space="preserve"> </w:t>
      </w:r>
      <w:r>
        <w:rPr>
          <w:rFonts w:ascii="Nirmala UI" w:hAnsi="Nirmala UI" w:eastAsia="Nirmala UI" w:cs="Nirmala UI"/>
        </w:rPr>
        <w:t>দ্বীপে</w:t>
      </w:r>
      <w:r>
        <w:rPr>
          <w:rFonts w:ascii="Times New Roman" w:hAnsi="Times New Roman" w:eastAsia="Times New Roman" w:cs="Times New Roman"/>
        </w:rPr>
        <w:t xml:space="preserve"> </w:t>
      </w:r>
      <w:r>
        <w:rPr>
          <w:rFonts w:ascii="Nirmala UI" w:hAnsi="Nirmala UI" w:eastAsia="Nirmala UI" w:cs="Nirmala UI"/>
        </w:rPr>
        <w:t>নির্বাসিত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দ্বীপটির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সার্বভৌমত্ব</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সম্রাট</w:t>
      </w:r>
      <w:r>
        <w:rPr>
          <w:rFonts w:ascii="Times New Roman" w:hAnsi="Times New Roman" w:eastAsia="Times New Roman" w:cs="Times New Roman"/>
        </w:rPr>
        <w:t xml:space="preserve"> </w:t>
      </w:r>
      <w:r>
        <w:rPr>
          <w:rFonts w:ascii="Nirmala UI" w:hAnsi="Nirmala UI" w:eastAsia="Nirmala UI" w:cs="Nirmala UI"/>
        </w:rPr>
        <w:t>উপাধি</w:t>
      </w:r>
      <w:r>
        <w:rPr>
          <w:rFonts w:ascii="Times New Roman" w:hAnsi="Times New Roman" w:eastAsia="Times New Roman" w:cs="Times New Roman"/>
        </w:rPr>
        <w:t xml:space="preserve"> </w:t>
      </w:r>
      <w:r>
        <w:rPr>
          <w:rFonts w:ascii="Nirmala UI" w:hAnsi="Nirmala UI" w:eastAsia="Nirmala UI" w:cs="Nirmala UI"/>
        </w:rPr>
        <w:t>বহাল</w:t>
      </w:r>
      <w:r>
        <w:rPr>
          <w:rFonts w:ascii="Times New Roman" w:hAnsi="Times New Roman" w:eastAsia="Times New Roman" w:cs="Times New Roman"/>
        </w:rPr>
        <w:t xml:space="preserve"> </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অনুমতিও</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বহুলাংশে</w:t>
      </w:r>
      <w:r>
        <w:rPr>
          <w:rFonts w:ascii="Times New Roman" w:hAnsi="Times New Roman" w:eastAsia="Times New Roman" w:cs="Times New Roman"/>
        </w:rPr>
        <w:t xml:space="preserve"> </w:t>
      </w:r>
      <w:r>
        <w:rPr>
          <w:rFonts w:ascii="Nirmala UI" w:hAnsi="Nirmala UI" w:eastAsia="Nirmala UI" w:cs="Nirmala UI"/>
        </w:rPr>
        <w:t>সীমিত</w:t>
      </w:r>
      <w:r>
        <w:rPr>
          <w:rFonts w:ascii="Times New Roman" w:hAnsi="Times New Roman" w:eastAsia="Times New Roman" w:cs="Times New Roman"/>
        </w:rPr>
        <w:t xml:space="preserve"> </w:t>
      </w:r>
      <w:r>
        <w:rPr>
          <w:rFonts w:ascii="Nirmala UI" w:hAnsi="Nirmala UI" w:eastAsia="Nirmala UI" w:cs="Nirmala UI"/>
        </w:rPr>
        <w:t>ক্ষমতাসহ।</w:t>
      </w:r>
      <w:r>
        <w:rPr>
          <w:rFonts w:ascii="Times New Roman" w:hAnsi="Times New Roman" w:eastAsia="Times New Roman" w:cs="Times New Roman"/>
        </w:rPr>
        <w:t xml:space="preserve"> </w:t>
      </w:r>
      <w:r>
        <w:rPr>
          <w:rFonts w:ascii="Nirmala UI" w:hAnsi="Nirmala UI" w:eastAsia="Nirmala UI" w:cs="Nirmala UI"/>
        </w:rPr>
        <w:t>নােপোলিয়ন</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এলবায়</w:t>
      </w:r>
      <w:r>
        <w:rPr>
          <w:rFonts w:ascii="Times New Roman" w:hAnsi="Times New Roman" w:eastAsia="Times New Roman" w:cs="Times New Roman"/>
        </w:rPr>
        <w:t xml:space="preserve"> </w:t>
      </w:r>
      <w:r>
        <w:rPr>
          <w:rFonts w:ascii="Nirmala UI" w:hAnsi="Nirmala UI" w:eastAsia="Nirmala UI" w:cs="Nirmala UI"/>
        </w:rPr>
        <w:t>কাটান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ফ্রান্সে</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ক্ষমতায়</w:t>
      </w:r>
      <w:r>
        <w:rPr>
          <w:rFonts w:ascii="Times New Roman" w:hAnsi="Times New Roman" w:eastAsia="Times New Roman" w:cs="Times New Roman"/>
        </w:rPr>
        <w:t xml:space="preserve"> </w:t>
      </w:r>
      <w:r>
        <w:rPr>
          <w:rFonts w:ascii="Nirmala UI" w:hAnsi="Nirmala UI" w:eastAsia="Nirmala UI" w:cs="Nirmala UI"/>
        </w:rPr>
        <w:t>ফেরার</w:t>
      </w:r>
      <w:r>
        <w:rPr>
          <w:rFonts w:ascii="Times New Roman" w:hAnsi="Times New Roman" w:eastAsia="Times New Roman" w:cs="Times New Roman"/>
        </w:rPr>
        <w:t xml:space="preserve"> </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এলবা</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পলায়ন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হানড্রেড</w:t>
      </w:r>
      <w:r>
        <w:rPr>
          <w:rFonts w:ascii="Times New Roman" w:hAnsi="Times New Roman" w:eastAsia="Times New Roman" w:cs="Times New Roman"/>
        </w:rPr>
        <w:t xml:space="preserve"> </w:t>
      </w:r>
      <w:r>
        <w:rPr>
          <w:rFonts w:ascii="Nirmala UI" w:hAnsi="Nirmala UI" w:eastAsia="Nirmala UI" w:cs="Nirmala UI"/>
        </w:rPr>
        <w:t>ডেজ</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ফ্রান্সে</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সংক্ষিপ্ত</w:t>
      </w:r>
      <w:r>
        <w:rPr>
          <w:rFonts w:ascii="Times New Roman" w:hAnsi="Times New Roman" w:eastAsia="Times New Roman" w:cs="Times New Roman"/>
        </w:rPr>
        <w:t xml:space="preserve"> </w:t>
      </w:r>
      <w:r>
        <w:rPr>
          <w:rFonts w:ascii="Nirmala UI" w:hAnsi="Nirmala UI" w:eastAsia="Nirmala UI" w:cs="Nirmala UI"/>
        </w:rPr>
        <w:t>পুনরাগমনের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১৮১৫</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ওয়াটারলুর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নােপোলিয়ন</w:t>
      </w:r>
      <w:r>
        <w:rPr>
          <w:rFonts w:ascii="Times New Roman" w:hAnsi="Times New Roman" w:eastAsia="Times New Roman" w:cs="Times New Roman"/>
        </w:rPr>
        <w:t xml:space="preserve"> </w:t>
      </w:r>
      <w:r>
        <w:rPr>
          <w:rFonts w:ascii="Nirmala UI" w:hAnsi="Nirmala UI" w:eastAsia="Nirmala UI" w:cs="Nirmala UI"/>
        </w:rPr>
        <w:t>চূড়ান্তভাবে</w:t>
      </w:r>
      <w:r>
        <w:rPr>
          <w:rFonts w:ascii="Times New Roman" w:hAnsi="Times New Roman" w:eastAsia="Times New Roman" w:cs="Times New Roman"/>
        </w:rPr>
        <w:t xml:space="preserve"> </w:t>
      </w:r>
      <w:r>
        <w:rPr>
          <w:rFonts w:ascii="Nirmala UI" w:hAnsi="Nirmala UI" w:eastAsia="Nirmala UI" w:cs="Nirmala UI"/>
        </w:rPr>
        <w:t>পরাজিত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পরাজয়ের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মিত্রশক্তিগণ</w:t>
      </w:r>
      <w:r>
        <w:rPr>
          <w:rFonts w:ascii="Times New Roman" w:hAnsi="Times New Roman" w:eastAsia="Times New Roman" w:cs="Times New Roman"/>
        </w:rPr>
        <w:t xml:space="preserve">, </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গ্রেট</w:t>
      </w:r>
      <w:r>
        <w:rPr>
          <w:rFonts w:ascii="Times New Roman" w:hAnsi="Times New Roman" w:eastAsia="Times New Roman" w:cs="Times New Roman"/>
        </w:rPr>
        <w:t xml:space="preserve"> </w:t>
      </w:r>
      <w:r>
        <w:rPr>
          <w:rFonts w:ascii="Nirmala UI" w:hAnsi="Nirmala UI" w:eastAsia="Nirmala UI" w:cs="Nirmala UI"/>
        </w:rPr>
        <w:t>ব্রিটেন</w:t>
      </w:r>
      <w:r>
        <w:rPr>
          <w:rFonts w:ascii="Times New Roman" w:hAnsi="Times New Roman" w:eastAsia="Times New Roman" w:cs="Times New Roman"/>
        </w:rPr>
        <w:t xml:space="preserve">, </w:t>
      </w:r>
      <w:r>
        <w:rPr>
          <w:rFonts w:ascii="Nirmala UI" w:hAnsi="Nirmala UI" w:eastAsia="Nirmala UI" w:cs="Nirmala UI"/>
        </w:rPr>
        <w:t>দৃঢ়প্রতিজ্ঞ</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নােপোলিয়নকে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প্রকার</w:t>
      </w:r>
      <w:r>
        <w:rPr>
          <w:rFonts w:ascii="Times New Roman" w:hAnsi="Times New Roman" w:eastAsia="Times New Roman" w:cs="Times New Roman"/>
        </w:rPr>
        <w:t xml:space="preserve"> </w:t>
      </w:r>
      <w:r>
        <w:rPr>
          <w:rFonts w:ascii="Nirmala UI" w:hAnsi="Nirmala UI" w:eastAsia="Nirmala UI" w:cs="Nirmala UI"/>
        </w:rPr>
        <w:t>বিঘ্ন</w:t>
      </w:r>
      <w:r>
        <w:rPr>
          <w:rFonts w:ascii="Times New Roman" w:hAnsi="Times New Roman" w:eastAsia="Times New Roman" w:cs="Times New Roman"/>
        </w:rPr>
        <w:t xml:space="preserve"> </w:t>
      </w:r>
      <w:r>
        <w:rPr>
          <w:rFonts w:ascii="Nirmala UI" w:hAnsi="Nirmala UI" w:eastAsia="Nirmala UI" w:cs="Nirmala UI"/>
        </w:rPr>
        <w:t>সৃষ্টির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ফলস্বরূপ</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নির্বাসিত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এবার</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আটলান্টিক</w:t>
      </w:r>
      <w:r>
        <w:rPr>
          <w:rFonts w:ascii="Times New Roman" w:hAnsi="Times New Roman" w:eastAsia="Times New Roman" w:cs="Times New Roman"/>
        </w:rPr>
        <w:t xml:space="preserve"> </w:t>
      </w:r>
      <w:r>
        <w:rPr>
          <w:rFonts w:ascii="Nirmala UI" w:hAnsi="Nirmala UI" w:eastAsia="Nirmala UI" w:cs="Nirmala UI"/>
        </w:rPr>
        <w:t>মহাসাগরের</w:t>
      </w:r>
      <w:r>
        <w:rPr>
          <w:rFonts w:ascii="Times New Roman" w:hAnsi="Times New Roman" w:eastAsia="Times New Roman" w:cs="Times New Roman"/>
        </w:rPr>
        <w:t xml:space="preserve"> </w:t>
      </w:r>
      <w:r>
        <w:rPr>
          <w:rFonts w:ascii="Nirmala UI" w:hAnsi="Nirmala UI" w:eastAsia="Nirmala UI" w:cs="Nirmala UI"/>
        </w:rPr>
        <w:t>দূরবর্তী</w:t>
      </w:r>
      <w:r>
        <w:rPr>
          <w:rFonts w:ascii="Times New Roman" w:hAnsi="Times New Roman" w:eastAsia="Times New Roman" w:cs="Times New Roman"/>
        </w:rPr>
        <w:t xml:space="preserve"> </w:t>
      </w:r>
      <w:r>
        <w:rPr>
          <w:rFonts w:ascii="Nirmala UI" w:hAnsi="Nirmala UI" w:eastAsia="Nirmala UI" w:cs="Nirmala UI"/>
        </w:rPr>
        <w:t>সেন্ট</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দ্বীপে।</w:t>
      </w:r>
      <w:r>
        <w:rPr>
          <w:rFonts w:ascii="Times New Roman" w:hAnsi="Times New Roman" w:eastAsia="Times New Roman" w:cs="Times New Roman"/>
        </w:rPr>
        <w:t xml:space="preserve"> </w:t>
      </w:r>
      <w:r>
        <w:rPr>
          <w:rFonts w:ascii="Nirmala UI" w:hAnsi="Nirmala UI" w:eastAsia="Nirmala UI" w:cs="Nirmala UI"/>
        </w:rPr>
        <w:t>নােপোলিয়ন</w:t>
      </w:r>
      <w:r>
        <w:rPr>
          <w:rFonts w:ascii="Times New Roman" w:hAnsi="Times New Roman" w:eastAsia="Times New Roman" w:cs="Times New Roman"/>
        </w:rPr>
        <w:t xml:space="preserve"> </w:t>
      </w:r>
      <w:r>
        <w:rPr>
          <w:rFonts w:ascii="Nirmala UI" w:hAnsi="Nirmala UI" w:eastAsia="Nirmala UI" w:cs="Nirmala UI"/>
        </w:rPr>
        <w:t>১৮২১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জীবনের</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সেন্ট</w:t>
      </w:r>
      <w:r>
        <w:rPr>
          <w:rFonts w:ascii="Times New Roman" w:hAnsi="Times New Roman" w:eastAsia="Times New Roman" w:cs="Times New Roman"/>
        </w:rPr>
        <w:t xml:space="preserve"> </w:t>
      </w:r>
      <w:r>
        <w:rPr>
          <w:rFonts w:ascii="Nirmala UI" w:hAnsi="Nirmala UI" w:eastAsia="Nirmala UI" w:cs="Nirmala UI"/>
        </w:rPr>
        <w:t>হেলেনায়</w:t>
      </w:r>
      <w:r>
        <w:rPr>
          <w:rFonts w:ascii="Times New Roman" w:hAnsi="Times New Roman" w:eastAsia="Times New Roman" w:cs="Times New Roman"/>
        </w:rPr>
        <w:t xml:space="preserve"> </w:t>
      </w:r>
      <w:r>
        <w:rPr>
          <w:rFonts w:ascii="Nirmala UI" w:hAnsi="Nirmala UI" w:eastAsia="Nirmala UI" w:cs="Nirmala UI"/>
        </w:rPr>
        <w:t>নির্বাসনে</w:t>
      </w:r>
      <w:r>
        <w:rPr>
          <w:rFonts w:ascii="Times New Roman" w:hAnsi="Times New Roman" w:eastAsia="Times New Roman" w:cs="Times New Roman"/>
        </w:rPr>
        <w:t xml:space="preserve"> </w:t>
      </w:r>
      <w:r>
        <w:rPr>
          <w:rFonts w:ascii="Nirmala UI" w:hAnsi="Nirmala UI" w:eastAsia="Nirmala UI" w:cs="Nirmala UI"/>
        </w:rPr>
        <w:t>অতিবাহিত</w:t>
      </w:r>
      <w:r>
        <w:rPr>
          <w:rFonts w:ascii="Times New Roman" w:hAnsi="Times New Roman" w:eastAsia="Times New Roman" w:cs="Times New Roman"/>
        </w:rPr>
        <w:t xml:space="preserve"> </w:t>
      </w:r>
      <w:r>
        <w:rPr>
          <w:rFonts w:ascii="Nirmala UI" w:hAnsi="Nirmala UI" w:eastAsia="Nirmala UI" w:cs="Nirmala UI"/>
        </w:rPr>
        <w:t>করেন।</w:t>
      </w:r>
    </w:p>
    <w:p>
      <w:pPr>
        <w:pStyle w:val="ArticleBody"/>
        <w:jc w:val="left"/>
      </w:pPr>
      <w:r>
        <w:rPr>
          <w:rFonts w:ascii="Times New Roman" w:hAnsi="Times New Roman" w:eastAsia="Times New Roman" w:cs="Times New Roman"/>
        </w:rPr>
        <w:t>پوتین نمایندهٔ گارد کهنه‌کار کا.گ.ب است. کا.گ.ب از سال ۱۹۵۴ تا زمان انحلال اتحاد جماهیر شوروی در ۱۹۹۱، اصلی‌ترین سازمان امنیتی و اطلاعاتی آن کشور بود. این سازمان مسئول امنیت داخلی، ضدجاسوسی، و گردآوری اطلاعات، هم در داخل و هم در عرصهٔ بین‌المللی، بود. کا.گ.ب به سبب شبکهٔ گستردهٔ جاسوسان، عملیات مراقبتی، و نقشش در حفظ تسلط رژیم کمونیستی بر جمعیت، شناخته می‌شد. ولادیمیر پوتین عضو کا.گ.ب (کمیتهٔ امنیت دولتی)، اصلی‌ترین سازمان امنیتی و اطلاعاتی اتحاد جماهیر شوروی، بود.</w:t>
      </w:r>
    </w:p>
    <w:p>
      <w:pPr>
        <w:pStyle w:val="ArticleBody"/>
        <w:jc w:val="left"/>
      </w:pPr>
      <w:r>
        <w:rPr>
          <w:rFonts w:ascii="Times New Roman" w:hAnsi="Times New Roman" w:eastAsia="Times New Roman" w:cs="Times New Roman"/>
        </w:rPr>
        <w:t>Путин вступил в КГБ в 1975 году после окончания Ленинградского государственного университета. Путин служил в КГБ до распада Советского Союза в 1991 году, после чего вошёл в политику и в конечном итоге стал Президентом России в 2000 году. Его прошлое в КГБ оказало значительное влияние на его подход к государственному управлению и внешней политике. Первое изгнание Наполеона на остров Эльба представляет историю периода с 1991 года до 2000 года, когда философия КГБ возвратилась. Когда Путин в конце концов будет побеждён, как это представлено в стихах с тринадцатого по пятнадцатый, это второе поражение (первым было 1989 год) прообразно изображается Ватерлоо и вторым изгнанием Наполеона, где он умер.</w:t>
      </w:r>
    </w:p>
    <w:p>
      <w:pPr>
        <w:pStyle w:val="ArticleBody"/>
        <w:jc w:val="left"/>
      </w:pPr>
      <w:r>
        <w:rPr>
          <w:rFonts w:ascii="Times New Roman" w:hAnsi="Times New Roman" w:eastAsia="Times New Roman" w:cs="Times New Roman"/>
        </w:rPr>
        <w:t>نابليون وجّه إلى البابوية الجرحَ المميت في عامي 1798 و1799. وفي سنة 1799 انتهت الثورة الفرنسية في فرنسا، لكنها بحلول عام 1917 كانت قد بلغت روسيا في الثورة البلشفية. وفي عام 1917 وقعت معجزة فاطيما في البرتغال، وأُعطي الأطفال الثلاثة الذين زُعم أنهم كانوا على تواصل مع مريم ويوسف ثلاثَ رسائل سرية. وكانت الرسائل الثلاث سرية بمعنى أنه لم يكن ينبغي أن يقرأها إلا البابا، ملك الشمال. وقد وجّهت تلك الرسائل البابا إلى الدعوة إلى اجتماع خاص مع قادة الكنيسة الكاثوليكية، وإقامة مراسم خاصة لتكريس روسيا، التي كانت قد أصبحت في العام السابق مباشرة روسيا الشيوعية، للعذراء مريم.</w:t>
      </w:r>
    </w:p>
    <w:p>
      <w:pPr>
        <w:pStyle w:val="ArticleBody"/>
        <w:jc w:val="left"/>
      </w:pPr>
      <w:r>
        <w:rPr>
          <w:rFonts w:ascii="Times New Roman" w:hAnsi="Times New Roman" w:eastAsia="Times New Roman" w:cs="Times New Roman"/>
        </w:rPr>
        <w:t>The messages contained a warning that if the pope refused to follow through on the command to dedicate Russia to Mary, the world would suffer another world war (the first world war was to end the month after the miracle). The messages of Fatima became a structure for conservative Catholic prophetic interpretation. It identified a struggle within the Catholic church between conservative Catholicism, represented by pope John Paul II and the first Vatican council, and Liberal Catholicism represented by the current “woke-pope” and the second Vatican council.</w:t>
      </w:r>
    </w:p>
    <w:p>
      <w:pPr>
        <w:pStyle w:val="ArticleBody"/>
        <w:jc w:val="left"/>
      </w:pPr>
      <w:r>
        <w:rPr>
          <w:rFonts w:ascii="Times New Roman" w:hAnsi="Times New Roman" w:eastAsia="Times New Roman" w:cs="Times New Roman"/>
        </w:rPr>
        <w:t>Wɔ Fatima nkrasɛm ahorow mu no, “papa pa” no ne “papa fitaa” no, na “papa bɔne” no nso ne “papa tuntum” no. Papa pa no, Papa John Paul II, ne papa a ɔkora amanneɛ so, a ɔde Fatima Ɔbabaa no sii n’anim sɛ n’akwankyerɛ abosom, na papa bɔne no ne papa a ɔdi woke akyi, a ɔsan nso po nkrasɛm biara a efi nea wɔfrɛ no Ɔbabaa Maria hɔ. Sɛ wokɔsra asɔredan kronkron a ɛwɔ Fatima, Portugal no a, bere a worehyɛn beaeɛ hɔ no, wɔde apapa akɛse abien ahyɛ ɔpon no nkyɛn, papa tuntum bi wɔ ɔfa baako na papa fitaa bi wɔ ɔfa foforo so; eyi nti, ɛgyina hɔ ma ɔko a ɛwɔ mu a wɔakyerɛ wɔ Fatima nkɔmhyɛ ahorow no mu no.</w:t>
      </w:r>
    </w:p>
    <w:p>
      <w:pPr>
        <w:pStyle w:val="ArticleBody"/>
        <w:jc w:val="left"/>
      </w:pPr>
      <w:r>
        <w:rPr>
          <w:rFonts w:ascii="Times New Roman" w:hAnsi="Times New Roman" w:eastAsia="Times New Roman" w:cs="Times New Roman"/>
        </w:rPr>
        <w:t>Nag yama no maipakaammo iti tiga a nalimed a mensahe ti Fatima ket ti panangipabigbigna iti gubat ti Katolisismo (ti ari ti amianan), ken ti ateismo (ti ari ti abagatan). No saan a maamiris a ti gubat ti Katolisismo ken ti ateistiko a Rusia ket maysa a suheto ti sataniko a padto, a mangiturong iti dakkel a porsiento ti Katolisismo, narigat, no saan a nakairurumen, a maawatan ti suporta a naited ti simbaan a Katoliko iti Nazi a Alemania idi Maikadua a Gubat ti Lubong.</w:t>
      </w:r>
    </w:p>
    <w:p>
      <w:pPr>
        <w:pStyle w:val="ArticleBody"/>
        <w:jc w:val="left"/>
      </w:pPr>
      <w:r>
        <w:rPr>
          <w:rFonts w:ascii="Times New Roman" w:hAnsi="Times New Roman" w:eastAsia="Times New Roman" w:cs="Times New Roman"/>
        </w:rPr>
        <w:t>La batalla de Leningrado, que duró desde el 8 de septiembre de 1941 hasta el 27 de enero de 1944 durante la Segunda Guerra Mundial, fue uno de los asedios más prolongados y más brutales de la historia. La batalla de Stalingrado, que tuvo lugar desde el 23 de agosto de 1942 hasta el 2 de febrero de 1943, suele considerarse la batalla más sangrienta y más trascendental de la Segunda Guerra Mundial. Produjo inmensas bajas en ambos bandos, con estimaciones de más de 2 millones de bajas totales, incluidos muertos, heridos y soldados capturados. La batalla de Stalingrado también marcó un punto de inflexión en la guerra, pues dio lugar a una victoria soviética decisiva sobre el ejército alemán y condujo a la derrota final de la Alemania nazi.</w:t>
      </w:r>
    </w:p>
    <w:p>
      <w:pPr>
        <w:pStyle w:val="ArticleBody"/>
        <w:jc w:val="left"/>
      </w:pPr>
      <w:r>
        <w:rPr>
          <w:rFonts w:ascii="Times New Roman" w:hAnsi="Times New Roman" w:eastAsia="Times New Roman" w:cs="Times New Roman"/>
        </w:rPr>
        <w:t>Bila tanpa menyadari bahwa peperangan Jerman Nazi melawan Rusia, khususnya dalam dua pertempuran yang baru saja disebutkan itu, sukar untuk memahami peranan Jerman sebagai sekutu rahasia Gereja Katolik. Tanpa pemahaman akan premis-premis suatu perang rohani antara Katolikisme—yang digerakkan oleh nubuat setanis Maria dari Fatima—melawan ateisme Rusia, dan sesudah itu Uni Soviet yang Komunis, logika di balik tindakan Katolikisme yang secara rahasia menyembunyikan lalu mengangkut para penjahat perang Nazi ke seluruh penjuru dunia setelah Perang Dunia Kedua akan luput dipahami. Kaum Nazi adalah pasukan proksi Katolikisme dalam pergumulannya melawan Rusia.</w:t>
      </w:r>
    </w:p>
    <w:p>
      <w:pPr>
        <w:pStyle w:val="ArticleBody"/>
        <w:jc w:val="left"/>
      </w:pPr>
      <w:r>
        <w:rPr>
          <w:rFonts w:ascii="Times New Roman" w:hAnsi="Times New Roman" w:eastAsia="Times New Roman" w:cs="Times New Roman"/>
        </w:rPr>
        <w:t>C’est dans cette logique prophétique que Poutine, le chef de la Russie athée, est engagé dans une guerre en Ukraine, dont les dirigeants sont ouvertement connus pour être des nazis. Les troupes au sol de la guerre de Fatima contre l’athéisme, depuis la Seconde Guerre mondiale et par la suite, sont le fascisme et le nazisme. Bien entendu, même si cette réalité concernant les dirigeants du gouvernement ukrainien est solidement étayée par la documentation, la manifestation moderne du ministère du Reich hitlérien à l’Éducation du peuple et à la Propagande (les médias dominants) a dissimulé ces faits autant qu’elle l’a pu.</w:t>
      </w:r>
    </w:p>
    <w:p>
      <w:pPr>
        <w:pStyle w:val="ArticleBody"/>
        <w:jc w:val="left"/>
      </w:pPr>
      <w:r>
        <w:rPr>
          <w:rFonts w:ascii="Times New Roman" w:hAnsi="Times New Roman" w:eastAsia="Times New Roman" w:cs="Times New Roman"/>
        </w:rPr>
        <w:t>Названието „Украйна“ произлиза от славянската дума „украина“, която означава „гранична земя“ или „краят“. Исторически този термин се е отнасял до пограничните области на Киевска Рус — средновековната държава, предхождаща съвременна Украйна, — разположена на кръстопътя между Източна Европа и Евразия. През цялата история тя е служила като място на среща между различни култури, цивилизации и империи, включително Византийската империя, Османската империя, Руската империя и други. Нейното стратегическо положение я е превърнало в граничен регион, преживял значителни културни, политически и военни взаимодействия. През средновековния период Украйна е била граничната област на Киевска Рус, която е била могъща държава, обхващаща части от днешна Украйна, Русия и Беларус. С разширяването и свиването на Киевска Рус с течение на времето нейните граници често са се променяли, а Украйна е оставала в периферията на държавата.</w:t>
      </w:r>
    </w:p>
    <w:p>
      <w:pPr>
        <w:pStyle w:val="ArticleBody"/>
        <w:jc w:val="left"/>
      </w:pPr>
      <w:r>
        <w:rPr>
          <w:rFonts w:ascii="Leelawadee UI" w:hAnsi="Leelawadee UI" w:eastAsia="Leelawadee UI" w:cs="Leelawadee UI"/>
        </w:rPr>
        <w:t>หลังจากการล่มสลายของสหภาพโซเวียตในปี</w:t>
      </w:r>
      <w:r>
        <w:rPr>
          <w:rFonts w:ascii="Times New Roman" w:hAnsi="Times New Roman" w:eastAsia="Times New Roman" w:cs="Times New Roman"/>
        </w:rPr>
        <w:t xml:space="preserve"> 1989 </w:t>
      </w:r>
      <w:r>
        <w:rPr>
          <w:rFonts w:ascii="Leelawadee UI" w:hAnsi="Leelawadee UI" w:eastAsia="Leelawadee UI" w:cs="Leelawadee UI"/>
        </w:rPr>
        <w:t>ดังที่เป็นภาพแทนไว้ในข้อสิบ</w:t>
      </w:r>
      <w:r>
        <w:rPr>
          <w:rFonts w:ascii="Times New Roman" w:hAnsi="Times New Roman" w:eastAsia="Times New Roman" w:cs="Times New Roman"/>
        </w:rPr>
        <w:t xml:space="preserve"> </w:t>
      </w:r>
      <w:r>
        <w:rPr>
          <w:rFonts w:ascii="Leelawadee UI" w:hAnsi="Leelawadee UI" w:eastAsia="Leelawadee UI" w:cs="Leelawadee UI"/>
        </w:rPr>
        <w:t>ข้อสิบเอ็ดและข้อสิบสองได้ระบุถึงสงครามหนึ่งซึ่งกษัตริย์แห่งทิศใต้โต้ตอบและมีชัยเหนือกษัตริย์แห่งทิศเหนือ</w:t>
      </w:r>
      <w:r>
        <w:rPr>
          <w:rFonts w:ascii="Times New Roman" w:hAnsi="Times New Roman" w:eastAsia="Times New Roman" w:cs="Times New Roman"/>
        </w:rPr>
        <w:t xml:space="preserve"> </w:t>
      </w:r>
      <w:r>
        <w:rPr>
          <w:rFonts w:ascii="Leelawadee UI" w:hAnsi="Leelawadee UI" w:eastAsia="Leelawadee UI" w:cs="Leelawadee UI"/>
        </w:rPr>
        <w:t>สงครามนั้นได้ถูกสู้รบกันที่ราฟีอา</w:t>
      </w:r>
      <w:r>
        <w:rPr>
          <w:rFonts w:ascii="Times New Roman" w:hAnsi="Times New Roman" w:eastAsia="Times New Roman" w:cs="Times New Roman"/>
        </w:rPr>
        <w:t xml:space="preserve"> </w:t>
      </w:r>
      <w:r>
        <w:rPr>
          <w:rFonts w:ascii="Leelawadee UI" w:hAnsi="Leelawadee UI" w:eastAsia="Leelawadee UI" w:cs="Leelawadee UI"/>
        </w:rPr>
        <w:t>ซึ่งเป็นเส้นเขตแดนระหว่างอาณาเขตของกษัตริย์แห่งทิศใต้กับกษัตริย์แห่งทิศเหนือ</w:t>
      </w:r>
    </w:p>
    <w:p>
      <w:pPr>
        <w:pStyle w:val="ArticleBody"/>
        <w:jc w:val="left"/>
      </w:pPr>
      <w:r>
        <w:rPr>
          <w:rFonts w:ascii="Times New Roman" w:hAnsi="Times New Roman" w:eastAsia="Times New Roman" w:cs="Times New Roman"/>
        </w:rPr>
        <w:t>Ladnáh na Raphia, zhë vo 217 BC, sew na imä van de stat nä bi de ladnáh plenäret. Raphia äre na stat in de kustregiön van dat olde Palestina, nä de grens bitwisk de Ptolemäische Rike van Ägipten e de Seleucidische Imperium. To de tit van de ladnáh äre de grens bitwisk de Ptolemäische Rike van Ägipten, regiered fa König Ptolemy IV Philopator, e de Seleucidische Imperium, regiered fa König Antiochus III, in de umgëvung van Raphia. De ladnáh äre fochten nä dis grensregiön, hu beidä sidän trachteden de herrskaft üv strategische teritorien in de Levante to befästigen.</w:t>
      </w:r>
    </w:p>
    <w:p>
      <w:pPr>
        <w:pStyle w:val="ArticleBody"/>
        <w:jc w:val="left"/>
      </w:pPr>
      <w:r>
        <w:rPr>
          <w:rFonts w:ascii="Times New Roman" w:hAnsi="Times New Roman" w:eastAsia="Times New Roman" w:cs="Times New Roman"/>
        </w:rPr>
        <w:t>Lali mji wa kale wa Raphia uko karibu na mji wa kisasa wa Rafah. Rafah ni mji ulioko kusini mwa Ukanda wa Gaza, ambao ni sehemu ya maeneo ya Wapalestina. Baada ya ushindi wa Ptolemy huko Raphia mnamo 217 KK, alianza mateso dhidi ya Wayahudi huko Yerusalemu, na pia huko Misri. Ushindi huo ulikuwa wa muda mfupi, na katika mafungu matatu yanayofuata, kwa namna ya kusema, alikumbana na anguko lake kuu. Katika aya ya kumi na tatu, mfalme wa kaskazini aliyekuwa ameshindwa hapo awali anarudi, na kufikia aya ya kumi na tano anamshinda kabisa mfalme wa kusini.</w:t>
      </w:r>
    </w:p>
    <w:p>
      <w:pPr>
        <w:pStyle w:val="ArticleBody"/>
        <w:jc w:val="left"/>
      </w:pPr>
      <w:r>
        <w:rPr>
          <w:rFonts w:ascii="Times New Roman" w:hAnsi="Times New Roman" w:eastAsia="Times New Roman" w:cs="Times New Roman"/>
        </w:rPr>
        <w:t>La victoire de Poutine en Ukraine sera utilisée par Poutine, ancien officier du KGB spécialisé dans la propagande, très probablement pour mettre au jour les racines nazies de la direction ukrainienne, et aussi pour démasquer ceux, dans le monde occidental, qui ont soutenu le régime par cupidité économique, et sans aucun doute également pour révéler les sites noirs clandestins et les laboratoires biologiques employés par les mondialistes, lesquels ont été financés par les contribuables des États-Unis.</w:t>
      </w:r>
    </w:p>
    <w:p>
      <w:pPr>
        <w:pStyle w:val="ArticleBody"/>
        <w:jc w:val="left"/>
      </w:pPr>
      <w:r>
        <w:rPr>
          <w:rFonts w:ascii="MS Gothic" w:hAnsi="MS Gothic" w:eastAsia="MS Gothic" w:cs="MS Gothic"/>
        </w:rPr>
        <w:t>その</w:t>
      </w:r>
      <w:r>
        <w:rPr>
          <w:rFonts w:ascii="Microsoft YaHei" w:hAnsi="Microsoft YaHei" w:eastAsia="Microsoft YaHei" w:cs="Microsoft YaHei"/>
        </w:rPr>
        <w:t>啓示</w:t>
      </w:r>
      <w:r>
        <w:rPr>
          <w:rFonts w:ascii="MS Gothic" w:hAnsi="MS Gothic" w:eastAsia="MS Gothic" w:cs="MS Gothic"/>
        </w:rPr>
        <w:t>は</w:t>
      </w:r>
      <w:r>
        <w:rPr>
          <w:rFonts w:ascii="Microsoft YaHei" w:hAnsi="Microsoft YaHei" w:eastAsia="Microsoft YaHei" w:cs="Microsoft YaHei"/>
        </w:rPr>
        <w:t>、世界</w:t>
      </w:r>
      <w:r>
        <w:rPr>
          <w:rFonts w:ascii="MS Gothic" w:hAnsi="MS Gothic" w:eastAsia="MS Gothic" w:cs="MS Gothic"/>
        </w:rPr>
        <w:t>のグローバリストたちの</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論調、</w:t>
      </w:r>
      <w:r>
        <w:rPr>
          <w:rFonts w:ascii="MS Gothic" w:hAnsi="MS Gothic" w:eastAsia="MS Gothic" w:cs="MS Gothic"/>
        </w:rPr>
        <w:t>また</w:t>
      </w:r>
      <w:r>
        <w:rPr>
          <w:rFonts w:ascii="Microsoft YaHei" w:hAnsi="Microsoft YaHei" w:eastAsia="Microsoft YaHei" w:cs="Microsoft YaHei"/>
        </w:rPr>
        <w:t>合衆国</w:t>
      </w:r>
      <w:r>
        <w:rPr>
          <w:rFonts w:ascii="MS Gothic" w:hAnsi="MS Gothic" w:eastAsia="MS Gothic" w:cs="MS Gothic"/>
        </w:rPr>
        <w:t>における</w:t>
      </w:r>
      <w:r>
        <w:rPr>
          <w:rFonts w:ascii="Microsoft YaHei" w:hAnsi="Microsoft YaHei" w:eastAsia="Microsoft YaHei" w:cs="Microsoft YaHei"/>
        </w:rPr>
        <w:t>民主党</w:t>
      </w:r>
      <w:r>
        <w:rPr>
          <w:rFonts w:ascii="MS Gothic" w:hAnsi="MS Gothic" w:eastAsia="MS Gothic" w:cs="MS Gothic"/>
        </w:rPr>
        <w:t>の</w:t>
      </w:r>
      <w:r>
        <w:rPr>
          <w:rFonts w:ascii="Microsoft YaHei" w:hAnsi="Microsoft YaHei" w:eastAsia="Microsoft YaHei" w:cs="Microsoft YaHei"/>
        </w:rPr>
        <w:t>代弁者</w:t>
      </w:r>
      <w:r>
        <w:rPr>
          <w:rFonts w:ascii="MS Gothic" w:hAnsi="MS Gothic" w:eastAsia="MS Gothic" w:cs="MS Gothic"/>
        </w:rPr>
        <w:t>たちの</w:t>
      </w:r>
      <w:r>
        <w:rPr>
          <w:rFonts w:ascii="Microsoft YaHei" w:hAnsi="Microsoft YaHei" w:eastAsia="Microsoft YaHei" w:cs="Microsoft YaHei"/>
        </w:rPr>
        <w:t>論調</w:t>
      </w:r>
      <w:r>
        <w:rPr>
          <w:rFonts w:ascii="MS Gothic" w:hAnsi="MS Gothic" w:eastAsia="MS Gothic" w:cs="MS Gothic"/>
        </w:rPr>
        <w:t>をも</w:t>
      </w:r>
      <w:r>
        <w:rPr>
          <w:rFonts w:ascii="Microsoft YaHei" w:hAnsi="Microsoft YaHei" w:eastAsia="Microsoft YaHei" w:cs="Microsoft YaHei"/>
        </w:rPr>
        <w:t>打</w:t>
      </w:r>
      <w:r>
        <w:rPr>
          <w:rFonts w:ascii="MS Gothic" w:hAnsi="MS Gothic" w:eastAsia="MS Gothic" w:cs="MS Gothic"/>
        </w:rPr>
        <w:t>ち</w:t>
      </w:r>
      <w:r>
        <w:rPr>
          <w:rFonts w:ascii="Microsoft YaHei" w:hAnsi="Microsoft YaHei" w:eastAsia="Microsoft YaHei" w:cs="Microsoft YaHei"/>
        </w:rPr>
        <w:t>砕</w:t>
      </w:r>
      <w:r>
        <w:rPr>
          <w:rFonts w:ascii="MS Gothic" w:hAnsi="MS Gothic" w:eastAsia="MS Gothic" w:cs="MS Gothic"/>
        </w:rPr>
        <w:t>くであろう</w:t>
      </w:r>
      <w:r>
        <w:rPr>
          <w:rFonts w:ascii="Times New Roman" w:hAnsi="Times New Roman" w:eastAsia="Times New Roman" w:cs="Times New Roman"/>
        </w:rPr>
        <w:t>.</w:t>
      </w:r>
      <w:r>
        <w:rPr>
          <w:rFonts w:ascii="MS Gothic" w:hAnsi="MS Gothic" w:eastAsia="MS Gothic" w:cs="MS Gothic"/>
        </w:rPr>
        <w:t>プーチンにとってのその</w:t>
      </w:r>
      <w:r>
        <w:rPr>
          <w:rFonts w:ascii="Microsoft YaHei" w:hAnsi="Microsoft YaHei" w:eastAsia="Microsoft YaHei" w:cs="Microsoft YaHei"/>
        </w:rPr>
        <w:t>勝利</w:t>
      </w:r>
      <w:r>
        <w:rPr>
          <w:rFonts w:ascii="MS Gothic" w:hAnsi="MS Gothic" w:eastAsia="MS Gothic" w:cs="MS Gothic"/>
        </w:rPr>
        <w:t>は</w:t>
      </w:r>
      <w:r>
        <w:rPr>
          <w:rFonts w:ascii="Microsoft YaHei" w:hAnsi="Microsoft YaHei" w:eastAsia="Microsoft YaHei" w:cs="Microsoft YaHei"/>
        </w:rPr>
        <w:t>、第七</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に</w:t>
      </w:r>
      <w:r>
        <w:rPr>
          <w:rFonts w:ascii="Microsoft YaHei" w:hAnsi="Microsoft YaHei" w:eastAsia="Microsoft YaHei" w:cs="Microsoft YaHei"/>
        </w:rPr>
        <w:t>属</w:t>
      </w:r>
      <w:r>
        <w:rPr>
          <w:rFonts w:ascii="MS Gothic" w:hAnsi="MS Gothic" w:eastAsia="MS Gothic" w:cs="MS Gothic"/>
        </w:rPr>
        <w:t>する</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役割、</w:t>
      </w:r>
      <w:r>
        <w:rPr>
          <w:rFonts w:ascii="MS Gothic" w:hAnsi="MS Gothic" w:eastAsia="MS Gothic" w:cs="MS Gothic"/>
        </w:rPr>
        <w:t>すなわち</w:t>
      </w:r>
      <w:r>
        <w:rPr>
          <w:rFonts w:ascii="Microsoft YaHei" w:hAnsi="Microsoft YaHei" w:eastAsia="Microsoft YaHei" w:cs="Microsoft YaHei"/>
        </w:rPr>
        <w:t>第十六節</w:t>
      </w:r>
      <w:r>
        <w:rPr>
          <w:rFonts w:ascii="MS Gothic" w:hAnsi="MS Gothic" w:eastAsia="MS Gothic" w:cs="MS Gothic"/>
        </w:rPr>
        <w:t>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へ</w:t>
      </w:r>
      <w:r>
        <w:rPr>
          <w:rFonts w:ascii="Microsoft YaHei" w:hAnsi="Microsoft YaHei" w:eastAsia="Microsoft YaHei" w:cs="Microsoft YaHei"/>
        </w:rPr>
        <w:t>登場</w:t>
      </w:r>
      <w:r>
        <w:rPr>
          <w:rFonts w:ascii="MS Gothic" w:hAnsi="MS Gothic" w:eastAsia="MS Gothic" w:cs="MS Gothic"/>
        </w:rPr>
        <w:t>する</w:t>
      </w:r>
      <w:r>
        <w:rPr>
          <w:rFonts w:ascii="Microsoft YaHei" w:hAnsi="Microsoft YaHei" w:eastAsia="Microsoft YaHei" w:cs="Microsoft YaHei"/>
        </w:rPr>
        <w:t>預言的専制者</w:t>
      </w:r>
      <w:r>
        <w:rPr>
          <w:rFonts w:ascii="MS Gothic" w:hAnsi="MS Gothic" w:eastAsia="MS Gothic" w:cs="MS Gothic"/>
        </w:rPr>
        <w:t>としての</w:t>
      </w:r>
      <w:r>
        <w:rPr>
          <w:rFonts w:ascii="Microsoft YaHei" w:hAnsi="Microsoft YaHei" w:eastAsia="Microsoft YaHei" w:cs="Microsoft YaHei"/>
        </w:rPr>
        <w:t>役割</w:t>
      </w:r>
      <w:r>
        <w:rPr>
          <w:rFonts w:ascii="MS Gothic" w:hAnsi="MS Gothic" w:eastAsia="MS Gothic" w:cs="MS Gothic"/>
        </w:rPr>
        <w:t>を</w:t>
      </w:r>
      <w:r>
        <w:rPr>
          <w:rFonts w:ascii="Microsoft YaHei" w:hAnsi="Microsoft YaHei" w:eastAsia="Microsoft YaHei" w:cs="Microsoft YaHei"/>
        </w:rPr>
        <w:t>担</w:t>
      </w:r>
      <w:r>
        <w:rPr>
          <w:rFonts w:ascii="MS Gothic" w:hAnsi="MS Gothic" w:eastAsia="MS Gothic" w:cs="MS Gothic"/>
        </w:rPr>
        <w:t>うための</w:t>
      </w:r>
      <w:r>
        <w:rPr>
          <w:rFonts w:ascii="Microsoft YaHei" w:hAnsi="Microsoft YaHei" w:eastAsia="Microsoft YaHei" w:cs="Microsoft YaHei"/>
        </w:rPr>
        <w:t>委任</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えることになる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第十六節</w:t>
      </w:r>
      <w:r>
        <w:rPr>
          <w:rFonts w:ascii="MS Gothic" w:hAnsi="MS Gothic" w:eastAsia="MS Gothic" w:cs="MS Gothic"/>
        </w:rPr>
        <w:t>とは</w:t>
      </w:r>
      <w:r>
        <w:rPr>
          <w:rFonts w:ascii="Microsoft YaHei" w:hAnsi="Microsoft YaHei" w:eastAsia="Microsoft YaHei" w:cs="Microsoft YaHei"/>
        </w:rPr>
        <w:t>、</w:t>
      </w:r>
      <w:r>
        <w:rPr>
          <w:rFonts w:ascii="MS Gothic" w:hAnsi="MS Gothic" w:eastAsia="MS Gothic" w:cs="MS Gothic"/>
        </w:rPr>
        <w:t>まもなく</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vesi kulutalaṣ tulu, nord gelloyreŋ aranion resavë hár, ar a vesi kulutafte nól, pagán Roma introdúras en historia minë sára tulë, quamquam sa nárë yando i nord gellon. Enta sína identifíca-së ve i símbol ya “establíras i visión”, ar ve i potestad qui exaltáras sé ar tá falls. Pos i victória de Putin en i guerra en Ucraina, i papacía vel comensárá a levár sé en la políticá mundal, just en avans de i lex dominical en vesi kulutaseis.</w:t>
      </w:r>
    </w:p>
    <w:p>
      <w:pPr>
        <w:pStyle w:val="ArticleBody"/>
        <w:jc w:val="left"/>
      </w:pPr>
      <w:r>
        <w:rPr>
          <w:rFonts w:ascii="Times New Roman" w:hAnsi="Times New Roman" w:eastAsia="Times New Roman" w:cs="Times New Roman"/>
        </w:rPr>
        <w:t>La Révolution française, et son lien avec la Révolution russe ; Napoléon et Poutine ; le miracle de Fatima, et ses trois secrets ; l’alliance secrète entre le Vatican et Hitler, l’alliance secrète entre le Vatican et Reagan, sont tous des « roues » prophétiques qui se croisent dans l’histoire des versets onze à quinze, laquelle se déroule durant la période allant du 11 septembre 2001 jusqu’à la loi du dimanche aux États-Unis. Il importait de présenter un bref résumé de ces « roues » prophétiques avant d’aborder le verset dix.</w:t>
      </w:r>
    </w:p>
    <w:p>
      <w:pPr>
        <w:pStyle w:val="ArticleBody"/>
        <w:jc w:val="left"/>
      </w:pPr>
      <w:r>
        <w:rPr>
          <w:rFonts w:ascii="Times New Roman" w:hAnsi="Times New Roman" w:eastAsia="Times New Roman" w:cs="Times New Roman"/>
        </w:rPr>
        <w:t>L’article suivant est tiré de « NBC News », qui représente ce qu’il y a de plus typique dans les « médias dominants », et le « MSM » est la version moderne de la machine de propagande d’Hitler pendant la Seconde Guerre mondiale. L’article est, bien entendu, anti-Poutine, anti-russe et pro-ukrainien, mais ce n’est pas là le point essentiel. En tant que citoyens du royaume céleste, le peuple de Dieu ne devrait cautionner ni l’un ni l’autre camp dans une œuvre satanique, et toute guerre est une œuvre satanique.</w:t>
      </w:r>
    </w:p>
    <w:p>
      <w:pPr>
        <w:pStyle w:val="ArticleBody"/>
        <w:jc w:val="left"/>
      </w:pPr>
      <w:r>
        <w:rPr>
          <w:rFonts w:ascii="Times New Roman" w:hAnsi="Times New Roman" w:eastAsia="Times New Roman" w:cs="Times New Roman"/>
        </w:rPr>
        <w:t>Bikopo ya lisolo oyo ezali kopesa nzela na baoyo bayebi naino te etumba ya esakweli kati na Katolisime (mokonzi ya nordi) mpe ateyisime (mokonzi ya sudi), mpe solo ete, na etumba ya nguya wana mibale ya esakweli, Nazisme esalelamaki lokola mampinga ya esika ya Katolisime (ndenge moko na yango Etats-Unis esalelamaki na 1989). Bato bayekolaka esakweli basengeli kozala na bilembeteli ekoki mpo na komona ete lisolo ya nsima ya Etumba ya Mibale ya Mokili, mpe ya Etumba ya Malili, ezali komonisama na etumba ya lelo na Ukraine, wana ezali kokokisa milongo ya zomi na moko mpe zomi na mibale ya mokapo ya zomi na moko ya Daniele.</w:t>
      </w:r>
    </w:p>
    <w:p>
      <w:pPr>
        <w:pStyle w:val="ArticleScripture"/>
        <w:jc w:val="left"/>
      </w:pPr>
      <w:r>
        <w:rPr>
          <w:rFonts w:ascii="Times New Roman" w:hAnsi="Times New Roman" w:eastAsia="Times New Roman" w:cs="Times New Roman"/>
        </w:rPr>
        <w:t>« Les événements historiques, manifestant l’accomplissement direct de la prophétie, furent présentés au peuple, et l’on vit que la prophétie était une représentation figurée des événements conduisant jusqu’à la clôture de l’histoire de cette terre. » Selected Messages, book 2, 102.</w:t>
      </w:r>
    </w:p>
    <w:p>
      <w:pPr>
        <w:pStyle w:val="ArticleBody"/>
        <w:jc w:val="left"/>
      </w:pPr>
      <w:r>
        <w:rPr>
          <w:rFonts w:ascii="Times New Roman" w:hAnsi="Times New Roman" w:eastAsia="Times New Roman" w:cs="Times New Roman"/>
        </w:rPr>
        <w:t>مقالة في NBC News: «مشكلة أوكرانيا مع النازيّة حقيقيّة، حتّى وإن لم يكن ادّعاء بوتين بشأن “اجتثاث النازيّة” كذلك»</w:t>
      </w:r>
    </w:p>
    <w:p>
      <w:pPr>
        <w:pStyle w:val="ArticleScripture"/>
        <w:jc w:val="left"/>
      </w:pPr>
      <w:r>
        <w:rPr>
          <w:rFonts w:ascii="Times New Roman" w:hAnsi="Times New Roman" w:eastAsia="Times New Roman" w:cs="Times New Roman"/>
        </w:rPr>
        <w:t>Parmi les nombreuses falsifications fabriquées par le président russe Vladimir Poutine pour justifier l’assaut de la Russie contre l’Ukraine, la plus étrange est peut-être son affirmation selon laquelle cette action a été entreprise pour « dénazifier » le pays et ses dirigeants. Pour défendre sa décision de pénétrer sur le territoire de son voisin avec des chars blindés et des avions de chasse, Poutine a déclaré que cette initiative avait été menée « pour protéger des personnes » qui ont été « soumises à des brimades et à un génocide », et que la Russie « s’efforcera d’assurer la démilitarisation et la dénazification de l’Ukraine ».</w:t>
      </w:r>
    </w:p>
    <w:p>
      <w:pPr>
        <w:pStyle w:val="ArticleScripture"/>
        <w:jc w:val="left"/>
      </w:pPr>
      <w:r>
        <w:rPr>
          <w:rFonts w:ascii="Times New Roman" w:hAnsi="Times New Roman" w:eastAsia="Times New Roman" w:cs="Times New Roman"/>
        </w:rPr>
        <w:t>Les actes destructeurs de Poutine — parmi lesquels la dévastation de communautés juives — montrent clairement qu’il ment lorsqu’il affirme que son objectif est d’assurer le bien-être de quiconque.</w:t>
      </w:r>
    </w:p>
    <w:p>
      <w:pPr>
        <w:pStyle w:val="ArticleScripture"/>
        <w:jc w:val="left"/>
      </w:pPr>
      <w:r>
        <w:rPr>
          <w:rFonts w:ascii="Times New Roman" w:hAnsi="Times New Roman" w:eastAsia="Times New Roman" w:cs="Times New Roman"/>
        </w:rPr>
        <w:t>În mod evident, calomnia lui Putin este absurdă, nu în ultimul rând pentru că președintele ucrainean Volodîmîr Zelenski este evreu și a declarat că membri ai familiei sale au fost uciși în timpul celui de-al Doilea Război Mondial. De asemenea, nu există nicio dovadă că în Ucraina au avut loc recent ucideri în masă sau epurări etnice. Mai mult, etichetarea adversarilor drept naziști este un tertip politic obișnuit în Rusia, mai ales din partea unui lider care favorizează campaniile de dezinformare și dorește să stârnească sentimente de răzbunare națională împotriva unui dușman din al Doilea Război Mondial pentru a justifica cucerirea.</w:t>
      </w:r>
    </w:p>
    <w:p>
      <w:pPr>
        <w:pStyle w:val="ArticleScripture"/>
        <w:jc w:val="left"/>
      </w:pPr>
      <w:r>
        <w:rPr>
          <w:rFonts w:ascii="Times New Roman" w:hAnsi="Times New Roman" w:eastAsia="Times New Roman" w:cs="Times New Roman"/>
        </w:rPr>
        <w:t>Ko e meʻa foki, neongo ʻoku fakahoko ʻe Putin ʻa e polopakanitā, ʻoku toe moʻoni foki ʻoku ʻi ai ha palopalema moʻoni ʻa ʻIukuleini fekauʻaki mo e Nazi — ʻi he kuohili mo e lolotonga foki. Ko e ngaahi ngāue fakaʻauha ʻa Putin — pea ʻoku kau ai ʻa e fakaʻauha ʻo e ngaahi komiuniti Siu — ʻoku ne fakahaaʻi mahino ai ʻoku loi ia ʻi heʻene pehē ko ʻene taumuʻa ke fakapapauʻi ʻa e lelei ʻa ha taha pē. Ka neongo ʻa e mahuʻinga ʻo e maluʻi ʻa e fuka engeenga mo e lanu moana mei he taulilifu fakamamahi ʻa e Kremlin, ʻe hoko ko ha taʻetokanga fakatuʻutāmaki kapau ʻe fakaʻikaiʻi ʻa e hisitōlia fakafili ki he kau Siu ʻa ʻIukuleini mo ʻene fengāueʻaki mo e kau Nazi ʻa Hitler, pea pehē foki ki he tali loto ki mui ni mai ki he ngaahi kulupu neo-Nazi ʻi ha ngaahi tafaʻaki ʻe niʻihi.</w:t>
      </w:r>
    </w:p>
    <w:p>
      <w:pPr>
        <w:pStyle w:val="ArticleScripture"/>
        <w:jc w:val="left"/>
      </w:pPr>
      <w:r>
        <w:rPr>
          <w:rFonts w:ascii="Myanmar Text" w:hAnsi="Myanmar Text" w:eastAsia="Myanmar Text" w:cs="Myanmar Text"/>
        </w:rPr>
        <w:t>ဘာကြောင့်</w:t>
      </w:r>
      <w:r>
        <w:rPr>
          <w:rFonts w:ascii="Times New Roman" w:hAnsi="Times New Roman" w:eastAsia="Times New Roman" w:cs="Times New Roman"/>
        </w:rPr>
        <w:t xml:space="preserve"> </w:t>
      </w:r>
      <w:r>
        <w:rPr>
          <w:rFonts w:ascii="Myanmar Text" w:hAnsi="Myanmar Text" w:eastAsia="Myanmar Text" w:cs="Myanmar Text"/>
        </w:rPr>
        <w:t>ထွက်ပြေးတိမ်းရှောင်နေသော</w:t>
      </w:r>
      <w:r>
        <w:rPr>
          <w:rFonts w:ascii="Times New Roman" w:hAnsi="Times New Roman" w:eastAsia="Times New Roman" w:cs="Times New Roman"/>
        </w:rPr>
        <w:t xml:space="preserve"> </w:t>
      </w:r>
      <w:r>
        <w:rPr>
          <w:rFonts w:ascii="Myanmar Text" w:hAnsi="Myanmar Text" w:eastAsia="Myanmar Text" w:cs="Myanmar Text"/>
        </w:rPr>
        <w:t>ယူကရိန်းလူမျိုးများအကြောင်းကို</w:t>
      </w:r>
      <w:r>
        <w:rPr>
          <w:rFonts w:ascii="Times New Roman" w:hAnsi="Times New Roman" w:eastAsia="Times New Roman" w:cs="Times New Roman"/>
        </w:rPr>
        <w:t xml:space="preserve"> </w:t>
      </w:r>
      <w:r>
        <w:rPr>
          <w:rFonts w:ascii="Myanmar Text" w:hAnsi="Myanmar Text" w:eastAsia="Myanmar Text" w:cs="Myanmar Text"/>
        </w:rPr>
        <w:t>ဤမျှ</w:t>
      </w:r>
      <w:r>
        <w:rPr>
          <w:rFonts w:ascii="Times New Roman" w:hAnsi="Times New Roman" w:eastAsia="Times New Roman" w:cs="Times New Roman"/>
        </w:rPr>
        <w:t xml:space="preserve"> </w:t>
      </w:r>
      <w:r>
        <w:rPr>
          <w:rFonts w:ascii="Myanmar Text" w:hAnsi="Myanmar Text" w:eastAsia="Myanmar Text" w:cs="Myanmar Text"/>
        </w:rPr>
        <w:t>သနားစာနာမှုဖြင့်</w:t>
      </w:r>
      <w:r>
        <w:rPr>
          <w:rFonts w:ascii="Times New Roman" w:hAnsi="Times New Roman" w:eastAsia="Times New Roman" w:cs="Times New Roman"/>
        </w:rPr>
        <w:t xml:space="preserve"> </w:t>
      </w:r>
      <w:r>
        <w:rPr>
          <w:rFonts w:ascii="Myanmar Text" w:hAnsi="Myanmar Text" w:eastAsia="Myanmar Text" w:cs="Myanmar Text"/>
        </w:rPr>
        <w:t>ပြောဆိုနေကြသနည်း။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လူဖြူများဖြစ်ကြသည်။</w:t>
      </w:r>
    </w:p>
    <w:p>
      <w:pPr>
        <w:pStyle w:val="ArticleScripture"/>
        <w:jc w:val="left"/>
      </w:pPr>
      <w:r>
        <w:rPr>
          <w:rFonts w:ascii="Times New Roman" w:hAnsi="Times New Roman" w:eastAsia="Times New Roman" w:cs="Times New Roman"/>
        </w:rPr>
        <w:t>Na mpokwa ya Etumba Mibale ya Mokili, Ukraine ezalaki ndako ya moko ya bituluku minene koleka ya Bayuda na Europa, na motango oyo makanisi mosusu ematisaka kino pene na milio 2,7, motango moko ya kokamwa soki bataleli lisolo molai ya etuka yango ya botɛmɛli Bayuda mpe ya ba pogrom. Na nsuka, koleka ndambo na bango bakufaki. Ntango mampinga ya Allemagne ezwaki bokonzi ya Kyiv na 1941, bayambamaki na bendele oyo ekomaki “Heil Hitler.” Mwa moke na nsima, pene na Bayuda 34.000 — elongo na ba Roma mpe bato mosusu “oyo balingamaka te” — basangisamaki mpe batambwisamaki kino na bilanga libándá ya engumba na ntembe ya kofandisa bango lisusu na esika mosusu, kasi mpo na kobomama nyonso na likambo oyo ekómaki koyebana lokola “Holocauste na masasi.”</w:t>
      </w:r>
    </w:p>
    <w:p>
      <w:pPr>
        <w:pStyle w:val="ArticleScripture"/>
        <w:jc w:val="left"/>
      </w:pPr>
      <w:r>
        <w:rPr>
          <w:rFonts w:ascii="Times New Roman" w:hAnsi="Times New Roman" w:eastAsia="Times New Roman" w:cs="Times New Roman"/>
        </w:rPr>
        <w:t>Jarka rokle Babyn Yar xale te keres pe sarna masikani mol e dua berš. Kai jekhto 100.000 murdarde kothe, xelol jekh kotar o bareder jekhtane thana e murdaripnaske andar o Holokausto avral andar Auschwitz taj aver meribnaskre kampi. Rodipnaskre manuša sikavde o važhno rolo so o lokalne manuša khelde andre o pherdari e nacistickone murdaripnaskre bičhalimata kothe.</w:t>
      </w:r>
    </w:p>
    <w:p>
      <w:pPr>
        <w:pStyle w:val="ArticleScripture"/>
        <w:jc w:val="left"/>
      </w:pPr>
      <w:r>
        <w:rPr>
          <w:rFonts w:ascii="Times New Roman" w:hAnsi="Times New Roman" w:eastAsia="Times New Roman" w:cs="Times New Roman"/>
        </w:rPr>
        <w:t>Nowadays, Ukraine counts between 56,000 to 140,000 Jews, who enjoy freedoms and protections never imagined by their grandparents. That includes an updated law passed last month criminalizing antisemitic acts. Unfortunately, the law was intended to address a pronounced uptick in public displays of bigotry, including swastika-laden vandalism of synagogues and Jewish memorials, and eerie marches in Kyiv and other cities that celebrated the Waffen SS.</w:t>
      </w:r>
    </w:p>
    <w:p>
      <w:pPr>
        <w:pStyle w:val="ArticleScripture"/>
        <w:jc w:val="left"/>
      </w:pPr>
      <w:r>
        <w:rPr>
          <w:rFonts w:ascii="Times New Roman" w:hAnsi="Times New Roman" w:eastAsia="Times New Roman" w:cs="Times New Roman"/>
        </w:rPr>
        <w:t>در تحولی شومِ دیگر، اوکراین در سال‌های اخیر انبوهی از تندیس‌ها را به افتخار ملی‌گرایان اوکراینی برپا کرده است؛ کسانی که میراثشان به سبب سابقهٔ انکارناپذیرشان به‌عنوان عوامل نیابتی نازی‌ها آلوده است. روزنامهٔ Forward شماری از این افراد نفرت‌انگیز را برشمرد، از جمله استپان باندرا، رهبر سازمان ملی‌گرایان اوکراین (OUN)، که پیروانش به‌عنوان اعضای شبه‌نظامی محلی برای اس‌اس و ارتش آلمان عمل می‌کردند. Forward نوشت: «اوکراین چندین ده بنای یادبود و ده‌ها نام خیابان در تجلیل از این همکار نازی دارد، آن‌قدر که برای پوشش آن به دو صفحهٔ جداگانه در ویکی‌پدیا نیاز است.»</w:t>
      </w:r>
    </w:p>
    <w:p>
      <w:pPr>
        <w:pStyle w:val="ArticleScripture"/>
        <w:jc w:val="left"/>
      </w:pPr>
      <w:r>
        <w:rPr>
          <w:rFonts w:ascii="Times New Roman" w:hAnsi="Times New Roman" w:eastAsia="Times New Roman" w:cs="Times New Roman"/>
        </w:rPr>
        <w:t>Un autre personnage fréquemment honoré est Roman Choukhevytch, vénéré comme un combattant ukrainien de la liberté, mais aussi chef d’une redoutée unité auxiliaire de police nazie dont le Forward note qu’elle était « responsable du massacre de milliers de Juifs et de … Polonais ». Des statues ont également été érigées à la gloire de Iaroslav Stetsko, ancien président de l’OUN, qui écrivait : « J’insiste sur l’extermination des Juifs en Ukraine. »</w:t>
      </w:r>
    </w:p>
    <w:p>
      <w:pPr>
        <w:pStyle w:val="ArticleScripture"/>
        <w:jc w:val="left"/>
      </w:pPr>
      <w:r>
        <w:rPr>
          <w:rFonts w:ascii="Times New Roman" w:hAnsi="Times New Roman" w:eastAsia="Times New Roman" w:cs="Times New Roman"/>
        </w:rPr>
        <w:t>Зайыраак оңчул топтор да акыркы он жылдыкта саясий салмакка ээ болушту; алардын ичинен эң үрөй учурганы — «Свобода» (мурдагы Украинанын Социал-улуттук партиясы). Анын лидери өлкө «москвит-еврей мафиясынын» көзөмөлүндө экенин айтып, ал эми анын орун басары Украинада төрөлгөн еврей тектүү актриса Мила Кунисти сыпаттоо үчүн антисемиттик кемсинтүүчү сөз колдонгон. Foreign Policy басылмасынын маалыматына ылайык, «Свобода» Украинанын парламентине бир нече мүчөсүн жиберген, алардын ичинде Холокостту адамзат тарыхындагы «жаркын мезгил» деп атаган бирөө да болгон.</w:t>
      </w:r>
    </w:p>
    <w:p>
      <w:pPr>
        <w:pStyle w:val="ArticleScripture"/>
        <w:jc w:val="left"/>
      </w:pP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स्वयंसेवी</w:t>
      </w:r>
      <w:r>
        <w:rPr>
          <w:rFonts w:ascii="Times New Roman" w:hAnsi="Times New Roman" w:eastAsia="Times New Roman" w:cs="Times New Roman"/>
        </w:rPr>
        <w:t xml:space="preserve"> </w:t>
      </w:r>
      <w:r>
        <w:rPr>
          <w:rFonts w:ascii="Nirmala UI" w:hAnsi="Nirmala UI" w:eastAsia="Nirmala UI" w:cs="Nirmala UI"/>
        </w:rPr>
        <w:t>बटालियनों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हिस्सा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मॉस्को</w:t>
      </w:r>
      <w:r>
        <w:rPr>
          <w:rFonts w:ascii="Times New Roman" w:hAnsi="Times New Roman" w:eastAsia="Times New Roman" w:cs="Times New Roman"/>
        </w:rPr>
        <w:t>-</w:t>
      </w:r>
      <w:r>
        <w:rPr>
          <w:rFonts w:ascii="Nirmala UI" w:hAnsi="Nirmala UI" w:eastAsia="Nirmala UI" w:cs="Nirmala UI"/>
        </w:rPr>
        <w:t>समर्थित</w:t>
      </w:r>
      <w:r>
        <w:rPr>
          <w:rFonts w:ascii="Times New Roman" w:hAnsi="Times New Roman" w:eastAsia="Times New Roman" w:cs="Times New Roman"/>
        </w:rPr>
        <w:t xml:space="preserve"> </w:t>
      </w:r>
      <w:r>
        <w:rPr>
          <w:rFonts w:ascii="Nirmala UI" w:hAnsi="Nirmala UI" w:eastAsia="Nirmala UI" w:cs="Nirmala UI"/>
        </w:rPr>
        <w:t>अलगाववादियों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भीषण</w:t>
      </w:r>
      <w:r>
        <w:rPr>
          <w:rFonts w:ascii="Times New Roman" w:hAnsi="Times New Roman" w:eastAsia="Times New Roman" w:cs="Times New Roman"/>
        </w:rPr>
        <w:t xml:space="preserve"> </w:t>
      </w:r>
      <w:r>
        <w:rPr>
          <w:rFonts w:ascii="Nirmala UI" w:hAnsi="Nirmala UI" w:eastAsia="Nirmala UI" w:cs="Nirmala UI"/>
        </w:rPr>
        <w:t>शहरी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लड़ते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आज़ोव</w:t>
      </w:r>
      <w:r>
        <w:rPr>
          <w:rFonts w:ascii="Times New Roman" w:hAnsi="Times New Roman" w:eastAsia="Times New Roman" w:cs="Times New Roman"/>
        </w:rPr>
        <w:t xml:space="preserve"> </w:t>
      </w:r>
      <w:r>
        <w:rPr>
          <w:rFonts w:ascii="Nirmala UI" w:hAnsi="Nirmala UI" w:eastAsia="Nirmala UI" w:cs="Nirmala UI"/>
        </w:rPr>
        <w:t>बटालियन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w:t>
      </w:r>
      <w:r>
        <w:rPr>
          <w:rFonts w:ascii="Nirmala UI" w:hAnsi="Nirmala UI" w:eastAsia="Nirmala UI" w:cs="Nirmala UI"/>
        </w:rPr>
        <w:t>श्रेष्ठतावादी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2018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आज़ोव</w:t>
      </w:r>
      <w:r>
        <w:rPr>
          <w:rFonts w:ascii="Times New Roman" w:hAnsi="Times New Roman" w:eastAsia="Times New Roman" w:cs="Times New Roman"/>
        </w:rPr>
        <w:t xml:space="preserve"> </w:t>
      </w:r>
      <w:r>
        <w:rPr>
          <w:rFonts w:ascii="Nirmala UI" w:hAnsi="Nirmala UI" w:eastAsia="Nirmala UI" w:cs="Nirmala UI"/>
        </w:rPr>
        <w:t>बटालियन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हथियार</w:t>
      </w:r>
      <w:r>
        <w:rPr>
          <w:rFonts w:ascii="Times New Roman" w:hAnsi="Times New Roman" w:eastAsia="Times New Roman" w:cs="Times New Roman"/>
        </w:rPr>
        <w:t xml:space="preserve">, </w:t>
      </w:r>
      <w:r>
        <w:rPr>
          <w:rFonts w:ascii="Nirmala UI" w:hAnsi="Nirmala UI" w:eastAsia="Nirmala UI" w:cs="Nirmala UI"/>
        </w:rPr>
        <w:t>प्रशिक्षण</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आज़ोव</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गार्ड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आधिकारिक</w:t>
      </w:r>
      <w:r>
        <w:rPr>
          <w:rFonts w:ascii="Times New Roman" w:hAnsi="Times New Roman" w:eastAsia="Times New Roman" w:cs="Times New Roman"/>
        </w:rPr>
        <w:t xml:space="preserve"> </w:t>
      </w:r>
      <w:r>
        <w:rPr>
          <w:rFonts w:ascii="Nirmala UI" w:hAnsi="Nirmala UI" w:eastAsia="Nirmala UI" w:cs="Nirmala UI"/>
        </w:rPr>
        <w:t>सदस्य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Ni koko, moko te kati na contexte oyo ezali kotungisa ezali kolongisa mpasi oyo ekweyi likoló ya bato ya Ukraine na boumeli ya baposo oyo eleki — mpe ezali mpenza na ntina te kokanisa ete Putin nde abandaki mobulu na ye mpo na likambo moko kati na yango. Ya solo, mpo na misala ya Putin, Bayuda oyo bazali kofanda na Odessa, Kharkiv mpe bingumba mosusu ya ɛsti bazali kati na monyoko makasi koleka. Atako mingi kati na bango bazwi ebombamelo na basinagoga ya mboka mpe na bisika ya Bayuda, basusu bakimi na mikili ya bapaya, kati na yango Israël, oyo ebengi Bayuda nyonso bálongwa na Ukraine.</w:t>
      </w:r>
    </w:p>
    <w:p>
      <w:pPr>
        <w:pStyle w:val="ArticleScripture"/>
        <w:jc w:val="left"/>
      </w:pPr>
      <w:r>
        <w:rPr>
          <w:rFonts w:ascii="Times New Roman" w:hAnsi="Times New Roman" w:eastAsia="Times New Roman" w:cs="Times New Roman"/>
        </w:rPr>
        <w:t>Cei doi bunici ai mei au fost ei înșiși nevoiți să fugă din vestul Ucrainei pentru a scăpa de persecuție, și este tragic să vezi acest ciclu continuând. Dacă țara degenerează în haos și insurecție, evreii ar putea fi din nou expuși pericolului din partea unora dintre concetățenii lor. A nu recunoaște această amenințare înseamnă că se face prea puțin pentru a se proteja împotriva ei.</w:t>
      </w:r>
    </w:p>
    <w:p>
      <w:pPr>
        <w:pStyle w:val="ArticleScripture"/>
        <w:jc w:val="left"/>
      </w:pPr>
      <w:r>
        <w:rPr>
          <w:rFonts w:ascii="Times New Roman" w:hAnsi="Times New Roman" w:eastAsia="Times New Roman" w:cs="Times New Roman"/>
        </w:rPr>
        <w:t>Mais, même si certains éléments du pays ont été compromis par leur lien avec l’un des mouvements les plus abjects de l’histoire, se tenir aux côtés de l’Ukraine constitue, sans aucun doute, l’attitude honorable à adopter dans ce drame. À l’heure actuelle, chaque jour où Poutine intensifie son assaut contre le peuple ukrainien avec un zèle de terre brûlée, il est difficile de ne pas voir qui mérite véritablement le mot en N.</w:t>
      </w:r>
    </w:p>
    <w:p>
      <w:pPr>
        <w:pStyle w:val="ArticleScripture"/>
        <w:jc w:val="left"/>
      </w:pPr>
      <w:r>
        <w:rPr>
          <w:rFonts w:ascii="Times New Roman" w:hAnsi="Times New Roman" w:eastAsia="Times New Roman" w:cs="Times New Roman"/>
        </w:rPr>
        <w:t>Allen Ripp, 5 mars 2022 – Source</w:t>
      </w:r>
    </w:p>
    <w:p>
      <w:pPr>
        <w:pStyle w:val="ArticleBody"/>
        <w:jc w:val="left"/>
      </w:pPr>
      <w:r>
        <w:rPr>
          <w:rFonts w:ascii="Times New Roman" w:hAnsi="Times New Roman" w:eastAsia="Times New Roman" w:cs="Times New Roman"/>
        </w:rPr>
        <w:t>Nous poursuivrons cette étude dans notre prochain article.</w:t>
      </w:r>
    </w:p>
    <w:p>
      <w:pPr>
        <w:pStyle w:val="ArticleScripture"/>
        <w:jc w:val="left"/>
      </w:pPr>
      <w:r>
        <w:rPr>
          <w:rFonts w:ascii="Times New Roman" w:hAnsi="Times New Roman" w:eastAsia="Times New Roman" w:cs="Times New Roman"/>
        </w:rPr>
        <w:t>« Ceux qui ne peuvent se souvenir du passé sont condamnés à le répéter. » George Santayana.</w:t>
      </w:r>
    </w:p>
    <w:p>
      <w:pPr>
        <w:pStyle w:val="ArticleScripture"/>
        <w:jc w:val="left"/>
      </w:pPr>
      <w:r>
        <w:rPr>
          <w:rFonts w:ascii="Times New Roman" w:hAnsi="Times New Roman" w:eastAsia="Times New Roman" w:cs="Times New Roman"/>
        </w:rPr>
        <w:t>“Pepek nyonso oyo Nzambe, na lisolo ya esakweli, alakisaki ete esengelaki kokokisama na kala, ekokisamaki; mpe nyonso oyo ezali naino koya, na molongo na yango, ekoya. Daniele, mosakoli wa Nzambe, atelemi na esika na ye. Yoane atelemi na esika na ye. Na Emoniseli, Nkosi ya libota ya Yuda afungoleli bayekoli ya esakweli buku ya Daniele, mpe bongo Daniele azali kotelema na esika na ye. Azali komema litatoli na ye, oyo Nkolo amonisaki ye na emoniseli na ntina ya makambo minene mpe ya lokumu ya kobangisa, oyo tosengeli koyeba wana totelemi mpenza na ekuke ya kokokisama na yango.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និងក្នុងទំនាយ</w:t>
      </w:r>
      <w:r>
        <w:rPr>
          <w:rFonts w:ascii="Times New Roman" w:hAnsi="Times New Roman" w:eastAsia="Times New Roman" w:cs="Times New Roman"/>
        </w:rPr>
        <w:t xml:space="preserve"> </w:t>
      </w:r>
      <w:r>
        <w:rPr>
          <w:rFonts w:ascii="Leelawadee UI" w:hAnsi="Leelawadee UI" w:eastAsia="Leelawadee UI" w:cs="Leelawadee UI"/>
        </w:rPr>
        <w:t>ព្រះបន្ទូលរបស់ព្រះបានបង្ហាញអំពីការតស៊ូដ៏អូសបន្លាយយូររវាងសេចក្តីពិត</w:t>
      </w:r>
      <w:r>
        <w:rPr>
          <w:rFonts w:ascii="Times New Roman" w:hAnsi="Times New Roman" w:eastAsia="Times New Roman" w:cs="Times New Roman"/>
        </w:rPr>
        <w:t xml:space="preserve"> </w:t>
      </w:r>
      <w:r>
        <w:rPr>
          <w:rFonts w:ascii="Leelawadee UI" w:hAnsi="Leelawadee UI" w:eastAsia="Leelawadee UI" w:cs="Leelawadee UI"/>
        </w:rPr>
        <w:t>និងកំហុស។</w:t>
      </w:r>
      <w:r>
        <w:rPr>
          <w:rFonts w:ascii="Times New Roman" w:hAnsi="Times New Roman" w:eastAsia="Times New Roman" w:cs="Times New Roman"/>
        </w:rPr>
        <w:t xml:space="preserve"> </w:t>
      </w:r>
      <w:r>
        <w:rPr>
          <w:rFonts w:ascii="Leelawadee UI" w:hAnsi="Leelawadee UI" w:eastAsia="Leelawadee UI" w:cs="Leelawadee UI"/>
        </w:rPr>
        <w:t>ការតស៊ូនោះនៅតែកំពុងបន្ត។</w:t>
      </w:r>
      <w:r>
        <w:rPr>
          <w:rFonts w:ascii="Times New Roman" w:hAnsi="Times New Roman" w:eastAsia="Times New Roman" w:cs="Times New Roman"/>
        </w:rPr>
        <w:t xml:space="preserve"> </w:t>
      </w:r>
      <w:r>
        <w:rPr>
          <w:rFonts w:ascii="Leelawadee UI" w:hAnsi="Leelawadee UI" w:eastAsia="Leelawadee UI" w:cs="Leelawadee UI"/>
        </w:rPr>
        <w:t>អ្វីៗដែលបានកើតមានហើយ</w:t>
      </w:r>
      <w:r>
        <w:rPr>
          <w:rFonts w:ascii="Times New Roman" w:hAnsi="Times New Roman" w:eastAsia="Times New Roman" w:cs="Times New Roman"/>
        </w:rPr>
        <w:t xml:space="preserve"> </w:t>
      </w:r>
      <w:r>
        <w:rPr>
          <w:rFonts w:ascii="Leelawadee UI" w:hAnsi="Leelawadee UI" w:eastAsia="Leelawadee UI" w:cs="Leelawadee UI"/>
        </w:rPr>
        <w:t>នឹងត្រូវបានធ្វើឡើងវិញ។</w:t>
      </w:r>
      <w:r>
        <w:rPr>
          <w:rFonts w:ascii="Times New Roman" w:hAnsi="Times New Roman" w:eastAsia="Times New Roman" w:cs="Times New Roman"/>
        </w:rPr>
        <w:t xml:space="preserve"> </w:t>
      </w:r>
      <w:r>
        <w:rPr>
          <w:rFonts w:ascii="Leelawadee UI" w:hAnsi="Leelawadee UI" w:eastAsia="Leelawadee UI" w:cs="Leelawadee UI"/>
        </w:rPr>
        <w:t>ជម្លោះចាស់ៗនឹងត្រូវបានលើកឡើងវិញ</w:t>
      </w:r>
      <w:r>
        <w:rPr>
          <w:rFonts w:ascii="Times New Roman" w:hAnsi="Times New Roman" w:eastAsia="Times New Roman" w:cs="Times New Roman"/>
        </w:rPr>
        <w:t xml:space="preserve"> </w:t>
      </w:r>
      <w:r>
        <w:rPr>
          <w:rFonts w:ascii="Leelawadee UI" w:hAnsi="Leelawadee UI" w:eastAsia="Leelawadee UI" w:cs="Leelawadee UI"/>
        </w:rPr>
        <w:t>ហើយទ្រឹស្តីថ្មីៗនឹងបន្តកើតឡើងជានិច្ច។</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ប្រជាជនរបស់ព្រះ</w:t>
      </w:r>
      <w:r>
        <w:rPr>
          <w:rFonts w:ascii="Times New Roman" w:hAnsi="Times New Roman" w:eastAsia="Times New Roman" w:cs="Times New Roman"/>
        </w:rPr>
        <w:t xml:space="preserve"> </w:t>
      </w:r>
      <w:r>
        <w:rPr>
          <w:rFonts w:ascii="Leelawadee UI" w:hAnsi="Leelawadee UI" w:eastAsia="Leelawadee UI" w:cs="Leelawadee UI"/>
        </w:rPr>
        <w:t>ដែលនៅក្នុងជំនឿរបស់ពួកគេ</w:t>
      </w:r>
      <w:r>
        <w:rPr>
          <w:rFonts w:ascii="Times New Roman" w:hAnsi="Times New Roman" w:eastAsia="Times New Roman" w:cs="Times New Roman"/>
        </w:rPr>
        <w:t xml:space="preserve"> </w:t>
      </w:r>
      <w:r>
        <w:rPr>
          <w:rFonts w:ascii="Leelawadee UI" w:hAnsi="Leelawadee UI" w:eastAsia="Leelawadee UI" w:cs="Leelawadee UI"/>
        </w:rPr>
        <w:t>និងក្នុងការបំពេញទំនាយ</w:t>
      </w:r>
      <w:r>
        <w:rPr>
          <w:rFonts w:ascii="Times New Roman" w:hAnsi="Times New Roman" w:eastAsia="Times New Roman" w:cs="Times New Roman"/>
        </w:rPr>
        <w:t xml:space="preserve"> </w:t>
      </w:r>
      <w:r>
        <w:rPr>
          <w:rFonts w:ascii="Leelawadee UI" w:hAnsi="Leelawadee UI" w:eastAsia="Leelawadee UI" w:cs="Leelawadee UI"/>
        </w:rPr>
        <w:t>បានមានចំណែកក្នុងការប្រកាសសាររបស់ទេវតាទីមួយ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ដឹងថាពួកគេកំពុងឈរនៅទីណា។</w:t>
      </w:r>
      <w:r>
        <w:rPr>
          <w:rFonts w:ascii="Times New Roman" w:hAnsi="Times New Roman" w:eastAsia="Times New Roman" w:cs="Times New Roman"/>
        </w:rPr>
        <w:t xml:space="preserve"> </w:t>
      </w:r>
      <w:r>
        <w:rPr>
          <w:rFonts w:ascii="Leelawadee UI" w:hAnsi="Leelawadee UI" w:eastAsia="Leelawadee UI" w:cs="Leelawadee UI"/>
        </w:rPr>
        <w:t>ពួកគេមានបទពិសោធន៍មួយដែលមានតម្លៃលើសជាងមាសសុទ្ធ។</w:t>
      </w:r>
      <w:r>
        <w:rPr>
          <w:rFonts w:ascii="Times New Roman" w:hAnsi="Times New Roman" w:eastAsia="Times New Roman" w:cs="Times New Roman"/>
        </w:rPr>
        <w:t xml:space="preserve"> </w:t>
      </w:r>
      <w:r>
        <w:rPr>
          <w:rFonts w:ascii="Leelawadee UI" w:hAnsi="Leelawadee UI" w:eastAsia="Leelawadee UI" w:cs="Leelawadee UI"/>
        </w:rPr>
        <w:t>ពួកគេត្រូវឈរយ៉ាងមាំមួនដូចជាថ្មដា</w:t>
      </w:r>
      <w:r>
        <w:rPr>
          <w:rFonts w:ascii="Times New Roman" w:hAnsi="Times New Roman" w:eastAsia="Times New Roman" w:cs="Times New Roman"/>
        </w:rPr>
        <w:t xml:space="preserve"> </w:t>
      </w:r>
      <w:r>
        <w:rPr>
          <w:rFonts w:ascii="Leelawadee UI" w:hAnsi="Leelawadee UI" w:eastAsia="Leelawadee UI" w:cs="Leelawadee UI"/>
        </w:rPr>
        <w:t>ដោយកាន់ខ្ជាប់នូវដើមកំណើតនៃសេចក្តីទុកចិត្តរបស់ពួកគេឲ្យមាំមួនរហូតដល់ចុងបញ្ចប់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Selected Messages, book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Puka ha Daniel - Helu Hoʻokahi Haneri Kanaono Kūmāono</dc:title>
  <dc:subject>Défaire les fils de la prophétie : la Révolution française, la Russie de Poutine et le conflit ukrainien</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