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soixante-sept</w:t>
      </w:r>
    </w:p>
    <w:p>
      <w:pPr>
        <w:pStyle w:val="ArticleSubtitle"/>
        <w:jc w:val="left"/>
      </w:pPr>
      <w:r>
        <w:rPr>
          <w:rFonts w:ascii="Arial" w:hAnsi="Arial" w:eastAsia="Arial" w:cs="Arial"/>
        </w:rPr>
        <w:t>Prophétie décodée : révélation de la portée historique et prophétique de Daniel 11:10 et au-delà</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Le verset quarante du chapitre onze de Daniel commence au temps de la fin, en 1798, lorsque le roi du nord reçoit sa blessure mortelle de la main du roi du sud. Cette histoire fut préfigurée par l’année 246 av. J.-C., lorsque Ptolémée exerça sa vengeance contre le royaume du nord, ainsi que par la France napoléonienne emmenant le pape en captivité en 1798. Après que le roi du sud est retourné en Égypte au verset neuf, le verset dix indique alors que le roi du nord lancerait une contre-attaque contre le roi du sud.</w:t>
      </w:r>
    </w:p>
    <w:p>
      <w:pPr>
        <w:pStyle w:val="ArticleScripture"/>
        <w:jc w:val="left"/>
      </w:pPr>
      <w:r>
        <w:rPr>
          <w:rFonts w:ascii="Times New Roman" w:hAnsi="Times New Roman" w:eastAsia="Times New Roman" w:cs="Times New Roman"/>
        </w:rPr>
        <w:t>Así, el rey del sur entrará en su reino, y volverá a su propia tierra. Pero sus hijos se alzarán, y reunirán una multitud de grandes fuerzas; y uno ciertamente vendrá, e inundará, y pasará adelante; luego volverá, y se enfurecerá, hasta su fortaleza. Daniel 11:9, 10.</w:t>
      </w:r>
    </w:p>
    <w:p>
      <w:pPr>
        <w:pStyle w:val="ArticleBody"/>
        <w:jc w:val="left"/>
      </w:pPr>
      <w:r>
        <w:rPr>
          <w:rFonts w:ascii="Times New Roman" w:hAnsi="Times New Roman" w:eastAsia="Times New Roman" w:cs="Times New Roman"/>
        </w:rPr>
        <w:t>Avant de considérer le commentaire d’Uriah Smith sur l’histoire qui accomplit le verset dix, notons l’expression « déborder et passer au travers ». La locution hébraïque ainsi traduite l’est aussi, au verset quarante, par « déborder et passer par-dessus ». C’est la même locution dans l’hébreu original. On ne la trouve qu’en un seul autre endroit dans les Écritures.</w:t>
      </w:r>
    </w:p>
    <w:p>
      <w:pPr>
        <w:pStyle w:val="ArticleScripture"/>
        <w:jc w:val="left"/>
      </w:pPr>
      <w:r>
        <w:rPr>
          <w:rFonts w:ascii="Times New Roman" w:hAnsi="Times New Roman" w:eastAsia="Times New Roman" w:cs="Times New Roman"/>
        </w:rPr>
        <w:t>At siya’y daraan sa Juda; aapaw siya at lalampas, aabot hanggang sa leeg; at ang paglawak ng kaniyang mga pakpak ay pupuno sa kalawakan ng iyong lupain, O Emmanuel. Isaias 8:8.</w:t>
      </w:r>
    </w:p>
    <w:p>
      <w:pPr>
        <w:pStyle w:val="ArticleBody"/>
        <w:jc w:val="left"/>
      </w:pP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एलेवन</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टेन</w:t>
      </w:r>
      <w:r>
        <w:rPr>
          <w:rFonts w:ascii="Times New Roman" w:hAnsi="Times New Roman" w:eastAsia="Times New Roman" w:cs="Times New Roman"/>
        </w:rPr>
        <w:t xml:space="preserve"> </w:t>
      </w:r>
      <w:r>
        <w:rPr>
          <w:rFonts w:ascii="Nirmala UI" w:hAnsi="Nirmala UI" w:eastAsia="Nirmala UI" w:cs="Nirmala UI"/>
        </w:rPr>
        <w:t>अन्द</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फोर्टी</w:t>
      </w:r>
      <w:r>
        <w:rPr>
          <w:rFonts w:ascii="Times New Roman" w:hAnsi="Times New Roman" w:eastAsia="Times New Roman" w:cs="Times New Roman"/>
        </w:rPr>
        <w:t xml:space="preserve">, </w:t>
      </w:r>
      <w:r>
        <w:rPr>
          <w:rFonts w:ascii="Nirmala UI" w:hAnsi="Nirmala UI" w:eastAsia="Nirmala UI" w:cs="Nirmala UI"/>
        </w:rPr>
        <w:t>अन्द</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इसाइआह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एट</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एट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आइडेन्टिकल</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फ्रेज</w:t>
      </w:r>
      <w:r>
        <w:rPr>
          <w:rFonts w:ascii="Times New Roman" w:hAnsi="Times New Roman" w:eastAsia="Times New Roman" w:cs="Times New Roman"/>
        </w:rPr>
        <w:t xml:space="preserve"> </w:t>
      </w:r>
      <w:r>
        <w:rPr>
          <w:rFonts w:ascii="Nirmala UI" w:hAnsi="Nirmala UI" w:eastAsia="Nirmala UI" w:cs="Nirmala UI"/>
        </w:rPr>
        <w:t>इज</w:t>
      </w:r>
      <w:r>
        <w:rPr>
          <w:rFonts w:ascii="Times New Roman" w:hAnsi="Times New Roman" w:eastAsia="Times New Roman" w:cs="Times New Roman"/>
        </w:rPr>
        <w:t xml:space="preserve"> </w:t>
      </w:r>
      <w:r>
        <w:rPr>
          <w:rFonts w:ascii="Nirmala UI" w:hAnsi="Nirmala UI" w:eastAsia="Nirmala UI" w:cs="Nirmala UI"/>
        </w:rPr>
        <w:t>ट्रान्स्लेटेड</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डिफरेंट</w:t>
      </w:r>
      <w:r>
        <w:rPr>
          <w:rFonts w:ascii="Times New Roman" w:hAnsi="Times New Roman" w:eastAsia="Times New Roman" w:cs="Times New Roman"/>
        </w:rPr>
        <w:t xml:space="preserve"> </w:t>
      </w:r>
      <w:r>
        <w:rPr>
          <w:rFonts w:ascii="Nirmala UI" w:hAnsi="Nirmala UI" w:eastAsia="Nirmala UI" w:cs="Nirmala UI"/>
        </w:rPr>
        <w:t>वेज़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रिप्रेज़ेन्ट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मीनिंग।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लास्ट</w:t>
      </w:r>
      <w:r>
        <w:rPr>
          <w:rFonts w:ascii="Times New Roman" w:hAnsi="Times New Roman" w:eastAsia="Times New Roman" w:cs="Times New Roman"/>
        </w:rPr>
        <w:t xml:space="preserve"> </w:t>
      </w:r>
      <w:r>
        <w:rPr>
          <w:rFonts w:ascii="Nirmala UI" w:hAnsi="Nirmala UI" w:eastAsia="Nirmala UI" w:cs="Nirmala UI"/>
        </w:rPr>
        <w:t>वर्ड</w:t>
      </w:r>
      <w:r>
        <w:rPr>
          <w:rFonts w:ascii="Times New Roman" w:hAnsi="Times New Roman" w:eastAsia="Times New Roman" w:cs="Times New Roman"/>
        </w:rPr>
        <w:t xml:space="preserve"> </w:t>
      </w:r>
      <w:r>
        <w:rPr>
          <w:rFonts w:ascii="Nirmala UI" w:hAnsi="Nirmala UI" w:eastAsia="Nirmala UI" w:cs="Nirmala UI"/>
        </w:rPr>
        <w:t>अफ</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फ्रेज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वर्ड</w:t>
      </w:r>
      <w:r>
        <w:rPr>
          <w:rFonts w:ascii="Times New Roman" w:hAnsi="Times New Roman" w:eastAsia="Times New Roman" w:cs="Times New Roman"/>
        </w:rPr>
        <w:t xml:space="preserve"> “</w:t>
      </w:r>
      <w:r>
        <w:rPr>
          <w:rFonts w:ascii="Nirmala UI" w:hAnsi="Nirmala UI" w:eastAsia="Nirmala UI" w:cs="Nirmala UI"/>
        </w:rPr>
        <w:t>अबार</w:t>
      </w:r>
      <w:r>
        <w:rPr>
          <w:rFonts w:ascii="Times New Roman" w:hAnsi="Times New Roman" w:eastAsia="Times New Roman" w:cs="Times New Roman"/>
        </w:rPr>
        <w:t xml:space="preserve">,” </w:t>
      </w:r>
      <w:r>
        <w:rPr>
          <w:rFonts w:ascii="Nirmala UI" w:hAnsi="Nirmala UI" w:eastAsia="Nirmala UI" w:cs="Nirmala UI"/>
        </w:rPr>
        <w:t>इज</w:t>
      </w:r>
      <w:r>
        <w:rPr>
          <w:rFonts w:ascii="Times New Roman" w:hAnsi="Times New Roman" w:eastAsia="Times New Roman" w:cs="Times New Roman"/>
        </w:rPr>
        <w:t xml:space="preserve"> </w:t>
      </w:r>
      <w:r>
        <w:rPr>
          <w:rFonts w:ascii="Nirmala UI" w:hAnsi="Nirmala UI" w:eastAsia="Nirmala UI" w:cs="Nirmala UI"/>
        </w:rPr>
        <w:t>ईदर</w:t>
      </w:r>
      <w:r>
        <w:rPr>
          <w:rFonts w:ascii="Times New Roman" w:hAnsi="Times New Roman" w:eastAsia="Times New Roman" w:cs="Times New Roman"/>
        </w:rPr>
        <w:t xml:space="preserve"> </w:t>
      </w:r>
      <w:r>
        <w:rPr>
          <w:rFonts w:ascii="Nirmala UI" w:hAnsi="Nirmala UI" w:eastAsia="Nirmala UI" w:cs="Nirmala UI"/>
        </w:rPr>
        <w:t>रिप्रेज़ेन्टेड</w:t>
      </w:r>
      <w:r>
        <w:rPr>
          <w:rFonts w:ascii="Times New Roman" w:hAnsi="Times New Roman" w:eastAsia="Times New Roman" w:cs="Times New Roman"/>
        </w:rPr>
        <w:t xml:space="preserve"> </w:t>
      </w:r>
      <w:r>
        <w:rPr>
          <w:rFonts w:ascii="Nirmala UI" w:hAnsi="Nirmala UI" w:eastAsia="Nirmala UI" w:cs="Nirmala UI"/>
        </w:rPr>
        <w:t>ऐज़</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टेन</w:t>
      </w:r>
      <w:r>
        <w:rPr>
          <w:rFonts w:ascii="Times New Roman" w:hAnsi="Times New Roman" w:eastAsia="Times New Roman" w:cs="Times New Roman"/>
        </w:rPr>
        <w:t>,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ओवर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फोर्टी</w:t>
      </w:r>
      <w:r>
        <w:rPr>
          <w:rFonts w:ascii="Times New Roman" w:hAnsi="Times New Roman" w:eastAsia="Times New Roman" w:cs="Times New Roman"/>
        </w:rPr>
        <w:t xml:space="preserve">, </w:t>
      </w:r>
      <w:r>
        <w:rPr>
          <w:rFonts w:ascii="Nirmala UI" w:hAnsi="Nirmala UI" w:eastAsia="Nirmala UI" w:cs="Nirmala UI"/>
        </w:rPr>
        <w:t>अन्द</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ऐज़</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ओवर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इसाइआह।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मीनिंग</w:t>
      </w:r>
      <w:r>
        <w:rPr>
          <w:rFonts w:ascii="Times New Roman" w:hAnsi="Times New Roman" w:eastAsia="Times New Roman" w:cs="Times New Roman"/>
        </w:rPr>
        <w:t xml:space="preserve"> </w:t>
      </w:r>
      <w:r>
        <w:rPr>
          <w:rFonts w:ascii="Nirmala UI" w:hAnsi="Nirmala UI" w:eastAsia="Nirmala UI" w:cs="Nirmala UI"/>
        </w:rPr>
        <w:t>इज</w:t>
      </w:r>
      <w:r>
        <w:rPr>
          <w:rFonts w:ascii="Times New Roman" w:hAnsi="Times New Roman" w:eastAsia="Times New Roman" w:cs="Times New Roman"/>
        </w:rPr>
        <w:t xml:space="preserve"> </w:t>
      </w:r>
      <w:r>
        <w:rPr>
          <w:rFonts w:ascii="Nirmala UI" w:hAnsi="Nirmala UI" w:eastAsia="Nirmala UI" w:cs="Nirmala UI"/>
        </w:rPr>
        <w:t>एसेंशियली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ईच</w:t>
      </w:r>
      <w:r>
        <w:rPr>
          <w:rFonts w:ascii="Times New Roman" w:hAnsi="Times New Roman" w:eastAsia="Times New Roman" w:cs="Times New Roman"/>
        </w:rPr>
        <w:t xml:space="preserve"> </w:t>
      </w:r>
      <w:r>
        <w:rPr>
          <w:rFonts w:ascii="Nirmala UI" w:hAnsi="Nirmala UI" w:eastAsia="Nirmala UI" w:cs="Nirmala UI"/>
        </w:rPr>
        <w:t>अफ</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रेफरेंसेज़</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इसाइआह</w:t>
      </w:r>
      <w:r>
        <w:rPr>
          <w:rFonts w:ascii="Times New Roman" w:hAnsi="Times New Roman" w:eastAsia="Times New Roman" w:cs="Times New Roman"/>
        </w:rPr>
        <w:t xml:space="preserve"> </w:t>
      </w:r>
      <w:r>
        <w:rPr>
          <w:rFonts w:ascii="Nirmala UI" w:hAnsi="Nirmala UI" w:eastAsia="Nirmala UI" w:cs="Nirmala UI"/>
        </w:rPr>
        <w:t>देयर</w:t>
      </w:r>
      <w:r>
        <w:rPr>
          <w:rFonts w:ascii="Times New Roman" w:hAnsi="Times New Roman" w:eastAsia="Times New Roman" w:cs="Times New Roman"/>
        </w:rPr>
        <w:t xml:space="preserve"> </w:t>
      </w:r>
      <w:r>
        <w:rPr>
          <w:rFonts w:ascii="Nirmala UI" w:hAnsi="Nirmala UI" w:eastAsia="Nirmala UI" w:cs="Nirmala UI"/>
        </w:rPr>
        <w:t>इज</w:t>
      </w:r>
      <w:r>
        <w:rPr>
          <w:rFonts w:ascii="Times New Roman" w:hAnsi="Times New Roman" w:eastAsia="Times New Roman" w:cs="Times New Roman"/>
        </w:rPr>
        <w:t xml:space="preserve"> </w:t>
      </w:r>
      <w:r>
        <w:rPr>
          <w:rFonts w:ascii="Nirmala UI" w:hAnsi="Nirmala UI" w:eastAsia="Nirmala UI" w:cs="Nirmala UI"/>
        </w:rPr>
        <w:t>ऑल्सो</w:t>
      </w:r>
      <w:r>
        <w:rPr>
          <w:rFonts w:ascii="Times New Roman" w:hAnsi="Times New Roman" w:eastAsia="Times New Roman" w:cs="Times New Roman"/>
        </w:rPr>
        <w:t xml:space="preserve"> </w:t>
      </w:r>
      <w:r>
        <w:rPr>
          <w:rFonts w:ascii="Nirmala UI" w:hAnsi="Nirmala UI" w:eastAsia="Nirmala UI" w:cs="Nirmala UI"/>
        </w:rPr>
        <w:t>अनदर</w:t>
      </w:r>
      <w:r>
        <w:rPr>
          <w:rFonts w:ascii="Times New Roman" w:hAnsi="Times New Roman" w:eastAsia="Times New Roman" w:cs="Times New Roman"/>
        </w:rPr>
        <w:t xml:space="preserve"> </w:t>
      </w:r>
      <w:r>
        <w:rPr>
          <w:rFonts w:ascii="Nirmala UI" w:hAnsi="Nirmala UI" w:eastAsia="Nirmala UI" w:cs="Nirmala UI"/>
        </w:rPr>
        <w:t>प्रोफेटिक</w:t>
      </w:r>
      <w:r>
        <w:rPr>
          <w:rFonts w:ascii="Times New Roman" w:hAnsi="Times New Roman" w:eastAsia="Times New Roman" w:cs="Times New Roman"/>
        </w:rPr>
        <w:t xml:space="preserve"> </w:t>
      </w:r>
      <w:r>
        <w:rPr>
          <w:rFonts w:ascii="Nirmala UI" w:hAnsi="Nirmala UI" w:eastAsia="Nirmala UI" w:cs="Nirmala UI"/>
        </w:rPr>
        <w:t>कनेक्शन</w:t>
      </w:r>
      <w:r>
        <w:rPr>
          <w:rFonts w:ascii="Times New Roman" w:hAnsi="Times New Roman" w:eastAsia="Times New Roman" w:cs="Times New Roman"/>
        </w:rPr>
        <w:t xml:space="preserve"> </w:t>
      </w:r>
      <w:r>
        <w:rPr>
          <w:rFonts w:ascii="Nirmala UI" w:hAnsi="Nirmala UI" w:eastAsia="Nirmala UI" w:cs="Nirmala UI"/>
        </w:rPr>
        <w:t>बिटवीन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रेफरेंसेज़।</w:t>
      </w:r>
    </w:p>
    <w:p>
      <w:pPr>
        <w:pStyle w:val="ArticleBody"/>
        <w:jc w:val="left"/>
      </w:pPr>
      <w:r>
        <w:rPr>
          <w:rFonts w:ascii="Times New Roman" w:hAnsi="Times New Roman" w:eastAsia="Times New Roman" w:cs="Times New Roman"/>
        </w:rPr>
        <w:t>Nsɛm a ɛwɔ Yesaia mu no baa mu bere a Asiria hene dii Yuda so nkonim na ɔbaa Yerusalem, nanso wanni kurow no ankasa so da. Ɔforo baa “kɔn no so,” nanso wannidi “ti no” so da. Saa nkɔmhyɛ koro no ara mu no, Yesaia de nkɔmhyɛ mu agyiraehyɛde kyerɛ nea “ti” gyina hɔ ma, na ɔkyerɛ “ti” no sɛ ahenni no kurowpɔn, na ahenni no hene nso ne “ti” no. Ɔde adansefo baanu ma de si nkɔmhyɛ mu nokware a ɛkyerɛ sɛ ti yɛ hene ne ahenni no so dua, na afei ɔde ahintasɛm mu kasa kyerɛ sɛ, sɛ nkɔmhyɛ suani no rentie na rente saa nokware yi ase a, wɔremma no nsi pi. Saa ahintasɛm mu nkyekyɛm no ka saa nkɔmhyɛ koro no ara ho, a ɛkyerɛ sɛ atifi fam hene no bɛyiri afa mu na watwa akɔ, nanso ɛbɛba “kɔn no so” nko ara.</w:t>
      </w:r>
    </w:p>
    <w:p>
      <w:pPr>
        <w:pStyle w:val="ArticleScripture"/>
        <w:jc w:val="left"/>
      </w:pPr>
      <w:r>
        <w:rPr>
          <w:rFonts w:ascii="Times New Roman" w:hAnsi="Times New Roman" w:eastAsia="Times New Roman" w:cs="Times New Roman"/>
        </w:rPr>
        <w:t>Car le chef de la Syrie, c’est Damas, et le chef de Damas, c’est Retsin; et dans soixante-cinq ans Éphraïm sera brisé, de sorte qu’il ne soit plus un peuple. Et le chef d’Éphraïm, c’est Samarie, et le chef de Samarie, c’est le fils de Remalia. Si vous ne croyez pas, assurément vous ne serez pas affermis. Ésaïe 7:8, 9.</w:t>
      </w:r>
    </w:p>
    <w:p>
      <w:pPr>
        <w:pStyle w:val="ArticleBody"/>
        <w:jc w:val="left"/>
      </w:pPr>
      <w:r>
        <w:rPr>
          <w:rFonts w:ascii="Times New Roman" w:hAnsi="Times New Roman" w:eastAsia="Times New Roman" w:cs="Times New Roman"/>
        </w:rPr>
        <w:t>La « tête » de la nation de Syrie était sa ville capitale, « Damas », et la « tête » de « Damas » (la ville capitale) était « Retsîn », le roi de Syrie. De même, la « tête » de la nation d’Éphraïm était sa ville capitale, « Samarie », et la « tête » de « Samarie » (la ville capitale) était « le fils de Remalia » (Péqah), le roi de Samarie. Dans la même prophétie, au chapitre suivant, au verset huit, le roi Sennachérib d’Assyrie entoura Jérusalem, et, au verset huit, son encerclement de Jérusalem est présenté comme montant jusqu’au cou.</w:t>
      </w:r>
    </w:p>
    <w:p>
      <w:pPr>
        <w:pStyle w:val="ArticleBody"/>
        <w:jc w:val="left"/>
      </w:pPr>
      <w:r>
        <w:rPr>
          <w:rFonts w:ascii="Times New Roman" w:hAnsi="Times New Roman" w:eastAsia="Times New Roman" w:cs="Times New Roman"/>
        </w:rPr>
        <w:t>Les versets sept et huit, qui établissent, sur la base de deux témoins, le symbole prophétique d’une « tête », représentant à la fois le roi et la capitale de la nation de ce roi, constituent la prophétie de soixante-cinq ans qui identifie le point de départ des deux prophéties de deux mille cinq cent vingt ans contre les royaumes du nord et du sud d’Israël. C’est donc un verset très complexe, car il se rattache au verset dix, et au verset quarante, du chapitre onze de Daniel, lesquels identifient eux aussi des engagements où un roi du nord attaque un roi du sud, tout comme Sennachérib, un roi du nord, attaqua Juda, un roi du sud, au verset huit du chapitre huit d’Ésaïe.</w:t>
      </w:r>
    </w:p>
    <w:p>
      <w:pPr>
        <w:pStyle w:val="ArticleBody"/>
        <w:jc w:val="left"/>
      </w:pPr>
      <w:r>
        <w:rPr>
          <w:rFonts w:ascii="Times New Roman" w:hAnsi="Times New Roman" w:eastAsia="Times New Roman" w:cs="Times New Roman"/>
        </w:rPr>
        <w:t>کلیدی که این درگیری‌های پادشاهان شمال و جنوب را به یکدیگر پیوند می‌دهد، «سر» و «طغیان کردن و گذشتن» است. هنگامی که پادشاه شمال در آیهٔ ده، از باب یازدهم، بر پادشاه جنوب تلافی می‌کند، در نبرد پیروز می‌شود، اما «سر» را وا می‌گذارد، زیرا «می‌آید، و طغیان می‌کند، و عبور می‌نماید» «تا» به «دژ» پادشاه جنوب. تاریخِ آیهٔ ده نمایانگر پیروزیِ پادشاه شمال بر پادشاه جنوب است، اما او به مصر (آن دژ)، یعنی پایتخت—«سر»—داخل نمی‌شود.</w:t>
      </w:r>
    </w:p>
    <w:p>
      <w:pPr>
        <w:pStyle w:val="ArticleBody"/>
        <w:jc w:val="left"/>
      </w:pPr>
      <w:r>
        <w:rPr>
          <w:rFonts w:ascii="Times New Roman" w:hAnsi="Times New Roman" w:eastAsia="Times New Roman" w:cs="Times New Roman"/>
        </w:rPr>
        <w:t>Nge nguwoho wa dzongeni wa tshipembe o no kunda khosi ya devhula kha ndimana dza sumbe na dza malo, o “dzhena qhobosheanini ha khosi ya tshipembe, nahone” a “kunda, nahone” a “hwala vhathubiwa” a vhuisa “Egipita.” Kha gundo ḽa u lifhedza ḽa khosi ya tshipembe, a yo ngo dzhena Egipita, zwenezwo zwa imela uri musi Soviet Union i tshi kokodzelwa kule nga 1989, Russia, muḓi wayo muhulwane—ṱhoho yayo—yo sala yo ima. “Arali ni sa nga tenda, zwa vhukuma ni nga si khwaṱhisedzwe.” Ndi Russia, i imelwa sa khosi ya devhula kha ndimana dza fumithihi na dza fumimbili, ine ya kunda nndwa ya shango ḽa mukano, ḽine kale ḽa vha ḽi Raphia, nahone ṋamusi ndi Ukraine.</w:t>
      </w:r>
    </w:p>
    <w:p>
      <w:pPr>
        <w:pStyle w:val="ArticleScripture"/>
        <w:jc w:val="left"/>
      </w:pPr>
      <w:r>
        <w:rPr>
          <w:rFonts w:ascii="Times New Roman" w:hAnsi="Times New Roman" w:eastAsia="Times New Roman" w:cs="Times New Roman"/>
        </w:rPr>
        <w:t>“‘LE VERSER 10. Mais ses fils seront excités, et assembleront une multitude de grandes forces ; et l’un d’eux viendra certainement, débordera, et passera au travers ; puis il reviendra, et sera excité, jusqu’à sa forteresse.’”</w:t>
      </w:r>
    </w:p>
    <w:p>
      <w:pPr>
        <w:pStyle w:val="ArticleScripture"/>
        <w:jc w:val="left"/>
      </w:pPr>
      <w:r>
        <w:rPr>
          <w:rFonts w:ascii="Times New Roman" w:hAnsi="Times New Roman" w:eastAsia="Times New Roman" w:cs="Times New Roman"/>
        </w:rPr>
        <w:t>«Првиот дел од овој стих говори за синови, во множина; последниот дел, за еден, во еднина. Синовите на Селевк Калиник беа Селевк Керавн и Антиох Магнус. И двајцата со ревност се зафатија со делото на оправдување и одмаздување за каузата на својот татко и на својата земја. Постариот од нив, Селевк, најнапред го зазеде престолот. Тој собра големо мноштво за да ги поврати владенијата на својот татко; но, бидејќи беше слаб и малодушен кнез, и по тело и по имот, лишен од пари и неспособен да ја одржи својата војска во послушност, беше отруен од двајца свои генерали по бесславно владеење од две или три години. Неговиот поспособен брат, Антиох Магнус, потоа беше прогласен за цар; тој, преземајќи ја командата над војската, повторно ја зазеде Селевкија и ја поврати Сирија, правејќи се господар на некои места со договор, а на други со сила на оружјето. Потоа следеше примирје, при кое двете страни преговараа за мир, а сепак се подготвуваа за војна; по што Антиох се врати и во битка го совлада Николас, египетскиот генерал, и размислуваше да го нападне самиот Египет. Еве го „едниот“ што навистина требаше да надојде и да помине.» Uriah Smith, Daniel and the Revelation, 253.</w:t>
      </w:r>
    </w:p>
    <w:p>
      <w:pPr>
        <w:pStyle w:val="ArticleBody"/>
        <w:jc w:val="left"/>
      </w:pPr>
      <w:r>
        <w:rPr>
          <w:rFonts w:ascii="Times New Roman" w:hAnsi="Times New Roman" w:eastAsia="Times New Roman" w:cs="Times New Roman"/>
        </w:rPr>
        <w:t>انهيار الاتحاد السوفيتي في عام 1989 مثَّل «وقت النهاية»، والابنان المذكوران في الآية يمثّلان العَلَمتين النبويتين لريغان وبوش الأب. ومنذ «وقت النهاية» في سنة 1798، حيث بدأت الآية الأربعون من دانيال الحادي عشر، جرى نسيان زانية روما؛ إذ إنها، بصفتها إيزابل، تبقى في السامرة، بينما يواجه زوجُها آخابُ إيليا على جبل الكرمل. كانت مختفية، لكنها كانت في الخفاء تحرّك الخيوط، كما كانت تفعل في الحرب العالمية الأولى والحرب العالمية الثانية. وزوجها هو جيشها الوكيل ضد ملك الجنوب. وحين انتقمت في عام 1989، جاءت هي، بصفتها ملك الشمال، بمركباتٍ وسفنٍ وفرسان.</w:t>
      </w:r>
    </w:p>
    <w:p>
      <w:pPr>
        <w:pStyle w:val="ArticleScripture"/>
        <w:jc w:val="left"/>
      </w:pPr>
      <w:r>
        <w:rPr>
          <w:rFonts w:ascii="Times New Roman" w:hAnsi="Times New Roman" w:eastAsia="Times New Roman" w:cs="Times New Roman"/>
        </w:rPr>
        <w:t>At the time of the end the king of the south shall push at him; and the king of the north shall come against him like a whirlwind, with chariots, and with horsemen, and with many ships; and he shall enter into the countries, and shall overflow and pass through. Daniel 11:40.</w:t>
      </w:r>
    </w:p>
    <w:p>
      <w:pPr>
        <w:pStyle w:val="ArticleBody"/>
        <w:jc w:val="left"/>
      </w:pP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ᎠᏚᎵᏍᎬ</w:t>
      </w:r>
      <w:r>
        <w:rPr>
          <w:rFonts w:ascii="Times New Roman" w:hAnsi="Times New Roman" w:eastAsia="Times New Roman" w:cs="Times New Roman"/>
        </w:rPr>
        <w:t xml:space="preserve"> </w:t>
      </w:r>
      <w:r>
        <w:rPr>
          <w:rFonts w:ascii="Gadugi" w:hAnsi="Gadugi" w:eastAsia="Gadugi" w:cs="Gadugi"/>
        </w:rPr>
        <w:t>ᎤᏙᎯᏳᎯᏍᏗᏱ</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ᎠᏥᏪᏎᎭ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ᎢᎬᏱᏗ</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ᏤᎵ</w:t>
      </w:r>
      <w:r>
        <w:rPr>
          <w:rFonts w:ascii="Times New Roman" w:hAnsi="Times New Roman" w:eastAsia="Times New Roman" w:cs="Times New Roman"/>
        </w:rPr>
        <w:t xml:space="preserve"> </w:t>
      </w:r>
      <w:r>
        <w:rPr>
          <w:rFonts w:ascii="Gadugi" w:hAnsi="Gadugi" w:eastAsia="Gadugi" w:cs="Gadugi"/>
        </w:rPr>
        <w:t>ᎠᏂᏍᏓᏩᏗᏒ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ᎠᏂᎩᎵᏲᎯ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ᏧᏄᏍᏛ</w:t>
      </w:r>
      <w:r>
        <w:rPr>
          <w:rFonts w:ascii="Times New Roman" w:hAnsi="Times New Roman" w:eastAsia="Times New Roman" w:cs="Times New Roman"/>
        </w:rPr>
        <w:t xml:space="preserve"> </w:t>
      </w:r>
      <w:r>
        <w:rPr>
          <w:rFonts w:ascii="Gadugi" w:hAnsi="Gadugi" w:eastAsia="Gadugi" w:cs="Gadugi"/>
        </w:rPr>
        <w:t>ᎠᏂᏍᏓᏩᏗᏒ</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ᏧᏄᏍᏛ</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ᎢᎬᏱᏗ</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ᎠᏥᏁᎢᏍᏗ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ᎠᎹᏰᎳᏗᏍᎬ</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ᎠᎹᏰᎳᏗᏍᎬ</w:t>
      </w:r>
      <w:r>
        <w:rPr>
          <w:rFonts w:ascii="Times New Roman" w:hAnsi="Times New Roman" w:eastAsia="Times New Roman" w:cs="Times New Roman"/>
        </w:rPr>
        <w:t xml:space="preserve"> </w:t>
      </w:r>
      <w:r>
        <w:rPr>
          <w:rFonts w:ascii="Gadugi" w:hAnsi="Gadugi" w:eastAsia="Gadugi" w:cs="Gadugi"/>
        </w:rPr>
        <w:t>ᎠᏍᏗ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ᏥᏏᏇᎵ</w:t>
      </w:r>
      <w:r>
        <w:rPr>
          <w:rFonts w:ascii="Times New Roman" w:hAnsi="Times New Roman" w:eastAsia="Times New Roman" w:cs="Times New Roman"/>
        </w:rPr>
        <w:t xml:space="preserve"> </w:t>
      </w:r>
      <w:r>
        <w:rPr>
          <w:rFonts w:ascii="Gadugi" w:hAnsi="Gadugi" w:eastAsia="Gadugi" w:cs="Gadugi"/>
        </w:rPr>
        <w:t>ᎬᏩᏙᎵᏍᏗ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ᏧᏂᎯᏍᏗ</w:t>
      </w:r>
      <w:r>
        <w:rPr>
          <w:rFonts w:ascii="Times New Roman" w:hAnsi="Times New Roman" w:eastAsia="Times New Roman" w:cs="Times New Roman"/>
        </w:rPr>
        <w:t xml:space="preserve"> </w:t>
      </w:r>
      <w:r>
        <w:rPr>
          <w:rFonts w:ascii="Gadugi" w:hAnsi="Gadugi" w:eastAsia="Gadugi" w:cs="Gadugi"/>
        </w:rPr>
        <w:t>ᏗᎬᏩᏁᎬ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ᏗᎬᏩᏚᎦ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ᏂᎬᏩᏂᏲᎱᏍᏗ</w:t>
      </w:r>
      <w:r>
        <w:rPr>
          <w:rFonts w:ascii="Times New Roman" w:hAnsi="Times New Roman" w:eastAsia="Times New Roman" w:cs="Times New Roman"/>
        </w:rPr>
        <w:t xml:space="preserve"> </w:t>
      </w:r>
      <w:r>
        <w:rPr>
          <w:rFonts w:ascii="Gadugi" w:hAnsi="Gadugi" w:eastAsia="Gadugi" w:cs="Gadugi"/>
        </w:rPr>
        <w:t>ᏥᏏᏇᎵ</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ᎤᏓᏛᏂᏗ</w:t>
      </w:r>
      <w:r>
        <w:rPr>
          <w:rFonts w:ascii="Times New Roman" w:hAnsi="Times New Roman" w:eastAsia="Times New Roman" w:cs="Times New Roman"/>
        </w:rPr>
        <w:t xml:space="preserve">, </w:t>
      </w:r>
      <w:r>
        <w:rPr>
          <w:rFonts w:ascii="Gadugi" w:hAnsi="Gadugi" w:eastAsia="Gadugi" w:cs="Gadugi"/>
        </w:rPr>
        <w:t>ᎠᏂᎯᏍᏗ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1989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ᎠᎹᏰᎳᏗᏍᎬ</w:t>
      </w:r>
      <w:r>
        <w:rPr>
          <w:rFonts w:ascii="Times New Roman" w:hAnsi="Times New Roman" w:eastAsia="Times New Roman" w:cs="Times New Roman"/>
        </w:rPr>
        <w:t xml:space="preserve"> </w:t>
      </w:r>
      <w:r>
        <w:rPr>
          <w:rFonts w:ascii="Gadugi" w:hAnsi="Gadugi" w:eastAsia="Gadugi" w:cs="Gadugi"/>
        </w:rPr>
        <w:t>ᎢᎬᏱᏗ</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ᏧᏄᏍᏛ</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ᏆᏇᎢ</w:t>
      </w:r>
      <w:r>
        <w:rPr>
          <w:rFonts w:ascii="Times New Roman" w:hAnsi="Times New Roman" w:eastAsia="Times New Roman" w:cs="Times New Roman"/>
        </w:rPr>
        <w:t xml:space="preserve"> </w:t>
      </w:r>
      <w:r>
        <w:rPr>
          <w:rFonts w:ascii="Gadugi" w:hAnsi="Gadugi" w:eastAsia="Gadugi" w:cs="Gadugi"/>
        </w:rPr>
        <w:t>ᎠᏁᎳᎩ</w:t>
      </w:r>
      <w:r>
        <w:rPr>
          <w:rFonts w:ascii="Times New Roman" w:hAnsi="Times New Roman" w:eastAsia="Times New Roman" w:cs="Times New Roman"/>
        </w:rPr>
        <w:t xml:space="preserve"> </w:t>
      </w:r>
      <w:r>
        <w:rPr>
          <w:rFonts w:ascii="Gadugi" w:hAnsi="Gadugi" w:eastAsia="Gadugi" w:cs="Gadugi"/>
        </w:rPr>
        <w:t>ᎠᏂᏓᏟᎶᏍᏗᏍᎬ</w:t>
      </w:r>
      <w:r>
        <w:rPr>
          <w:rFonts w:ascii="Times New Roman" w:hAnsi="Times New Roman" w:eastAsia="Times New Roman" w:cs="Times New Roman"/>
        </w:rPr>
        <w:t xml:space="preserve"> </w:t>
      </w:r>
      <w:r>
        <w:rPr>
          <w:rFonts w:ascii="Gadugi" w:hAnsi="Gadugi" w:eastAsia="Gadugi" w:cs="Gadugi"/>
        </w:rPr>
        <w:t>ᎠᎵᏍᎪᎸᏔᏅ</w:t>
      </w:r>
      <w:r>
        <w:rPr>
          <w:rFonts w:ascii="Times New Roman" w:hAnsi="Times New Roman" w:eastAsia="Times New Roman" w:cs="Times New Roman"/>
        </w:rPr>
        <w:t xml:space="preserve"> </w:t>
      </w:r>
      <w:r>
        <w:rPr>
          <w:rFonts w:ascii="Gadugi" w:hAnsi="Gadugi" w:eastAsia="Gadugi" w:cs="Gadugi"/>
        </w:rPr>
        <w:t>ᎤᎾᏛᏁᎸ</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ᏒᏫᏱᏛ</w:t>
      </w:r>
      <w:r>
        <w:rPr>
          <w:rFonts w:ascii="Times New Roman" w:hAnsi="Times New Roman" w:eastAsia="Times New Roman" w:cs="Times New Roman"/>
        </w:rPr>
        <w:t xml:space="preserve"> </w:t>
      </w:r>
      <w:r>
        <w:rPr>
          <w:rFonts w:ascii="Gadugi" w:hAnsi="Gadugi" w:eastAsia="Gadugi" w:cs="Gadugi"/>
        </w:rPr>
        <w:t>ᎤᎵᎪᎯᏍᏔᏁᎸ</w:t>
      </w:r>
      <w:r>
        <w:rPr>
          <w:rFonts w:ascii="Times New Roman" w:hAnsi="Times New Roman" w:eastAsia="Times New Roman" w:cs="Times New Roman"/>
        </w:rPr>
        <w:t xml:space="preserve"> </w:t>
      </w:r>
      <w:r>
        <w:rPr>
          <w:rFonts w:ascii="Gadugi" w:hAnsi="Gadugi" w:eastAsia="Gadugi" w:cs="Gadugi"/>
        </w:rPr>
        <w:t>ᎤᏙᎯᏳᎯᏍᏔᏁ</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ᏲᏏᎠ</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ᏚᏙᎬ</w:t>
      </w:r>
      <w:r>
        <w:rPr>
          <w:rFonts w:ascii="Times New Roman" w:hAnsi="Times New Roman" w:eastAsia="Times New Roman" w:cs="Times New Roman"/>
        </w:rPr>
        <w:t xml:space="preserve"> </w:t>
      </w:r>
      <w:r>
        <w:rPr>
          <w:rFonts w:ascii="Gadugi" w:hAnsi="Gadugi" w:eastAsia="Gadugi" w:cs="Gadugi"/>
        </w:rPr>
        <w:t>ᎤᏪᎧᏁ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Milagroĩ versíkulo diezpe Daniel kapítulo oncepegua oñekumpli vaʼekue oñehaʼãjey pe historia versíkulo cuarenta mokõihápe, upépe ojehechauka hag̃ua pe ára paha 1989-pe. Versíkulo seis guive nueve peve ohechauka pe historia ogueru vaʼekue pe ára pahápe, ha upéva ojehechauka versíkulo cuarenta peteĩha pehẽme. Daniel kapítulo once versíkulo cinco guive diez peve ohechauka porãite Daniel once versíkulo cuarenta pe historia; Sister White heʼi haguére: “heta pe historia oñekumpli vaʼekue Daniel oncepe oñehaʼãjeyta.”</w:t>
      </w:r>
    </w:p>
    <w:p>
      <w:pPr>
        <w:pStyle w:val="ArticleBody"/>
        <w:jc w:val="left"/>
      </w:pPr>
      <w:r>
        <w:rPr>
          <w:rFonts w:ascii="Times New Roman" w:hAnsi="Times New Roman" w:eastAsia="Times New Roman" w:cs="Times New Roman"/>
        </w:rPr>
        <w:t>Les versets un à quatre de Daniel onze identifient Cyrus comme le second roi de la nation à deux cornes au temps de la fin, dans les derniers jours. Le « temps de la fin », dans les derniers jours, était 1989, et le second président, représenté par Cyrus, établit une séquence prophétique qui permet à l’étudiant de la prophétie de compter jusqu’au sixième président après 1989, lequel serait le président le plus riche et qui provoquerait (réveillerait) les puissances mondialistes du dragon, qu’il s’agisse des mondialistes du monde ou de ceux des États-Unis. Cette histoire prophétique fait ensuite un bond jusqu’au septième royaume de la prophétie biblique, les dix rois des Nations Unies, et identifie son roi principal et premier, tel qu’il est représenté par Alexandre le Grand (signifiant « le Guerrier des hommes »), ainsi que la dissolution finale de son royaume lorsque les quatre vents de l’islam seront pleinement relâchés à la clôture du temps de grâce de l’humanité.</w:t>
      </w:r>
    </w:p>
    <w:p>
      <w:pPr>
        <w:pStyle w:val="ArticleBody"/>
        <w:jc w:val="left"/>
      </w:pPr>
      <w:r>
        <w:rPr>
          <w:rFonts w:ascii="Times New Roman" w:hAnsi="Times New Roman" w:eastAsia="Times New Roman" w:cs="Times New Roman"/>
        </w:rPr>
        <w:t>Mbe mavesi a vhuṱanu u swika kha a vhuṱahe a sumbedza ḓivhazwakale yo imiwaho nga tshifhinga tsho ranga phanḓa ha u dzheniswa ha vhupapa khuluṋoni nga 538, ngauri u thoma maanḓa ane a fanela u vha khosi ya devhula a tea u kunda zwikhakhathi zwiraru zwa tshigwada tsha shango, sa zwe Seleucus a ita, we a mbo ḓi dzheniswa sa khosi ya devhula. Nga murahu hazwo, lwa miṅwaha miraru na hafu, sa zwe zwa imelwa nga miṅwaha ya vhukuma ya furaru na mitanu, khosi ya devhula yo vhusa, u swika khosi ya tshipembe i tshi dzhena qhobosheaneni yayo na u mu fara, hune nga murahu a fa Egipita nga u wa e kha bere. Ngauralo, mavesi aya a sumbedza ḓivhazwakale ye ya fhela nga tshifhinga tsha vhufhelo nga 1798.</w:t>
      </w:r>
    </w:p>
    <w:p>
      <w:pPr>
        <w:pStyle w:val="ArticleBody"/>
        <w:jc w:val="left"/>
      </w:pP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अन्त्यकालको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पाँचौँदेखि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पदहरूसँग</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तीसौँदेखि</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इतिहासले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पददेखि</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पदसम्म</w:t>
      </w:r>
      <w:r>
        <w:rPr>
          <w:rFonts w:ascii="Times New Roman" w:hAnsi="Times New Roman" w:eastAsia="Times New Roman" w:cs="Times New Roman"/>
        </w:rPr>
        <w:t xml:space="preserve">, </w:t>
      </w:r>
      <w:r>
        <w:rPr>
          <w:rFonts w:ascii="Nirmala UI" w:hAnsi="Nirmala UI" w:eastAsia="Nirmala UI" w:cs="Nirmala UI"/>
        </w:rPr>
        <w:t>पङ्क्तिमाथि</w:t>
      </w:r>
      <w:r>
        <w:rPr>
          <w:rFonts w:ascii="Times New Roman" w:hAnsi="Times New Roman" w:eastAsia="Times New Roman" w:cs="Times New Roman"/>
        </w:rPr>
        <w:t xml:space="preserve"> </w:t>
      </w:r>
      <w:r>
        <w:rPr>
          <w:rFonts w:ascii="Nirmala UI" w:hAnsi="Nirmala UI" w:eastAsia="Nirmala UI" w:cs="Nirmala UI"/>
        </w:rPr>
        <w:t>पङ्क्ति</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पहिलोले</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नेताहरूलाई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La seconde ligne retrace l’histoire de l’élimination des trois obstacles, la période durant laquelle le roi du nord régna, ainsi que celui qui fut alors écarté en 1798, et jusqu’en 1989, ainsi que le second président, représenté dans la ligne précédente par Cyrus.</w:t>
      </w:r>
    </w:p>
    <w:p>
      <w:pPr>
        <w:pStyle w:val="ArticleBody"/>
        <w:jc w:val="left"/>
      </w:pPr>
      <w:r>
        <w:rPr>
          <w:rFonts w:ascii="Times New Roman" w:hAnsi="Times New Roman" w:eastAsia="Times New Roman" w:cs="Times New Roman"/>
        </w:rPr>
        <w:t>Vèsè onz ak douz yo reprezante yon twazyèm liy istwa ki rive apre prezidan rich ki nan vèsè de a, men nan yon moman apre efondreman Inyon Sovyetik la nan tan lafen an an 1989, epi yon kote anvan lwa dimanch lan Ozetazini jan sa reprezante nan vèsè sèz la.</w:t>
      </w:r>
    </w:p>
    <w:p>
      <w:pPr>
        <w:pStyle w:val="ArticleBody"/>
        <w:jc w:val="left"/>
      </w:pPr>
      <w:r>
        <w:rPr>
          <w:rFonts w:ascii="Nirmala UI" w:hAnsi="Nirmala UI" w:eastAsia="Nirmala UI" w:cs="Nirmala UI"/>
        </w:rPr>
        <w:t>୧୯୮୯ରେ</w:t>
      </w:r>
      <w:r>
        <w:rPr>
          <w:rFonts w:ascii="Times New Roman" w:hAnsi="Times New Roman" w:eastAsia="Times New Roman" w:cs="Times New Roman"/>
        </w:rPr>
        <w:t xml:space="preserve"> </w:t>
      </w:r>
      <w:r>
        <w:rPr>
          <w:rFonts w:ascii="Nirmala UI" w:hAnsi="Nirmala UI" w:eastAsia="Nirmala UI" w:cs="Nirmala UI"/>
        </w:rPr>
        <w:t>ଶେଷକାଳର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ପଙ୍କ୍ତିରେ</w:t>
      </w:r>
      <w:r>
        <w:rPr>
          <w:rFonts w:ascii="Times New Roman" w:hAnsi="Times New Roman" w:eastAsia="Times New Roman" w:cs="Times New Roman"/>
        </w:rPr>
        <w:t xml:space="preserve">, </w:t>
      </w:r>
      <w:r>
        <w:rPr>
          <w:rFonts w:ascii="Nirmala UI" w:hAnsi="Nirmala UI" w:eastAsia="Nirmala UI" w:cs="Nirmala UI"/>
        </w:rPr>
        <w:t>୨୦୧୬ରୁ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ଗ୍ଲୋବାଲିଷ୍ଟମାନଙ୍କୁ</w:t>
      </w:r>
      <w:r>
        <w:rPr>
          <w:rFonts w:ascii="Times New Roman" w:hAnsi="Times New Roman" w:eastAsia="Times New Roman" w:cs="Times New Roman"/>
        </w:rPr>
        <w:t xml:space="preserve"> </w:t>
      </w:r>
      <w:r>
        <w:rPr>
          <w:rFonts w:ascii="Nirmala UI" w:hAnsi="Nirmala UI" w:eastAsia="Nirmala UI" w:cs="Nirmala UI"/>
        </w:rPr>
        <w:t>ଉଦ୍ଦୀପିତ</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ସର୍ବାଧିକ</w:t>
      </w:r>
      <w:r>
        <w:rPr>
          <w:rFonts w:ascii="Times New Roman" w:hAnsi="Times New Roman" w:eastAsia="Times New Roman" w:cs="Times New Roman"/>
        </w:rPr>
        <w:t xml:space="preserve"> </w:t>
      </w:r>
      <w:r>
        <w:rPr>
          <w:rFonts w:ascii="Nirmala UI" w:hAnsi="Nirmala UI" w:eastAsia="Nirmala UI" w:cs="Nirmala UI"/>
        </w:rPr>
        <w:t>ସମ୍ପନ୍ନ</w:t>
      </w:r>
      <w:r>
        <w:rPr>
          <w:rFonts w:ascii="Times New Roman" w:hAnsi="Times New Roman" w:eastAsia="Times New Roman" w:cs="Times New Roman"/>
        </w:rPr>
        <w:t xml:space="preserve"> </w:t>
      </w:r>
      <w:r>
        <w:rPr>
          <w:rFonts w:ascii="Nirmala UI" w:hAnsi="Nirmala UI" w:eastAsia="Nirmala UI" w:cs="Nirmala UI"/>
        </w:rPr>
        <w:t>ରାଷ୍ଟ୍ରପତି</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ନେଇଯାଇଛି।</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ପଙ୍କ୍ତିରେ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୧୯୮୯</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ନେଇଯାଇଛି।</w:t>
      </w:r>
      <w:r>
        <w:rPr>
          <w:rFonts w:ascii="Times New Roman" w:hAnsi="Times New Roman" w:eastAsia="Times New Roman" w:cs="Times New Roman"/>
        </w:rPr>
        <w:t xml:space="preserve"> </w:t>
      </w:r>
      <w:r>
        <w:rPr>
          <w:rFonts w:ascii="Nirmala UI" w:hAnsi="Nirmala UI" w:eastAsia="Nirmala UI" w:cs="Nirmala UI"/>
        </w:rPr>
        <w:t>ଏଗାରୋ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ରାଫିଆର</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ସୀମାରେଖା</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ସମ୍ପ୍ରତି</w:t>
      </w:r>
      <w:r>
        <w:rPr>
          <w:rFonts w:ascii="Times New Roman" w:hAnsi="Times New Roman" w:eastAsia="Times New Roman" w:cs="Times New Roman"/>
        </w:rPr>
        <w:t xml:space="preserve"> </w:t>
      </w:r>
      <w:r>
        <w:rPr>
          <w:rFonts w:ascii="Nirmala UI" w:hAnsi="Nirmala UI" w:eastAsia="Nirmala UI" w:cs="Nirmala UI"/>
        </w:rPr>
        <w:t>ପରାଜିତ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ସେନାବଳକୁ</w:t>
      </w:r>
      <w:r>
        <w:rPr>
          <w:rFonts w:ascii="Times New Roman" w:hAnsi="Times New Roman" w:eastAsia="Times New Roman" w:cs="Times New Roman"/>
        </w:rPr>
        <w:t xml:space="preserve"> </w:t>
      </w:r>
      <w:r>
        <w:rPr>
          <w:rFonts w:ascii="Nirmala UI" w:hAnsi="Nirmala UI" w:eastAsia="Nirmala UI" w:cs="Nirmala UI"/>
        </w:rPr>
        <w:t>ପୁନଃ</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ଦକ୍ଷିଣର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ପରାଜିତ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ଷୋଳ</w:t>
      </w:r>
      <w:r>
        <w:rPr>
          <w:rFonts w:ascii="Times New Roman" w:hAnsi="Times New Roman" w:eastAsia="Times New Roman" w:cs="Times New Roman"/>
        </w:rPr>
        <w:t xml:space="preserve"> </w:t>
      </w:r>
      <w:r>
        <w:rPr>
          <w:rFonts w:ascii="Nirmala UI" w:hAnsi="Nirmala UI" w:eastAsia="Nirmala UI" w:cs="Nirmala UI"/>
        </w:rPr>
        <w:t>ନମ୍ବର</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ରବିବାରୀୟ</w:t>
      </w:r>
      <w:r>
        <w:rPr>
          <w:rFonts w:ascii="Times New Roman" w:hAnsi="Times New Roman" w:eastAsia="Times New Roman" w:cs="Times New Roman"/>
        </w:rPr>
        <w:t xml:space="preserve"> </w:t>
      </w:r>
      <w:r>
        <w:rPr>
          <w:rFonts w:ascii="Nirmala UI" w:hAnsi="Nirmala UI" w:eastAsia="Nirmala UI" w:cs="Nirmala UI"/>
        </w:rPr>
        <w:t>ଆଇନର</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ପ୍ରକ୍ସି</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୧୯୮୯ରୁ</w:t>
      </w:r>
      <w:r>
        <w:rPr>
          <w:rFonts w:ascii="Times New Roman" w:hAnsi="Times New Roman" w:eastAsia="Times New Roman" w:cs="Times New Roman"/>
        </w:rPr>
        <w:t xml:space="preserve"> </w:t>
      </w:r>
      <w:r>
        <w:rPr>
          <w:rFonts w:ascii="Nirmala UI" w:hAnsi="Nirmala UI" w:eastAsia="Nirmala UI" w:cs="Nirmala UI"/>
        </w:rPr>
        <w:t>ରବିବାରୀୟ</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ଆଠଜଣ</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ଶେଷଜଣ</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ଏହେତୁ</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ଆଠମ</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ନିର୍ବାଚନ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ଘଟିବା</w:t>
      </w:r>
      <w:r>
        <w:rPr>
          <w:rFonts w:ascii="Times New Roman" w:hAnsi="Times New Roman" w:eastAsia="Times New Roman" w:cs="Times New Roman"/>
        </w:rPr>
        <w:t xml:space="preserve"> </w:t>
      </w:r>
      <w:r>
        <w:rPr>
          <w:rFonts w:ascii="Nirmala UI" w:hAnsi="Nirmala UI" w:eastAsia="Nirmala UI" w:cs="Nirmala UI"/>
        </w:rPr>
        <w:t>ଉଚିତ</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ସାତଜଣଙ୍କ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ଅଟନ୍ତି।</w:t>
      </w:r>
      <w:r>
        <w:rPr>
          <w:rFonts w:ascii="Times New Roman" w:hAnsi="Times New Roman" w:eastAsia="Times New Roman" w:cs="Times New Roman"/>
        </w:rPr>
        <w:t xml:space="preserve"> </w:t>
      </w:r>
      <w:r>
        <w:rPr>
          <w:rFonts w:ascii="Nirmala UI" w:hAnsi="Nirmala UI" w:eastAsia="Nirmala UI" w:cs="Nirmala UI"/>
        </w:rPr>
        <w:t>ଏଗାରୋ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ସର୍ବାଧିକ</w:t>
      </w:r>
      <w:r>
        <w:rPr>
          <w:rFonts w:ascii="Times New Roman" w:hAnsi="Times New Roman" w:eastAsia="Times New Roman" w:cs="Times New Roman"/>
        </w:rPr>
        <w:t xml:space="preserve"> </w:t>
      </w:r>
      <w:r>
        <w:rPr>
          <w:rFonts w:ascii="Nirmala UI" w:hAnsi="Nirmala UI" w:eastAsia="Nirmala UI" w:cs="Nirmala UI"/>
        </w:rPr>
        <w:t>ସମ୍ପନ୍ନ</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ସମ୍ଭବତଃ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ରାଷ୍ଟ୍ରପତିଙ୍କ</w:t>
      </w:r>
      <w:r>
        <w:rPr>
          <w:rFonts w:ascii="Times New Roman" w:hAnsi="Times New Roman" w:eastAsia="Times New Roman" w:cs="Times New Roman"/>
        </w:rPr>
        <w:t xml:space="preserve"> </w:t>
      </w:r>
      <w:r>
        <w:rPr>
          <w:rFonts w:ascii="Nirmala UI" w:hAnsi="Nirmala UI" w:eastAsia="Nirmala UI" w:cs="Nirmala UI"/>
        </w:rPr>
        <w:t>ନିର୍ବାଚନର</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ସାତଜଣଙ୍କ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ଆଠମ</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ପନ୍ଦରୋ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ପ୍ରକ୍ସି</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ସଙ୍ଗ୍ରାମରେ</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ହୁଅନ୍ତି।</w:t>
      </w:r>
    </w:p>
    <w:p>
      <w:pPr>
        <w:pStyle w:val="ArticleBody"/>
        <w:jc w:val="left"/>
      </w:pP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প্রতিশোধ</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বর্ণিত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পরাজয়</w:t>
      </w:r>
      <w:r>
        <w:rPr>
          <w:rFonts w:ascii="Times New Roman" w:hAnsi="Times New Roman" w:eastAsia="Times New Roman" w:cs="Times New Roman"/>
        </w:rPr>
        <w:t xml:space="preserve"> </w:t>
      </w:r>
      <w:r>
        <w:rPr>
          <w:rFonts w:ascii="Nirmala UI" w:hAnsi="Nirmala UI" w:eastAsia="Nirmala UI" w:cs="Nirmala UI"/>
        </w:rPr>
        <w:t>ভোগ</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তারই</w:t>
      </w:r>
      <w:r>
        <w:rPr>
          <w:rFonts w:ascii="Times New Roman" w:hAnsi="Times New Roman" w:eastAsia="Times New Roman" w:cs="Times New Roman"/>
        </w:rPr>
        <w:t xml:space="preserve"> </w:t>
      </w:r>
      <w:r>
        <w:rPr>
          <w:rFonts w:ascii="Nirmala UI" w:hAnsi="Nirmala UI" w:eastAsia="Nirmala UI" w:cs="Nirmala UI"/>
        </w:rPr>
        <w:t>প্রতিক্রিয়া।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বিজয়কে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ভ্যাটিকানের</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জোটের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প্রত্যক্ষ</w:t>
      </w:r>
      <w:r>
        <w:rPr>
          <w:rFonts w:ascii="Times New Roman" w:hAnsi="Times New Roman" w:eastAsia="Times New Roman" w:cs="Times New Roman"/>
        </w:rPr>
        <w:t xml:space="preserve"> </w:t>
      </w:r>
      <w:r>
        <w:rPr>
          <w:rFonts w:ascii="Nirmala UI" w:hAnsi="Nirmala UI" w:eastAsia="Nirmala UI" w:cs="Nirmala UI"/>
        </w:rPr>
        <w:t>উষ্ণ</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প্রাচীনকালে</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প্রক্সি</w:t>
      </w:r>
      <w:r>
        <w:rPr>
          <w:rFonts w:ascii="Times New Roman" w:hAnsi="Times New Roman" w:eastAsia="Times New Roman" w:cs="Times New Roman"/>
        </w:rPr>
        <w:t xml:space="preserve"> </w:t>
      </w:r>
      <w:r>
        <w:rPr>
          <w:rFonts w:ascii="Nirmala UI" w:hAnsi="Nirmala UI" w:eastAsia="Nirmala UI" w:cs="Nirmala UI"/>
        </w:rPr>
        <w:t>যুদ্ধগুলোর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যুদ্ধে।</w:t>
      </w:r>
    </w:p>
    <w:p>
      <w:pPr>
        <w:pStyle w:val="ArticleBody"/>
        <w:jc w:val="left"/>
      </w:pPr>
      <w:r>
        <w:rPr>
          <w:rFonts w:ascii="Times New Roman" w:hAnsi="Times New Roman" w:eastAsia="Times New Roman" w:cs="Times New Roman"/>
        </w:rPr>
        <w:t>Ku na tinyimpi tinharhu emavesini ya khume ku ya fika eka ya khume na ntlhanu, naswona hinkwato ti hetiseke eminkarhini ya khale hi tinyimpi ta xiviri leti hisaka, kambe ti yimela tinyimpi tinharhu ta tinyimpi ta vuyimeri emasikwini yo hetelela. Nyimpi yo sungula yi hluriwe hi nhlangano wa xihundla wa xivandzana ni muprofeta wa mavunwa, wu lwa ni dragona hi 1989. Nyimpi ya vumbirhi ya tinyimpi ta vuyimeri yi ta hluriwa hi matimba ya dragona lama nga riki na Xikwembu ya hosi ya dzonga, ma lwa ni nhlangano wa papa ni mavuthu ya yena ya vuyimeri. Nyimpi ya vunharhu ya tinyimpi ta vuyimeri yi ta hluriwa hi mavuthu ya vuyimeri ya hosi ya n'walungu, hilaha swi yimeleriwaka hakona emavesini ya khume na nharhu ku ya fika eka ya khume na ntlhanu.</w:t>
      </w:r>
    </w:p>
    <w:p>
      <w:pPr>
        <w:pStyle w:val="ArticleBody"/>
        <w:jc w:val="left"/>
      </w:pPr>
      <w:r>
        <w:rPr>
          <w:rFonts w:ascii="Times New Roman" w:hAnsi="Times New Roman" w:eastAsia="Times New Roman" w:cs="Times New Roman"/>
        </w:rPr>
        <w:t>Prophétiquement, il y a trois guerres mondiales brûlantes, trois guerres par procuration, composées de trois batailles, ainsi que la guerre des trois malheurs de l’islam. Il y a aussi une guerre civile et une guerre révolutionnaire. La deuxième bataille des guerres par procuration est maintenant en cours en Ukraine, « la frontière », telle que représentée par Raphia, qui était la frontière entre le roi du midi et le roi du nord, lorsque les versets onze et douze s’accomplirent pour la première fois dans l’histoire.</w:t>
      </w:r>
    </w:p>
    <w:p>
      <w:pPr>
        <w:pStyle w:val="ArticleBody"/>
        <w:jc w:val="left"/>
      </w:pP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प्रॉक्सी</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संचालित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निनाद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Au milieu de ces deux attaques, qui sont deux voix, qui sont le son de la septième trompette, l’islam du troisième malheur a attaqué, non pas le glorieux pays spirituel moderne, mais l’ancien glorieux pays littéral, le 7 octobre 2023.</w:t>
      </w:r>
    </w:p>
    <w:p>
      <w:pPr>
        <w:pStyle w:val="ArticleBody"/>
        <w:jc w:val="left"/>
      </w:pPr>
      <w:r>
        <w:rPr>
          <w:rFonts w:ascii="Times New Roman" w:hAnsi="Times New Roman" w:eastAsia="Times New Roman" w:cs="Times New Roman"/>
        </w:rPr>
        <w:t>Urugamba rwahise rutangira icyo gihe, ubu rurimo kuba mu karere nyakuri aho Intambara ya Raphia yabereye nk’uko bisobanurwa mu mirongo ya cumi n’umwe na cumi n’ibiri. Agace ka Gaza ni umupaka ugabanya ubwami bwo mu majyepfo bwa Yuda na Misiri. Tariki ya 7 Ukwakira 2023 ni uruziga ruri mu zindi nziga rugaragaza ubugome bwo kwigomeka, cyangwa inyuguti ya cumi na gatatu mu nyuguti z’Igiheburayo, iyo ihuriye hamwe n’inyuguti ya mbere n’iya nyuma ikarema ijambo “ukuri.”</w:t>
      </w:r>
    </w:p>
    <w:p>
      <w:pPr>
        <w:pStyle w:val="ArticleBody"/>
        <w:jc w:val="left"/>
      </w:pP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විපතේ</w:t>
      </w:r>
      <w:r>
        <w:rPr>
          <w:rFonts w:ascii="Times New Roman" w:hAnsi="Times New Roman" w:eastAsia="Times New Roman" w:cs="Times New Roman"/>
        </w:rPr>
        <w:t xml:space="preserve"> </w:t>
      </w:r>
      <w:r>
        <w:rPr>
          <w:rFonts w:ascii="Nirmala UI" w:hAnsi="Nirmala UI" w:eastAsia="Nirmala UI" w:cs="Nirmala UI"/>
        </w:rPr>
        <w:t>ඉස්ලාමය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මහිමාන්විත</w:t>
      </w:r>
      <w:r>
        <w:rPr>
          <w:rFonts w:ascii="Times New Roman" w:hAnsi="Times New Roman" w:eastAsia="Times New Roman" w:cs="Times New Roman"/>
        </w:rPr>
        <w:t xml:space="preserve"> </w:t>
      </w:r>
      <w:r>
        <w:rPr>
          <w:rFonts w:ascii="Nirmala UI" w:hAnsi="Nirmala UI" w:eastAsia="Nirmala UI" w:cs="Nirmala UI"/>
        </w:rPr>
        <w:t>දේශයට</w:t>
      </w:r>
      <w:r>
        <w:rPr>
          <w:rFonts w:ascii="Times New Roman" w:hAnsi="Times New Roman" w:eastAsia="Times New Roman" w:cs="Times New Roman"/>
        </w:rPr>
        <w:t xml:space="preserve"> </w:t>
      </w:r>
      <w:r>
        <w:rPr>
          <w:rFonts w:ascii="Nirmala UI" w:hAnsi="Nirmala UI" w:eastAsia="Nirmala UI" w:cs="Nirmala UI"/>
        </w:rPr>
        <w:t>එල්ල</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රහාරය</w:t>
      </w:r>
      <w:r>
        <w:rPr>
          <w:rFonts w:ascii="Times New Roman" w:hAnsi="Times New Roman" w:eastAsia="Times New Roman" w:cs="Times New Roman"/>
        </w:rPr>
        <w:t xml:space="preserve"> 2023 </w:t>
      </w:r>
      <w:r>
        <w:rPr>
          <w:rFonts w:ascii="Nirmala UI" w:hAnsi="Nirmala UI" w:eastAsia="Nirmala UI" w:cs="Nirmala UI"/>
        </w:rPr>
        <w:t>ඔක්තෝබර්</w:t>
      </w:r>
      <w:r>
        <w:rPr>
          <w:rFonts w:ascii="Times New Roman" w:hAnsi="Times New Roman" w:eastAsia="Times New Roman" w:cs="Times New Roman"/>
        </w:rPr>
        <w:t xml:space="preserve"> 7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සිදුවිය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එකොළොස්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දොළොස්වල</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වීමක්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රාෆියා</w:t>
      </w:r>
      <w:r>
        <w:rPr>
          <w:rFonts w:ascii="Times New Roman" w:hAnsi="Times New Roman" w:eastAsia="Times New Roman" w:cs="Times New Roman"/>
        </w:rPr>
        <w:t xml:space="preserve"> </w:t>
      </w:r>
      <w:r>
        <w:rPr>
          <w:rFonts w:ascii="Nirmala UI" w:hAnsi="Nirmala UI" w:eastAsia="Nirmala UI" w:cs="Nirmala UI"/>
        </w:rPr>
        <w:t>සංග්</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සිදුවූ</w:t>
      </w:r>
      <w:r>
        <w:rPr>
          <w:rFonts w:ascii="Times New Roman" w:hAnsi="Times New Roman" w:eastAsia="Times New Roman" w:cs="Times New Roman"/>
        </w:rPr>
        <w:t xml:space="preserve"> </w:t>
      </w:r>
      <w:r>
        <w:rPr>
          <w:rFonts w:ascii="Nirmala UI" w:hAnsi="Nirmala UI" w:eastAsia="Nirmala UI" w:cs="Nirmala UI"/>
        </w:rPr>
        <w:t>නිශ්චිත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රදේශයේම</w:t>
      </w:r>
      <w:r>
        <w:rPr>
          <w:rFonts w:ascii="Times New Roman" w:hAnsi="Times New Roman" w:eastAsia="Times New Roman" w:cs="Times New Roman"/>
        </w:rPr>
        <w:t xml:space="preserve"> </w:t>
      </w:r>
      <w:r>
        <w:rPr>
          <w:rFonts w:ascii="Nirmala UI" w:hAnsi="Nirmala UI" w:eastAsia="Nirmala UI" w:cs="Nirmala UI"/>
        </w:rPr>
        <w:t>සිදුවිය</w:t>
      </w:r>
      <w:r>
        <w:rPr>
          <w:rFonts w:ascii="Times New Roman" w:hAnsi="Times New Roman" w:eastAsia="Times New Roman" w:cs="Times New Roman"/>
        </w:rPr>
        <w:t xml:space="preserve">. </w:t>
      </w:r>
      <w:r>
        <w:rPr>
          <w:rFonts w:ascii="Nirmala UI" w:hAnsi="Nirmala UI" w:eastAsia="Nirmala UI" w:cs="Nirmala UI"/>
        </w:rPr>
        <w:t>මහිමාන්විත</w:t>
      </w:r>
      <w:r>
        <w:rPr>
          <w:rFonts w:ascii="Times New Roman" w:hAnsi="Times New Roman" w:eastAsia="Times New Roman" w:cs="Times New Roman"/>
        </w:rPr>
        <w:t xml:space="preserve"> </w:t>
      </w:r>
      <w:r>
        <w:rPr>
          <w:rFonts w:ascii="Nirmala UI" w:hAnsi="Nirmala UI" w:eastAsia="Nirmala UI" w:cs="Nirmala UI"/>
        </w:rPr>
        <w:t>දේශයට</w:t>
      </w:r>
      <w:r>
        <w:rPr>
          <w:rFonts w:ascii="Times New Roman" w:hAnsi="Times New Roman" w:eastAsia="Times New Roman" w:cs="Times New Roman"/>
        </w:rPr>
        <w:t xml:space="preserve"> </w:t>
      </w:r>
      <w:r>
        <w:rPr>
          <w:rFonts w:ascii="Nirmala UI" w:hAnsi="Nirmala UI" w:eastAsia="Nirmala UI" w:cs="Nirmala UI"/>
        </w:rPr>
        <w:t>එල්ල</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රහාරය</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භූගෝලීය</w:t>
      </w:r>
      <w:r>
        <w:rPr>
          <w:rFonts w:ascii="Times New Roman" w:hAnsi="Times New Roman" w:eastAsia="Times New Roman" w:cs="Times New Roman"/>
        </w:rPr>
        <w:t xml:space="preserve"> </w:t>
      </w:r>
      <w:r>
        <w:rPr>
          <w:rFonts w:ascii="Nirmala UI" w:hAnsi="Nirmala UI" w:eastAsia="Nirmala UI" w:cs="Nirmala UI"/>
        </w:rPr>
        <w:t>සංකේතවාදය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යුක්රේනයේ</w:t>
      </w:r>
      <w:r>
        <w:rPr>
          <w:rFonts w:ascii="Times New Roman" w:hAnsi="Times New Roman" w:eastAsia="Times New Roman" w:cs="Times New Roman"/>
        </w:rPr>
        <w:t xml:space="preserve"> </w:t>
      </w:r>
      <w:r>
        <w:rPr>
          <w:rFonts w:ascii="Nirmala UI" w:hAnsi="Nirmala UI" w:eastAsia="Nirmala UI" w:cs="Nirmala UI"/>
        </w:rPr>
        <w:t>යුද්ධයෙන්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රොක්සි</w:t>
      </w:r>
      <w:r>
        <w:rPr>
          <w:rFonts w:ascii="Times New Roman" w:hAnsi="Times New Roman" w:eastAsia="Times New Roman" w:cs="Times New Roman"/>
        </w:rPr>
        <w:t xml:space="preserve"> </w:t>
      </w:r>
      <w:r>
        <w:rPr>
          <w:rFonts w:ascii="Nirmala UI" w:hAnsi="Nirmala UI" w:eastAsia="Nirmala UI" w:cs="Nirmala UI"/>
        </w:rPr>
        <w:t>යුද්ධවල</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සංග්</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Body"/>
        <w:jc w:val="left"/>
      </w:pPr>
      <w:r>
        <w:rPr>
          <w:rFonts w:ascii="Malgun Gothic" w:hAnsi="Malgun Gothic" w:eastAsia="Malgun Gothic" w:cs="Malgun Gothic"/>
        </w:rPr>
        <w:t>표준</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표준으로</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우크라이나</w:t>
      </w:r>
      <w:r>
        <w:rPr>
          <w:rFonts w:ascii="Times New Roman" w:hAnsi="Times New Roman" w:eastAsia="Times New Roman" w:cs="Times New Roman"/>
        </w:rPr>
        <w:t>(</w:t>
      </w:r>
      <w:r>
        <w:rPr>
          <w:rFonts w:ascii="Malgun Gothic" w:hAnsi="Malgun Gothic" w:eastAsia="Malgun Gothic" w:cs="Malgun Gothic"/>
        </w:rPr>
        <w:t>변경</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진행되고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대리</w:t>
      </w:r>
      <w:r>
        <w:rPr>
          <w:rFonts w:ascii="Times New Roman" w:hAnsi="Times New Roman" w:eastAsia="Times New Roman" w:cs="Times New Roman"/>
        </w:rPr>
        <w:t xml:space="preserve"> </w:t>
      </w:r>
      <w:r>
        <w:rPr>
          <w:rFonts w:ascii="Malgun Gothic" w:hAnsi="Malgun Gothic" w:eastAsia="Malgun Gothic" w:cs="Malgun Gothic"/>
        </w:rPr>
        <w:t>전쟁들의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전투는</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나팔의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음</w:t>
      </w:r>
      <w:r>
        <w:rPr>
          <w:rFonts w:ascii="Times New Roman" w:hAnsi="Times New Roman" w:eastAsia="Times New Roman" w:cs="Times New Roman"/>
        </w:rPr>
        <w:t>(2023</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7</w:t>
      </w:r>
      <w:r>
        <w:rPr>
          <w:rFonts w:ascii="Malgun Gothic" w:hAnsi="Malgun Gothic" w:eastAsia="Malgun Gothic" w:cs="Malgun Gothic"/>
        </w:rPr>
        <w:t>일</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포함하며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성취된다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경험은</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십장에</w:t>
      </w:r>
      <w:r>
        <w:rPr>
          <w:rFonts w:ascii="Times New Roman" w:hAnsi="Times New Roman" w:eastAsia="Times New Roman" w:cs="Times New Roman"/>
        </w:rPr>
        <w:t xml:space="preserve"> </w:t>
      </w:r>
      <w:r>
        <w:rPr>
          <w:rFonts w:ascii="Malgun Gothic" w:hAnsi="Malgun Gothic" w:eastAsia="Malgun Gothic" w:cs="Malgun Gothic"/>
        </w:rPr>
        <w:t>제시하고</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애통의</w:t>
      </w:r>
      <w:r>
        <w:rPr>
          <w:rFonts w:ascii="Times New Roman" w:hAnsi="Times New Roman" w:eastAsia="Times New Roman" w:cs="Times New Roman"/>
        </w:rPr>
        <w:t xml:space="preserve"> </w:t>
      </w:r>
      <w:r>
        <w:rPr>
          <w:rFonts w:ascii="Malgun Gothic" w:hAnsi="Malgun Gothic" w:eastAsia="Malgun Gothic" w:cs="Malgun Gothic"/>
        </w:rPr>
        <w:t>이십일</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지난</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마라</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보는</w:t>
      </w:r>
      <w:r>
        <w:rPr>
          <w:rFonts w:ascii="Times New Roman" w:hAnsi="Times New Roman" w:eastAsia="Times New Roman" w:cs="Times New Roman"/>
        </w:rPr>
        <w:t xml:space="preserve"> </w:t>
      </w:r>
      <w:r>
        <w:rPr>
          <w:rFonts w:ascii="Malgun Gothic" w:hAnsi="Malgun Gothic" w:eastAsia="Malgun Gothic" w:cs="Malgun Gothic"/>
        </w:rPr>
        <w:t>때이다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애통의</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선지자가</w:t>
      </w:r>
      <w:r>
        <w:rPr>
          <w:rFonts w:ascii="Times New Roman" w:hAnsi="Times New Roman" w:eastAsia="Times New Roman" w:cs="Times New Roman"/>
        </w:rPr>
        <w:t xml:space="preserve"> </w:t>
      </w:r>
      <w:r>
        <w:rPr>
          <w:rFonts w:ascii="Malgun Gothic" w:hAnsi="Malgun Gothic" w:eastAsia="Malgun Gothic" w:cs="Malgun Gothic"/>
        </w:rPr>
        <w:t>거리에</w:t>
      </w:r>
      <w:r>
        <w:rPr>
          <w:rFonts w:ascii="Times New Roman" w:hAnsi="Times New Roman" w:eastAsia="Times New Roman" w:cs="Times New Roman"/>
        </w:rPr>
        <w:t xml:space="preserve"> </w:t>
      </w:r>
      <w:r>
        <w:rPr>
          <w:rFonts w:ascii="Malgun Gothic" w:hAnsi="Malgun Gothic" w:eastAsia="Malgun Gothic" w:cs="Malgun Gothic"/>
        </w:rPr>
        <w:t>죽어</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삼일</w:t>
      </w:r>
      <w:r>
        <w:rPr>
          <w:rFonts w:ascii="Times New Roman" w:hAnsi="Times New Roman" w:eastAsia="Times New Roman" w:cs="Times New Roman"/>
        </w:rPr>
        <w:t xml:space="preserve"> </w:t>
      </w:r>
      <w:r>
        <w:rPr>
          <w:rFonts w:ascii="Malgun Gothic" w:hAnsi="Malgun Gothic" w:eastAsia="Malgun Gothic" w:cs="Malgun Gothic"/>
        </w:rPr>
        <w:t>반이다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환상은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설명으로</w:t>
      </w:r>
      <w:r>
        <w:rPr>
          <w:rFonts w:ascii="Times New Roman" w:hAnsi="Times New Roman" w:eastAsia="Times New Roman" w:cs="Times New Roman"/>
        </w:rPr>
        <w:t xml:space="preserve"> </w:t>
      </w:r>
      <w:r>
        <w:rPr>
          <w:rFonts w:ascii="Malgun Gothic" w:hAnsi="Malgun Gothic" w:eastAsia="Malgun Gothic" w:cs="Malgun Gothic"/>
        </w:rPr>
        <w:t>해석되었다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vérité représentée par la vision du fleuve Hiddékel, qui est la vérité du scellement, s’accomplit dans l’histoire prophétique des versets onze à quinze. C’est l’histoire du verset quarante qui commence en 1989 et se poursuit jusqu’au verset quarante et un ainsi qu’à la loi du dimanche bientôt à venir. C’est l’histoire du sixième président, le plus riche, au verset deux, qui est représentée jusqu’au septième royaume d’« Alexandre le Grand », comme il est indiqué au verset trois.</w:t>
      </w:r>
    </w:p>
    <w:p>
      <w:pPr>
        <w:pStyle w:val="ArticleBody"/>
        <w:jc w:val="left"/>
      </w:pPr>
      <w:r>
        <w:rPr>
          <w:rFonts w:ascii="Times New Roman" w:hAnsi="Times New Roman" w:eastAsia="Times New Roman" w:cs="Times New Roman"/>
        </w:rPr>
        <w:t>L’histoire qui a commencé au début de la seconde bataille des guerres par procuration en 2014, suivie par le président le plus riche commençant sa campagne en 2015, constitue l’intervalle vide du verset quarante, depuis 1989 jusqu’à la loi du dimanche au verset quarante-et-un; elle constitue aussi l’intervalle vide allant du sixième président le plus riche au verset deux jusqu’au septième royaume. C’est l’histoire qui a commencé avec la première voix d’Apocalypse, chapitre dix-huit, le 11 septembre 2001, et qui s’achève avec la seconde voix à l’heure du grand tremblement de terre au chapitre onze de l’Apocalypse. Cette histoire est aussi la période de l’histoire identifiée par Ézéchiel au chapitre douze, où toute vision s’accomplit. Cette période de temps est le temps du scellement des cent quarante-quatre mille. La sanctification du peuple de Dieu s’accomplit par Sa parole.</w:t>
      </w:r>
    </w:p>
    <w:p>
      <w:pPr>
        <w:pStyle w:val="ArticleScripture"/>
        <w:jc w:val="left"/>
      </w:pPr>
      <w:r>
        <w:rPr>
          <w:rFonts w:ascii="Times New Roman" w:hAnsi="Times New Roman" w:eastAsia="Times New Roman" w:cs="Times New Roman"/>
        </w:rPr>
        <w:t>Ya santifieke na nzela ya bosolo na yo; liloba na yo ezali bosolo. Jean 17:17.</w:t>
      </w:r>
    </w:p>
    <w:p>
      <w:pPr>
        <w:pStyle w:val="ArticleBody"/>
        <w:jc w:val="left"/>
      </w:pPr>
      <w:r>
        <w:rPr>
          <w:rFonts w:ascii="Times New Roman" w:hAnsi="Times New Roman" w:eastAsia="Times New Roman" w:cs="Times New Roman"/>
        </w:rPr>
        <w:t>On poursuivra cette étude dans le prochain article.</w:t>
      </w:r>
    </w:p>
    <w:p>
      <w:pPr>
        <w:pStyle w:val="ArticleScripture"/>
        <w:jc w:val="left"/>
      </w:pPr>
      <w:r>
        <w:rPr>
          <w:rFonts w:ascii="Times New Roman" w:hAnsi="Times New Roman" w:eastAsia="Times New Roman" w:cs="Times New Roman"/>
        </w:rPr>
        <w:t>"This vision was given to Ezekiel at a time when his mind was filled with gloomy forebodings. He saw the land of his fathers lying desolate. The city that was once full of people was no longer inhabited. The voice of mirth and the song of praise were no more heard within her walls. The prophet himself was a stranger in a strange land, where boundless ambition and savage cruelty reigned supreme. That which he saw and heard of human tyranny and wrong distressed his soul, and he mourned bitterly day and night. But the wonderful symbols presented before him beside the river Chebar revealed an overruling power mightier than that of earthly rulers. Above the proud and cruel monarchs of Assyria and Babylon the God of mercy and truth was enthroned."</w:t>
      </w:r>
    </w:p>
    <w:p>
      <w:pPr>
        <w:pStyle w:val="ArticleScripture"/>
        <w:jc w:val="left"/>
      </w:pPr>
      <w:r>
        <w:rPr>
          <w:rFonts w:ascii="Times New Roman" w:hAnsi="Times New Roman" w:eastAsia="Times New Roman" w:cs="Times New Roman"/>
        </w:rPr>
        <w:t>« Les complications semblables à des roues, qui apparurent au prophète comme engagées dans une telle confusion, étaient sous la conduite d’une main infinie. L’Esprit de Dieu, qui lui fut révélé comme mettant ces roues en mouvement et les dirigeant, fit sortir l’harmonie de la confusion ; ainsi, le monde entier était sous Son contrôle. Des myriades d’êtres glorifiés étaient prêtes, à Sa parole, à dominer sur la puissance et la politique des hommes mauvais, et à faire du bien à Ses fidèles. »</w:t>
      </w:r>
    </w:p>
    <w:p>
      <w:pPr>
        <w:pStyle w:val="ArticleScripture"/>
        <w:jc w:val="left"/>
      </w:pPr>
      <w:r>
        <w:rPr>
          <w:rFonts w:ascii="Times New Roman" w:hAnsi="Times New Roman" w:eastAsia="Times New Roman" w:cs="Times New Roman"/>
        </w:rPr>
        <w:t>“Sa gayunding paagi, sa dihang hapit na ipadayag sa Dios ngadto sa hinigugmang si Juan ang kasaysayan sa iglesia alang sa umaabot nga mga kapanahonan, gihatagan Niya siya ug kasiguruhan sa kahimuot ug pag-atiman sa Manluluwas alang sa Iyang katawohan pinaagi sa pagpadayag kaniya sa ‘Usa nga sama sa Anak sa tawo,’ nga naglakaw sa taliwala sa mga tangkawan, nga nagsimbolo sa pito ka mga iglesia. Samtang gipakita kang Juan ang ulahing dagkung mga pakigbisog sa iglesia batok sa yutan-ong mga gahum, gitugotan usab siya sa pagtan-aw sa katapusang kadaugan ug kaluwasan sa mga matinumanon. Iyang nakita ang iglesia nga gidala ngadto sa makamatay nga pakig-away batok sa mananap ug sa iyang larawan, ug ang pagsimba nianang mananapa gipatuman ubos sa hulga sa kamatayon. Apan sa pagtan-aw niya lapas sa aso ug kasaba sa gubat, iyang nakita ang usa ka pundok didto sa Bukid sa Sion uban sa Cordero, nga imbis sa marka sa mananap, adunay ‘ngalan sa Amahan nga nahisulat sa ilang mga agtang.’ Ug sa makausa pa iyang nakita ‘sila nga nakadaog batok sa mananap, ug batok sa iyang larawan, ug batok sa iyang marka, ug batok sa gidaghanon sa iyang ngalan, nga nagtindog sa dagat nga bildo, nga nagkupot sa mga alpa sa Dios’ ug nagaawit sa awit ni Moises ug sa Cordero.”</w:t>
      </w:r>
    </w:p>
    <w:p>
      <w:pPr>
        <w:pStyle w:val="ArticleScripture"/>
        <w:jc w:val="left"/>
      </w:pPr>
      <w:r>
        <w:rPr>
          <w:rFonts w:ascii="Times New Roman" w:hAnsi="Times New Roman" w:eastAsia="Times New Roman" w:cs="Times New Roman"/>
        </w:rPr>
        <w:t>« Leçon-la sa yo fèt pou benefis pa nou. Nou bezwen poze lafwa pa nou sou Bondye, paske gen yon tan ki toupre devan nou k ap mete nan eprèv nanm lèzòm. Kris, sou Mòn Oliv la, te rakonte jijman terib ki te gen pou vini anvan dezyèm vini Li a: “Nou pral tande pale de lagè ak rimè lagè.” “Nasyon pral leve kont nasyon, ak wayòm kont wayòm; epi pral gen grangou, epidemi, ak tranblemanntè nan divès kote. Tout bagay sa yo se kòmansman doulè yo.” Pandan pwofesi sa yo te resevwa yon akonplisman pasyèl nan destriksyon Jerizalèm, yo gen yon aplikasyon ki pi dirèk pou dènye jou yo. »</w:t>
      </w:r>
    </w:p>
    <w:p>
      <w:pPr>
        <w:pStyle w:val="ArticleScripture"/>
        <w:jc w:val="left"/>
      </w:pPr>
      <w:r>
        <w:rPr>
          <w:rFonts w:ascii="Times New Roman" w:hAnsi="Times New Roman" w:eastAsia="Times New Roman" w:cs="Times New Roman"/>
        </w:rPr>
        <w:t>“Chúng ta đang đứng trên ngưỡng cửa của những biến cố lớn lao và trọng đại. Lời tiên tri đang mau chóng ứng nghiệm. Chúa đang ở trước cửa. Chẳng bao lâu nữa, trước mắt chúng ta sẽ mở ra một thời kỳ có tầm hệ trọng áp đảo đối với mọi người đang sống. Những cuộc tranh luận của quá khứ sẽ được khơi dậy trở lại; những cuộc tranh luận mới sẽ phát sinh. Những cảnh tượng sẽ diễn ra trong thế giới chúng ta vẫn còn vượt quá cả điều người ta có thể mường tượng. Sa-tan đang hành động qua các tác nhân loài người. Những kẻ đang nỗ lực sửa đổi Hiến pháp và bảo đảm một đạo luật cưỡng bách việc tuân giữ ngày Chủ nhật hầu như không ý thức được kết quả sẽ là gì. Một cuộc khủng hoảng đang ngay trước mắt chúng ta.”</w:t>
      </w:r>
    </w:p>
    <w:p>
      <w:pPr>
        <w:pStyle w:val="ArticleScripture"/>
        <w:jc w:val="left"/>
      </w:pPr>
      <w:r>
        <w:rPr>
          <w:rFonts w:ascii="Times New Roman" w:hAnsi="Times New Roman" w:eastAsia="Times New Roman" w:cs="Times New Roman"/>
        </w:rPr>
        <w:t>«Lekin Xudoning xizmatkorlari bu ulugʻ inqirozda oʻzlariga ishonmasliklari kerak. Ishayoga, Hizqiyolga va Yuhannoga berilgan vahiylarda biz osmonning yer yuzida sodir boʻlayotgan voqealar bilan naqadar yaqindan bogʻlanganini va Unga sodiq boʻlganlar uchun Xudoning gʻamxoʻrligi naqadar buyuk ekanini koʻramiz. Dunyo Hukmdorsiz emas. Kelajakda yuz beradigan voqealarning dasturi Rabbiyning qoʻlidadir. Osmon Saltanatining Ulugʻ Zoti Oʻz jamoatining tashvishlari kabi xalqlarning taqdirini ham Oʻz ixtiyorida tutadi». Testimonies, 5-jild,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soixante-sept</dc:title>
  <dc:subject>Prophétie décodée : révélation de la portée historique et prophétique de Daniel 11:10 et au-delà</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