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soixante-huit</w:t>
      </w:r>
    </w:p>
    <w:p>
      <w:pPr>
        <w:pStyle w:val="ArticleSubtitle"/>
        <w:jc w:val="left"/>
      </w:pPr>
      <w:r>
        <w:rPr>
          <w:rFonts w:ascii="Arial" w:hAnsi="Arial" w:eastAsia="Arial" w:cs="Arial"/>
        </w:rPr>
        <w:t>Dévoilement de la vérité prophétique : la seconde bataille des guerres par procuration et le scellement des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Kami sekarang sedang membahas pertempuran kedua dari perang-perang proksi, sebagaimana digambarkan dalam Daniel pasal sebelas, ayat sebelas dan dua belas. Pertempuran kedua dalam ayat-ayat itu mengidentifikasi perang di Ukraina, antara kekuatan ateistis Rusia dan bangsa Ukraina. Dalam ayat-ayat tersebut, Putin memperoleh kemenangan, sebagaimana Ptolemaios IV, tetapi sesudah kemenangannya ia akan meninggikan diri dalam hatinya sendiri, dan pengagungan dirinya yang narsis itu akan menjadi sarana kejatuhannya. Representasi historis dari sejarah masa kini ini hanya bermanfaat bagi mereka yang memahami apa yang dilambangkan oleh sejarah masa kini ini secara rohani.</w:t>
      </w:r>
    </w:p>
    <w:p>
      <w:pPr>
        <w:pStyle w:val="ArticleBody"/>
        <w:jc w:val="left"/>
      </w:pPr>
      <w:r>
        <w:rPr>
          <w:rFonts w:ascii="Times New Roman" w:hAnsi="Times New Roman" w:eastAsia="Times New Roman" w:cs="Times New Roman"/>
        </w:rPr>
        <w:t>Mu vesi ya kwanza ya sura ya kumi, Danieli, ambaye anawakilisha watu wa Mungu wa siku za mwisho, anatambuliwa kuwa anaifahamu yote mawili, “ono” na “jambo”. Ono na jambo vinawakilishwa mara kwa mara pamoja, lakini vikiwa tofauti kimoja na kingine, kama mstari mmoja wa ukweli. Nayo ni mito ya Ulai na Hidekeli. Nayo ni maono ya “mareh” na “chazon”. Nayo ni unabii wa miaka elfu mbili mia tano na ishirini, kwa uhusiano na unabii wa miaka elfu mbili mia tatu. Nayo ni ushuhuda wa ndani na wa nje wa watu wa Mungu. Bwana harudii mambo yasiyo ya muhimu. Kanuni ya kutajwa kwa kwanza hutambulisha kwamba, kwa kuwa jambo la kwanza tunaloambiwa kuhusu Danieli, katika ono lake la mwisho, ni kwamba anawakilisha watu wa Mungu wa siku za mwisho wanaoelewa yote mawili, “chazon” na “mareh”. Kwa hiyo ono na jambo ni ya umuhimu mkuu kuyaona, ikiwa historia ya kinabii ya aya ya kumi na moja na ya kumi na mbili itafahamika kwa usahihi.</w:t>
      </w:r>
    </w:p>
    <w:p>
      <w:pPr>
        <w:pStyle w:val="ArticleBody"/>
        <w:jc w:val="left"/>
      </w:pP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মিলারীয়দের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উপমাটিকে</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মিলারীয়দের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নিরাশার</w:t>
      </w:r>
      <w:r>
        <w:rPr>
          <w:rFonts w:ascii="Times New Roman" w:hAnsi="Times New Roman" w:eastAsia="Times New Roman" w:cs="Times New Roman"/>
        </w:rPr>
        <w:t xml:space="preserve"> </w:t>
      </w:r>
      <w:r>
        <w:rPr>
          <w:rFonts w:ascii="Nirmala UI" w:hAnsi="Nirmala UI" w:eastAsia="Nirmala UI" w:cs="Nirmala UI"/>
        </w:rPr>
        <w:t>অভিজ্ঞতা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এগারোতে</w:t>
      </w:r>
      <w:r>
        <w:rPr>
          <w:rFonts w:ascii="Times New Roman" w:hAnsi="Times New Roman" w:eastAsia="Times New Roman" w:cs="Times New Roman"/>
        </w:rPr>
        <w:t xml:space="preserve"> </w:t>
      </w:r>
      <w:r>
        <w:rPr>
          <w:rFonts w:ascii="Nirmala UI" w:hAnsi="Nirmala UI" w:eastAsia="Nirmala UI" w:cs="Nirmala UI"/>
        </w:rPr>
        <w:t>নাস্তিক</w:t>
      </w:r>
      <w:r>
        <w:rPr>
          <w:rFonts w:ascii="Times New Roman" w:hAnsi="Times New Roman" w:eastAsia="Times New Roman" w:cs="Times New Roman"/>
        </w:rPr>
        <w:t xml:space="preserve"> “woke”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হওয়ারূপে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পথের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পড়িয়া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সদোম</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অভিহিত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খ্রীষ্টও</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অনুসারীদের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আনন্দোৎসব</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শোক</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Times New Roman" w:hAnsi="Times New Roman" w:eastAsia="Times New Roman" w:cs="Times New Roman"/>
        </w:rPr>
        <w:t>Ko dangtalni ko sielgipa komalniara Lazarusni chakatpilataniba dakso mesokaha; uko chakatpilataniko Kristoni kamko sielani dakgipa kam ong∙e chanchiaha, aro uan, Kristo sielgiparangni chin ong∙e, Jerusalemona ra∙chakani bilakgipa napbolgipa songreaniko skanggipa ong∙aha. Uni gimin, uko Millerite itihaso Midnight Cryni salgipa chalani dakgipa ong∙e mesokaha, aro sielgipa komalni ko dangtalni itihasoba indakenan ong∙aha. Lazarusni chakatpilataniba, uni no∙simang Mary aro Martha kalimani somoio ong∙aha, jekon Daniel chapter ten-o sal sni mikkangchi kalimao ong∙engachim. Chapter ten-o, Danielni kalimaniko Michaelni ong∙onchi bon∙ataha; uan apsan ong∙gipa mande ong∙a je∙ni “ku∙rang” Lazarus aro Mosesko janggi pil∙atpilaha. Revelation chapter eleven-o sakki gnini chakatpilataniba, “marah”ni karangchakgipa nikani gimin Danielko dingtangatani baksa mesokgipa ong∙a.</w:t>
      </w:r>
    </w:p>
    <w:p>
      <w:pPr>
        <w:pStyle w:val="ArticleBody"/>
        <w:jc w:val="left"/>
      </w:pPr>
      <w:r>
        <w:rPr>
          <w:rFonts w:ascii="Times New Roman" w:hAnsi="Times New Roman" w:eastAsia="Times New Roman" w:cs="Times New Roman"/>
        </w:rPr>
        <w:t>En el capítulo diez, Daniel representa el sellamiento de los ciento cuarenta y cuatro mil, el cual también está representado en el capítulo once del Apocalipsis. En el capítulo, Gabriel declara claramente que había venido a Daniel para hacerle entender lo que habría de sobrevenir al pueblo de Dios en los postreros días. El mensaje acerca de lo que sobrevendrá al pueblo de Dios en los últimos días está, proféticamente, situado dentro del contexto de un mensaje que es confirmado por la metodología de colocar línea profética sobre línea profética. Dentro de esa aplicación, la regla de la primera mención demuestra que el entendimiento correcto solo será visto por aquellos que ven tanto las verdades internas como las externas dentro de las líneas que son reunidas. Ellos son los que entienden la “visión” y la “cosa”.</w:t>
      </w:r>
    </w:p>
    <w:p>
      <w:pPr>
        <w:pStyle w:val="ArticleBody"/>
        <w:jc w:val="left"/>
      </w:pPr>
      <w:r>
        <w:rPr>
          <w:rFonts w:ascii="Times New Roman" w:hAnsi="Times New Roman" w:eastAsia="Times New Roman" w:cs="Times New Roman"/>
        </w:rPr>
        <w:t>Les cent quarante-quatre mille comprendront le message prophétique, mais ils feront aussi l’expérience du message, car le message et l’expérience ne peuvent être séparés. C’est le message qui sanctifie, car le message est la Parole de Dieu, et le Christ est la Parole de Dieu, et la Parole de Dieu est la Vérité. Son message est confirmé comme étant la Vérité, parce qu’il est représenté à travers les principes de l’application prophétique, qui ne sont rien de plus ni de moins que les principes de ce qu’Il est et de qui Il est. Il est Palmoni, le Merveilleux Compteur, le Compteur des secrets. Il est le Merveilleux Linguiste, le commencement et la fin, le premier et le dernier, l’Alpha et l’Oméga. Ce sont ces éléments de ce qu’Il est, qui définissent les règles prophétiques établissant le message de la prophétie et produisant l’expérience de la prophétie.</w:t>
      </w:r>
    </w:p>
    <w:p>
      <w:pPr>
        <w:pStyle w:val="ArticleBody"/>
        <w:jc w:val="left"/>
      </w:pPr>
      <w:r>
        <w:rPr>
          <w:rFonts w:ascii="Times New Roman" w:hAnsi="Times New Roman" w:eastAsia="Times New Roman" w:cs="Times New Roman"/>
        </w:rPr>
        <w:t>Oo Ulai iyo Hiddekel, oo ah laba webi oo waaweyn oo Shinar ah, aanay gaadhin Gacanka Faaris, waxay samaystaan dhul biyo-fadhi ah oo ku dhow halka ay isugu yimaaddaan, kaas oo la yidhaahdo Shatt al-Arab; hase yeeshee, kuma biiraan hal webi oo keliya. Shatt al-Arab waa delta webiyeed ka samaysma isu-imaatinka webiyada Furaat iyo Tigris, iyo weliba dhowr webi iyo durdurro yaryar. Si kastaba ha ahaatee, xataa gudaha gobolka delta-da, Furaat iyo Tigris waxay sii haystaan aqoonsiyadooda kala gaar ahaaneed, waxayna ugu qulqulaan Gacanka Faaris iyagoo ah webiyo kala soocan. Farriimaha gudaha iyo dibadda ee wax sii sheegiddu waxay sii haystaan xidhiidhkooda kala gaarka ah; laakiin markay gaadhaan gabagabadooda (maalmaha ugu dambeeya), waxay soo saaraan delta ay quudiyaan dhowr webi iyo durdurro. Ciise wuxuu ruuxiga ku tusaaleeyaa dabiiciga, oo maalmaha ugu dambeeya saamaynta aragti kasta waxay samaysaa dhul fatahaadeed oo delta ah, in kastoo labada webi ee waaweyni ay sii haystaan kaalmahooda kala gaarka ah.</w:t>
      </w:r>
    </w:p>
    <w:p>
      <w:pPr>
        <w:pStyle w:val="ArticleBody"/>
        <w:jc w:val="left"/>
      </w:pPr>
      <w:r>
        <w:rPr>
          <w:rFonts w:ascii="Times New Roman" w:hAnsi="Times New Roman" w:eastAsia="Times New Roman" w:cs="Times New Roman"/>
        </w:rPr>
        <w:t>Le période de vingt et un jours de deuil correspond au temps durant lequel les deux témoins sont morts dans la rue, et cette période commence avec la première déception et le temps de retard. Cette période de temps se situe à l’intérieur de la période de temps plus vaste au cours de laquelle l’apposition du sceau sur les cent quarante-quatre mille s’accomplit. Le scellement n’a pas commencé au temps de la fin en 1989 ; il a commencé lorsque Christ, en tant que troisième ange, est descendu le 11 septembre 2001. Il a conduit Son peuple à sa seconde visite à Kadès, et cette fois les quelques-uns qui sont prêts entreront dans la terre promise. L’expérience du peuple de Dieu depuis le temps de la fin en 1989 jusqu’au 11 septembre 2001 ne les a pas scellés. Le scellement a commencé lorsque Christ est descendu et a fait retentir la première note de la septième trompette du troisième malheur.</w:t>
      </w:r>
    </w:p>
    <w:p>
      <w:pPr>
        <w:pStyle w:val="ArticleBody"/>
        <w:jc w:val="left"/>
      </w:pPr>
      <w:r>
        <w:rPr>
          <w:rFonts w:ascii="Times New Roman" w:hAnsi="Times New Roman" w:eastAsia="Times New Roman" w:cs="Times New Roman"/>
        </w:rPr>
        <w:t>Kupulizwa kwa baragumu ya saba ndipo siri ya Mungu inakamilishwa, na siri hiyo inawakilisha kutiwa muhuri kwa wale mia moja arobaini na nne elfu, jambo linalotukia wakati wa kupulizwa kwa baragumu hiyo. Baragumu hiyo hupiga noti tatu, kwa maana ni Kweli. Noti ya kwanza ilikuwa Septemba 11, 2001, noti ya pili ilikuwa Oktoba 7, 2023, na noti ya tatu ya hizo tatu iko katika sheria ya Jumapili iliyo karibu kuja. Noti hizo tatu ndizo hatua tatu ambazo daima huwapo katika kweli. Miguso mitatu ya Danieli katika sura ya kumi iliunganisha uzoefu wake na kipindi cha historia kinachowakilishwa na noti tatu za baragumu ya saba.</w:t>
      </w:r>
    </w:p>
    <w:p>
      <w:pPr>
        <w:pStyle w:val="ArticleBody"/>
        <w:jc w:val="left"/>
      </w:pPr>
      <w:r>
        <w:rPr>
          <w:rFonts w:ascii="Times New Roman" w:hAnsi="Times New Roman" w:eastAsia="Times New Roman" w:cs="Times New Roman"/>
        </w:rPr>
        <w:t>Ujumbe wa kinabii unaozalisha athari ya kubadilishwa na kufanywa kwa mfano wa Kristo, ambao Danieli anaueleza katika sura ya kumi, ni ujumbe wa yale yatakayowapata watu wa Mungu katika siku za mwisho, lakini si siku za mwisho kwa maana ya jumla. Ni ujumbe ambao watu wa Mungu huuelewa na kuupitia wakati wa kutiwa muhuri kwa wale mia moja arobaini na nne elfu.</w:t>
      </w:r>
    </w:p>
    <w:p>
      <w:pPr>
        <w:pStyle w:val="ArticleBody"/>
        <w:jc w:val="left"/>
      </w:pP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ਗਬ੍ਰੀਏਲ</w:t>
      </w:r>
      <w:r>
        <w:rPr>
          <w:rFonts w:ascii="Times New Roman" w:hAnsi="Times New Roman" w:eastAsia="Times New Roman" w:cs="Times New Roman"/>
        </w:rPr>
        <w:t xml:space="preserve"> </w:t>
      </w:r>
      <w:r>
        <w:rPr>
          <w:rFonts w:ascii="Nirmala UI" w:hAnsi="Nirmala UI" w:eastAsia="Nirmala UI" w:cs="Nirmala UI"/>
        </w:rPr>
        <w:t>ਗਿਆਰ੍ਹਵੇਂ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ਬੁਸ਼</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ਪੈਂਤਾਲੀਵੇਂ</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ਡੋਨਾਲਡ</w:t>
      </w:r>
      <w:r>
        <w:rPr>
          <w:rFonts w:ascii="Times New Roman" w:hAnsi="Times New Roman" w:eastAsia="Times New Roman" w:cs="Times New Roman"/>
        </w:rPr>
        <w:t xml:space="preserve"> </w:t>
      </w:r>
      <w:r>
        <w:rPr>
          <w:rFonts w:ascii="Nirmala UI" w:hAnsi="Nirmala UI" w:eastAsia="Nirmala UI" w:cs="Nirmala UI"/>
        </w:rPr>
        <w:t>ਟਰੰਪ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ਠਹਿਰ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ਸਿਕੰਦਰ</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ਡੋਨਾਲਡ</w:t>
      </w:r>
      <w:r>
        <w:rPr>
          <w:rFonts w:ascii="Times New Roman" w:hAnsi="Times New Roman" w:eastAsia="Times New Roman" w:cs="Times New Roman"/>
        </w:rPr>
        <w:t xml:space="preserve"> </w:t>
      </w:r>
      <w:r>
        <w:rPr>
          <w:rFonts w:ascii="Nirmala UI" w:hAnsi="Nirmala UI" w:eastAsia="Nirmala UI" w:cs="Nirmala UI"/>
        </w:rPr>
        <w:t>ਟਰੰਪ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ਗਲੋਬਲਵਾਦੀਆਂ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ਉਕਸਾਉਂਦਾ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ਵਰਤਮਾਨ</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Katika aya ya tano hadi ya tisa, historia ya upapa kuimarishwa juu ya kiti cha enzi, tangu mwaka 538 hadi jeraha lile la mauti na wakati wa mwisho katika mwaka 1798, imewekwa wazi. Bila shaka huu ni ukweli wa lazima na wa muhimu, kwa maana huitegemeza na kuithibitisha aya ya arobaini, lakini hautoi masimulizi mahsusi ya kinabii yanayotokea katika kipindi cha kutiwa muhuri kwa wale mia moja arobaini na nne elfu. Aya ya kumi, kama vile aya ya tano hadi ya tisa, inathibitisha uhalali wa aya ya arobaini, lakini haizungumzii historia ya kinabii inayotimizwa wakati wa kutiwa muhuri. Hata hivyo, huiashiria mwaka 1989, na kwa hiyo huanzisha kwa kuacha kutajwa kipindi cha kimya kutoka mwaka 1989 hadi sheria ya Jumapili katika aya ya arobaini na moja.</w:t>
      </w:r>
    </w:p>
    <w:p>
      <w:pPr>
        <w:pStyle w:val="ArticleBody"/>
        <w:jc w:val="left"/>
      </w:pPr>
      <w:r>
        <w:rPr>
          <w:rFonts w:ascii="Times New Roman" w:hAnsi="Times New Roman" w:eastAsia="Times New Roman" w:cs="Times New Roman"/>
        </w:rPr>
        <w:t>Les versets onze à quinze identifient une histoire qui s’accomplit durant la période du scellement des cent quarante-quatre mille. Ces versets s’inscrivent dans l’histoire cachée entre les versets deux et trois, et entre 1989 au verset quarante et la loi du dimanche au verset quarante et un. Ces versets constituent très véritablement la vérité présente, et doivent être reconnus comme tels si nous voulons recueillir les bienfaits que la compréhension de ces versets est destinée à produire.</w:t>
      </w:r>
    </w:p>
    <w:p>
      <w:pPr>
        <w:pStyle w:val="ArticleBody"/>
        <w:jc w:val="left"/>
      </w:pPr>
      <w:r>
        <w:rPr>
          <w:rFonts w:ascii="Times New Roman" w:hAnsi="Times New Roman" w:eastAsia="Times New Roman" w:cs="Times New Roman"/>
        </w:rPr>
        <w:t>Les bienfaits visés sont doubles, car cela représente la compréhension de l’histoire prophétique qui y est présentée, ainsi que l’expérience produite par la compréhension des vérités de ce message. La compréhension du message, accroissement final de la connaissance qui s’accomplit durant la période du scellement, est ce qui sanctifie ceux qui doivent être parmi les cent quarante-quatre mille. Pour cette raison, il importe de considérer ces versets sous l’angle de l’interne et de l’externe.</w:t>
      </w:r>
    </w:p>
    <w:p>
      <w:pPr>
        <w:pStyle w:val="ArticleBody"/>
        <w:jc w:val="left"/>
      </w:pPr>
      <w:r>
        <w:rPr>
          <w:rFonts w:ascii="Times New Roman" w:hAnsi="Times New Roman" w:eastAsia="Times New Roman" w:cs="Times New Roman"/>
        </w:rPr>
        <w:t>لم تُحدَّد اللغة الهدف؛ وقد كُتب «ff» بدل اسم اللغة. يرجى تزويدي باللغة المطلوبة لأقدّم الترجمة فقط.</w:t>
      </w:r>
    </w:p>
    <w:p>
      <w:pPr>
        <w:pStyle w:val="ArticleBody"/>
        <w:jc w:val="left"/>
      </w:pPr>
      <w:r>
        <w:rPr>
          <w:rFonts w:ascii="Times New Roman" w:hAnsi="Times New Roman" w:eastAsia="Times New Roman" w:cs="Times New Roman"/>
        </w:rPr>
        <w:t>Matahimik na saaysaying kinakatawan sa iba’t ibang talata sa Daniel onse, na hayagang tumutukoy sa kasaysayang natutupad sa loob ng panahon ng pagtatatak, ay kinakatawan ng panalangin ni Daniel sa kabanata dalawa. Siya at ang tatlong mararangal ay nagsikap na maunawaan ang lihim na pahayag ng panaginip ni Nabucodonosor tungkol sa larawang yari sa mga metal. Kapag kinilala ang wastong pagkaunawa sa kasaysayang panghula na kinakatawan sa nakatagong panaginip ni Nabucodonosor, ang pagkaunawang iyon ay nagpapakilala sa mga nakauunawa na sila’y walang pag-asa, malibang personal nilang maisakatuparan ang karanasan ng ganap na pagsisisi na kinakatawan ng panalangin ni Daniel sa kabanata nuwebe.</w:t>
      </w:r>
    </w:p>
    <w:p>
      <w:pPr>
        <w:pStyle w:val="ArticleBody"/>
        <w:jc w:val="left"/>
      </w:pPr>
      <w:r>
        <w:rPr>
          <w:rFonts w:ascii="Times New Roman" w:hAnsi="Times New Roman" w:eastAsia="Times New Roman" w:cs="Times New Roman"/>
        </w:rPr>
        <w:t>Kupatula chochitika choyimiridwa ndi Danieli m’chaputala khumi ku nkhani ya uneneri ya zochitika za nthawi ya mapeto m’chaputala khumi ndi chimodzi, ndi kulephera monga wophunzira wa uneneri. Mu Danieli chaputala khumi ndi chimodzi, mavesi khumi ndi chimodzi ndi khumi ndi awiri, nkhondo ya malire, Nkhondo ya Raphia ndi chipambano cha mfumu ya kummwera, zikuyimira yachiwiri mwa nkhondo zitatu zoyendetsedwa mwa ena zomwe zalembedwa m’Mawu a uneneri a Mulungu. Chinsinsi chimene chimabweretsa vumbulutso ili la choonadi poyera ndi mmene Wodziwa Ziyankhulo Wodabwitsa amagwiritsira ntchito mawu akuti mfumu ya kumpoto ikusefukira ndi kupitiriza, kufika ku linga (khosi), m’vesi la khumi. Iye anapereka mavesi ena awiri amene akukamba za kusefukira ndi kupitiriza; ndipo pochita chimenechi akulumikiza pamodzi nkhani ya uneneri ya zochitika ndi chochitika chimene kumvetsa kwa zochitikazo kuyenera kubala.</w:t>
      </w:r>
    </w:p>
    <w:p>
      <w:pPr>
        <w:pStyle w:val="ArticleScripture"/>
        <w:jc w:val="left"/>
      </w:pP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उत्तेजित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उमड़कर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लौटेगा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उत्तेजित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उठेगा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गर्वित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बलवन्त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11:10–12</w:t>
      </w:r>
      <w:r>
        <w:rPr>
          <w:rFonts w:ascii="Nirmala UI" w:hAnsi="Nirmala UI" w:eastAsia="Nirmala UI" w:cs="Nirmala UI"/>
        </w:rPr>
        <w:t>।</w:t>
      </w:r>
    </w:p>
    <w:p>
      <w:pPr>
        <w:pStyle w:val="ArticleBody"/>
        <w:jc w:val="left"/>
      </w:pPr>
      <w:r>
        <w:rPr>
          <w:rFonts w:ascii="Times New Roman" w:hAnsi="Times New Roman" w:eastAsia="Times New Roman" w:cs="Times New Roman"/>
        </w:rPr>
        <w:t>En 2014, Putin a commencé une guerre en Ukraine, et, pour reconnaître cette vérité telle qu’elle est représentée au verset onze du chapitre onze, un étudiant de la prophétie doit d’abord être capable de voir que le verset dix représente une histoire qui illustre la seconde partie du verset quarante de Daniel chapitre onze. Lorsqu’il le reconnaît, il voit alors que ce que le verset dix ajoute au verset quarante, c’est que, lorsque l’Union soviétique fut emportée en 1989, le roi du nord ne monta que jusqu’à sa forteresse (le « cou »). Mais un étudiant de la prophétie ne saurait ce que cela indiquait, avant d’avoir vu Ésaïe chapitre huit, verset huit. Alors il aurait l’autorité prophétique d’identifier que les trois versets sont liés ensemble par une expression qui n’est employée que trois fois dans la Bible.</w:t>
      </w:r>
    </w:p>
    <w:p>
      <w:pPr>
        <w:pStyle w:val="ArticleBody"/>
        <w:jc w:val="left"/>
      </w:pPr>
      <w:r>
        <w:rPr>
          <w:rFonts w:ascii="Times New Roman" w:hAnsi="Times New Roman" w:eastAsia="Times New Roman" w:cs="Times New Roman"/>
        </w:rPr>
        <w:t>Na’oozhí da’ágóó shik’éí “overflow and pass over” yee hane’ doo bibeehaz’áanii biyi’ t’ááłá’ígo t’áá ajiłiił dooleełgo, naaki bee hane’ígíí biniinaa beehozin dooleeł. Díí t’áá íiyisí bee hane’ígíí biniinaa beehozin, bikáa’gi doo bibeehaz’áanii biyi’ ayóo dooleełgo, áadiłhiłígíí t’ááłá’ígo naakiłtsoh (witnesses), dah naasháago, shádi’ááł nitsáhákeesígíí biyi’ king of the north yinilyéego, king áshdlá’í bikáa’gi nilį́įgo atah níji’ígíí yee nidaalnish. T’ááłá’ígo díí naakiłtsoh t’áá ajiłiiłgo, naaki bee hane’ígíí biyi’ t’áá ajiłiił nisinígíí bee hane’ígíí yáhoot’ééł, prophecy bee adáhodílzinígíí bináá’doolwoł dooleełgo, áadiłhiłígíí t’ááłá’ígo k’ad line upon line bee ajiłiiłgo, t’ááłá’ígo bikáa’gi nidaalnish dooleeł. Díí bee hane’ígíí biyi’ yee ajiłiiłígíí, verses biyi’ ádáhodíílnihígíí ayóo beehalne’ dooleeł; éí king of the north dóó king of the south bitah nidaalnishígíí hane’ yee halne’.</w:t>
      </w:r>
    </w:p>
    <w:p>
      <w:pPr>
        <w:pStyle w:val="ArticleBody"/>
        <w:jc w:val="left"/>
      </w:pPr>
      <w:r>
        <w:rPr>
          <w:rFonts w:ascii="Times New Roman" w:hAnsi="Times New Roman" w:eastAsia="Times New Roman" w:cs="Times New Roman"/>
        </w:rPr>
        <w:t>Izaya surasi ettinchi bobning sakkizinchi va to‘qqizinchi oyatlari o‘ninchi oyatda tilga olingan “qal’a” nimani anglatishi haqidagi jumboqni yechishning kalitini beradi, chunki ibroniychadagi “qal’a” so‘zi o‘n birinchi bobning yettinchi oyatida janub shohi kirgan “qal’a”ning o‘zidir. “Qal’a” so‘zi Doniyor 11:31 dagi “quvvat ma’badi” iborasida “quvvat” deb ham tarjima qilingan. Shunday qilib, bu ikki oyat (yettinchi va o‘ttiz birinchi) “qal’a” podshohlikning poytaxti yoki bir podshohning o‘zi ekaniga ikki guvohlik beradi. Bu haqiqat ikki guvoh asosida (ikkalasi ham o‘n birinchi bobda) mustahkamlanganidan so‘ng, Izaya yettinchi bobning sakkizinchi va to‘qqizinchi oyatlaridagi o‘zining ramziy parchasi orqali, qal’a podshohlikning poytaxti yoki o‘sha podshohlikning shohi ekanini ikki ichki guvoh bilan belgilab berar ekan, 1989 yildan avval poytaxti Rossiya bo‘lgan, markaziy shahri Moskva bo‘lgan Sovet Ittifoqining boshida Mixail Gorbachev turganini belgilaydi. Gorbachevning ko‘zga tashlanadigan xususiyati uning peshonasi bo‘lgani tasodif emas.</w:t>
      </w:r>
    </w:p>
    <w:p>
      <w:pPr>
        <w:pStyle w:val="ArticleBody"/>
        <w:jc w:val="left"/>
      </w:pPr>
      <w:r>
        <w:rPr>
          <w:rFonts w:ascii="Microsoft YaHei" w:hAnsi="Microsoft YaHei" w:eastAsia="Microsoft YaHei" w:cs="Microsoft YaHei"/>
        </w:rPr>
        <w:t>逐句申明</w:t>
      </w:r>
      <w:r>
        <w:rPr>
          <w:rFonts w:ascii="Times New Roman" w:hAnsi="Times New Roman" w:eastAsia="Times New Roman" w:cs="Times New Roman"/>
        </w:rPr>
        <w:t>,</w:t>
      </w:r>
      <w:r>
        <w:rPr>
          <w:rFonts w:ascii="Microsoft YaHei" w:hAnsi="Microsoft YaHei" w:eastAsia="Microsoft YaHei" w:cs="Microsoft YaHei"/>
        </w:rPr>
        <w:t>这一应用的结论在如下宣告中强调了其重要性：</w:t>
      </w:r>
      <w:r>
        <w:rPr>
          <w:rFonts w:ascii="Times New Roman" w:hAnsi="Times New Roman" w:eastAsia="Times New Roman" w:cs="Times New Roman"/>
        </w:rPr>
        <w:t>“</w:t>
      </w:r>
      <w:r>
        <w:rPr>
          <w:rFonts w:ascii="Microsoft YaHei" w:hAnsi="Microsoft YaHei" w:eastAsia="Microsoft YaHei" w:cs="Microsoft YaHei"/>
        </w:rPr>
        <w:t>你们若不信</w:t>
      </w:r>
      <w:r>
        <w:rPr>
          <w:rFonts w:ascii="Times New Roman" w:hAnsi="Times New Roman" w:eastAsia="Times New Roman" w:cs="Times New Roman"/>
        </w:rPr>
        <w:t>,</w:t>
      </w:r>
      <w:r>
        <w:rPr>
          <w:rFonts w:ascii="Microsoft YaHei" w:hAnsi="Microsoft YaHei" w:eastAsia="Microsoft YaHei" w:cs="Microsoft YaHei"/>
        </w:rPr>
        <w:t>必不得立稳</w:t>
      </w:r>
      <w:r>
        <w:rPr>
          <w:rFonts w:ascii="Times New Roman" w:hAnsi="Times New Roman" w:eastAsia="Times New Roman" w:cs="Times New Roman"/>
        </w:rPr>
        <w:t>.”</w:t>
      </w:r>
      <w:r>
        <w:rPr>
          <w:rFonts w:ascii="Microsoft YaHei" w:hAnsi="Microsoft YaHei" w:eastAsia="Microsoft YaHei" w:cs="Microsoft YaHei"/>
        </w:rPr>
        <w:t>耶稣说：</w:t>
      </w:r>
      <w:r>
        <w:rPr>
          <w:rFonts w:ascii="Times New Roman" w:hAnsi="Times New Roman" w:eastAsia="Times New Roman" w:cs="Times New Roman"/>
        </w:rPr>
        <w:t>“</w:t>
      </w:r>
      <w:r>
        <w:rPr>
          <w:rFonts w:ascii="Microsoft YaHei" w:hAnsi="Microsoft YaHei" w:eastAsia="Microsoft YaHei" w:cs="Microsoft YaHei"/>
        </w:rPr>
        <w:t>无知的人哪</w:t>
      </w:r>
      <w:r>
        <w:rPr>
          <w:rFonts w:ascii="Times New Roman" w:hAnsi="Times New Roman" w:eastAsia="Times New Roman" w:cs="Times New Roman"/>
        </w:rPr>
        <w:t>,</w:t>
      </w:r>
      <w:r>
        <w:rPr>
          <w:rFonts w:ascii="Microsoft YaHei" w:hAnsi="Microsoft YaHei" w:eastAsia="Microsoft YaHei" w:cs="Microsoft YaHei"/>
        </w:rPr>
        <w:t>你们的心信得太迟钝了</w:t>
      </w:r>
      <w:r>
        <w:rPr>
          <w:rFonts w:ascii="Times New Roman" w:hAnsi="Times New Roman" w:eastAsia="Times New Roman" w:cs="Times New Roman"/>
        </w:rPr>
        <w:t>,</w:t>
      </w:r>
      <w:r>
        <w:rPr>
          <w:rFonts w:ascii="Microsoft YaHei" w:hAnsi="Microsoft YaHei" w:eastAsia="Microsoft YaHei" w:cs="Microsoft YaHei"/>
        </w:rPr>
        <w:t>先知所说的一切话</w:t>
      </w:r>
      <w:r>
        <w:rPr>
          <w:rFonts w:ascii="Times New Roman" w:hAnsi="Times New Roman" w:eastAsia="Times New Roman" w:cs="Times New Roman"/>
        </w:rPr>
        <w:t>,</w:t>
      </w:r>
      <w:r>
        <w:rPr>
          <w:rFonts w:ascii="Microsoft YaHei" w:hAnsi="Microsoft YaHei" w:eastAsia="Microsoft YaHei" w:cs="Microsoft YaHei"/>
        </w:rPr>
        <w:t>你们都不信</w:t>
      </w:r>
      <w:r>
        <w:rPr>
          <w:rFonts w:ascii="Times New Roman" w:hAnsi="Times New Roman" w:eastAsia="Times New Roman" w:cs="Times New Roman"/>
        </w:rPr>
        <w:t>.”</w:t>
      </w:r>
      <w:r>
        <w:rPr>
          <w:rFonts w:ascii="Microsoft YaHei" w:hAnsi="Microsoft YaHei" w:eastAsia="Microsoft YaHei" w:cs="Microsoft YaHei"/>
        </w:rPr>
        <w:t>［见</w:t>
      </w:r>
      <w:r>
        <w:rPr>
          <w:rFonts w:ascii="Times New Roman" w:hAnsi="Times New Roman" w:eastAsia="Times New Roman" w:cs="Times New Roman"/>
        </w:rPr>
        <w:t xml:space="preserve"> Luke 24:25</w:t>
      </w:r>
      <w:r>
        <w:rPr>
          <w:rFonts w:ascii="Microsoft YaHei" w:hAnsi="Microsoft YaHei" w:eastAsia="Microsoft YaHei" w:cs="Microsoft YaHei"/>
        </w:rPr>
        <w:t>］以斯拉写道：</w:t>
      </w:r>
      <w:r>
        <w:rPr>
          <w:rFonts w:ascii="Times New Roman" w:hAnsi="Times New Roman" w:eastAsia="Times New Roman" w:cs="Times New Roman"/>
        </w:rPr>
        <w:t>“</w:t>
      </w:r>
      <w:r>
        <w:rPr>
          <w:rFonts w:ascii="Microsoft YaHei" w:hAnsi="Microsoft YaHei" w:eastAsia="Microsoft YaHei" w:cs="Microsoft YaHei"/>
        </w:rPr>
        <w:t>次日清早</w:t>
      </w:r>
      <w:r>
        <w:rPr>
          <w:rFonts w:ascii="Times New Roman" w:hAnsi="Times New Roman" w:eastAsia="Times New Roman" w:cs="Times New Roman"/>
        </w:rPr>
        <w:t>,</w:t>
      </w:r>
      <w:r>
        <w:rPr>
          <w:rFonts w:ascii="Microsoft YaHei" w:hAnsi="Microsoft YaHei" w:eastAsia="Microsoft YaHei" w:cs="Microsoft YaHei"/>
        </w:rPr>
        <w:t>他们起来</w:t>
      </w:r>
      <w:r>
        <w:rPr>
          <w:rFonts w:ascii="Times New Roman" w:hAnsi="Times New Roman" w:eastAsia="Times New Roman" w:cs="Times New Roman"/>
        </w:rPr>
        <w:t>,</w:t>
      </w:r>
      <w:r>
        <w:rPr>
          <w:rFonts w:ascii="Microsoft YaHei" w:hAnsi="Microsoft YaHei" w:eastAsia="Microsoft YaHei" w:cs="Microsoft YaHei"/>
        </w:rPr>
        <w:t>往提哥亚的旷野去</w:t>
      </w:r>
      <w:r>
        <w:rPr>
          <w:rFonts w:ascii="Times New Roman" w:hAnsi="Times New Roman" w:eastAsia="Times New Roman" w:cs="Times New Roman"/>
        </w:rPr>
        <w:t>;</w:t>
      </w:r>
      <w:r>
        <w:rPr>
          <w:rFonts w:ascii="Microsoft YaHei" w:hAnsi="Microsoft YaHei" w:eastAsia="Microsoft YaHei" w:cs="Microsoft YaHei"/>
        </w:rPr>
        <w:t>出去的时候</w:t>
      </w:r>
      <w:r>
        <w:rPr>
          <w:rFonts w:ascii="Times New Roman" w:hAnsi="Times New Roman" w:eastAsia="Times New Roman" w:cs="Times New Roman"/>
        </w:rPr>
        <w:t>,</w:t>
      </w:r>
      <w:r>
        <w:rPr>
          <w:rFonts w:ascii="Microsoft YaHei" w:hAnsi="Microsoft YaHei" w:eastAsia="Microsoft YaHei" w:cs="Microsoft YaHei"/>
        </w:rPr>
        <w:t>约沙法站着说</w:t>
      </w:r>
      <w:r>
        <w:rPr>
          <w:rFonts w:ascii="Times New Roman" w:hAnsi="Times New Roman" w:eastAsia="Times New Roman" w:cs="Times New Roman"/>
        </w:rPr>
        <w:t>,</w:t>
      </w:r>
      <w:r>
        <w:rPr>
          <w:rFonts w:ascii="Microsoft YaHei" w:hAnsi="Microsoft YaHei" w:eastAsia="Microsoft YaHei" w:cs="Microsoft YaHei"/>
        </w:rPr>
        <w:t>犹大人和耶路撒冷的居民哪</w:t>
      </w:r>
      <w:r>
        <w:rPr>
          <w:rFonts w:ascii="Times New Roman" w:hAnsi="Times New Roman" w:eastAsia="Times New Roman" w:cs="Times New Roman"/>
        </w:rPr>
        <w:t>,</w:t>
      </w:r>
      <w:r>
        <w:rPr>
          <w:rFonts w:ascii="Microsoft YaHei" w:hAnsi="Microsoft YaHei" w:eastAsia="Microsoft YaHei" w:cs="Microsoft YaHei"/>
        </w:rPr>
        <w:t>要听我说</w:t>
      </w:r>
      <w:r>
        <w:rPr>
          <w:rFonts w:ascii="Times New Roman" w:hAnsi="Times New Roman" w:eastAsia="Times New Roman" w:cs="Times New Roman"/>
        </w:rPr>
        <w:t>;</w:t>
      </w:r>
      <w:r>
        <w:rPr>
          <w:rFonts w:ascii="Microsoft YaHei" w:hAnsi="Microsoft YaHei" w:eastAsia="Microsoft YaHei" w:cs="Microsoft YaHei"/>
        </w:rPr>
        <w:t>信耶和华你们的神</w:t>
      </w:r>
      <w:r>
        <w:rPr>
          <w:rFonts w:ascii="Times New Roman" w:hAnsi="Times New Roman" w:eastAsia="Times New Roman" w:cs="Times New Roman"/>
        </w:rPr>
        <w:t>,</w:t>
      </w:r>
      <w:r>
        <w:rPr>
          <w:rFonts w:ascii="Microsoft YaHei" w:hAnsi="Microsoft YaHei" w:eastAsia="Microsoft YaHei" w:cs="Microsoft YaHei"/>
        </w:rPr>
        <w:t>就必立稳</w:t>
      </w:r>
      <w:r>
        <w:rPr>
          <w:rFonts w:ascii="Times New Roman" w:hAnsi="Times New Roman" w:eastAsia="Times New Roman" w:cs="Times New Roman"/>
        </w:rPr>
        <w:t>;</w:t>
      </w:r>
      <w:r>
        <w:rPr>
          <w:rFonts w:ascii="Microsoft YaHei" w:hAnsi="Microsoft YaHei" w:eastAsia="Microsoft YaHei" w:cs="Microsoft YaHei"/>
        </w:rPr>
        <w:t>信他的先知</w:t>
      </w:r>
      <w:r>
        <w:rPr>
          <w:rFonts w:ascii="Times New Roman" w:hAnsi="Times New Roman" w:eastAsia="Times New Roman" w:cs="Times New Roman"/>
        </w:rPr>
        <w:t>,</w:t>
      </w:r>
      <w:r>
        <w:rPr>
          <w:rFonts w:ascii="Microsoft YaHei" w:hAnsi="Microsoft YaHei" w:eastAsia="Microsoft YaHei" w:cs="Microsoft YaHei"/>
        </w:rPr>
        <w:t>就必亨通</w:t>
      </w:r>
      <w:r>
        <w:rPr>
          <w:rFonts w:ascii="Times New Roman" w:hAnsi="Times New Roman" w:eastAsia="Times New Roman" w:cs="Times New Roman"/>
        </w:rPr>
        <w:t>.”</w:t>
      </w:r>
      <w:r>
        <w:rPr>
          <w:rFonts w:ascii="Microsoft YaHei" w:hAnsi="Microsoft YaHei" w:eastAsia="Microsoft YaHei" w:cs="Microsoft YaHei"/>
        </w:rPr>
        <w:t>［见</w:t>
      </w:r>
      <w:r>
        <w:rPr>
          <w:rFonts w:ascii="Times New Roman" w:hAnsi="Times New Roman" w:eastAsia="Times New Roman" w:cs="Times New Roman"/>
        </w:rPr>
        <w:t xml:space="preserve"> 2 Chronicles 20:20</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中</w:t>
      </w:r>
      <w:r>
        <w:rPr>
          <w:rFonts w:ascii="Times New Roman" w:hAnsi="Times New Roman" w:eastAsia="Times New Roman" w:cs="Times New Roman"/>
        </w:rPr>
        <w:t>,“</w:t>
      </w:r>
      <w:r>
        <w:rPr>
          <w:rFonts w:ascii="Microsoft YaHei" w:hAnsi="Microsoft YaHei" w:eastAsia="Microsoft YaHei" w:cs="Microsoft YaHei"/>
        </w:rPr>
        <w:t>要听</w:t>
      </w:r>
      <w:r>
        <w:rPr>
          <w:rFonts w:ascii="Times New Roman" w:hAnsi="Times New Roman" w:eastAsia="Times New Roman" w:cs="Times New Roman"/>
        </w:rPr>
        <w:t>”</w:t>
      </w:r>
      <w:r>
        <w:rPr>
          <w:rFonts w:ascii="Microsoft YaHei" w:hAnsi="Microsoft YaHei" w:eastAsia="Microsoft YaHei" w:cs="Microsoft YaHei"/>
        </w:rPr>
        <w:t>的命令共发出七次</w:t>
      </w:r>
      <w:r>
        <w:rPr>
          <w:rFonts w:ascii="Times New Roman" w:hAnsi="Times New Roman" w:eastAsia="Times New Roman" w:cs="Times New Roman"/>
        </w:rPr>
        <w:t>.“</w:t>
      </w:r>
      <w:r>
        <w:rPr>
          <w:rFonts w:ascii="Microsoft YaHei" w:hAnsi="Microsoft YaHei" w:eastAsia="Microsoft YaHei" w:cs="Microsoft YaHei"/>
        </w:rPr>
        <w:t>凡有耳的</w:t>
      </w:r>
      <w:r>
        <w:rPr>
          <w:rFonts w:ascii="Times New Roman" w:hAnsi="Times New Roman" w:eastAsia="Times New Roman" w:cs="Times New Roman"/>
        </w:rPr>
        <w:t>,</w:t>
      </w:r>
      <w:r>
        <w:rPr>
          <w:rFonts w:ascii="Microsoft YaHei" w:hAnsi="Microsoft YaHei" w:eastAsia="Microsoft YaHei" w:cs="Microsoft YaHei"/>
        </w:rPr>
        <w:t>就应当听圣灵向众教会所说的话</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Être affermi, c’est être au nombre des vierges sages, car les insensés sont lents de cœur à croire les prophètes. Les sages croient ce que Dieu a dit par l’entremise de Ses prophètes, et ils sont affermis et prospèrent, car ils entendent ce que l’Esprit dit aux Églises. L’identification de la Russie, ainsi que la guerre qu’elle a commencée en 2014 contre l’Ukraine, est ce qui affermit ceux qui sont de sages étudiants de la prophétie au temps où le Christ descelle cette vérité même.</w:t>
      </w:r>
    </w:p>
    <w:p>
      <w:pPr>
        <w:pStyle w:val="ArticleBody"/>
        <w:jc w:val="left"/>
      </w:pPr>
      <w:r>
        <w:rPr>
          <w:rFonts w:ascii="Times New Roman" w:hAnsi="Times New Roman" w:eastAsia="Times New Roman" w:cs="Times New Roman"/>
        </w:rPr>
        <w:t>Ada no nokware no baa abakɔsɛm mu wɔ afe 2014 mu, a ɛyɛ afe 2001 akyi, na ɛno nti ɛwɔ mprempren a wɔresɔw ahansia aduanan anan no ano no mu. Afe a edi hɔ, 2015, ɔmampanyin a ɔyɛ sikasɛm mu ɔdefo kɛse sen biara, a ɔno ne ɔmampanyin a ɔtɔ so asia fi awiei bere no mu wɔ 1989 no, fii ase kanyan wiase nyinaa aman mu nnipa no. Nkyekyɛm du no kyerɛ abakɔsɛm a ɛfa 1989 ho, nanso ɛsan si Russia hɔ sɛ “aban a wɔde bammɔ,” na nkyekyɛm abien a edi hɔ no mu no, Russia bɛhyɛ proxy akodi no ko a ɛto so abien no ase, na Putin bedi saa ko no mu nkonim. Nkyekyɛm ahorow no nokware no da adi bere a abakɔsɛm a egyina hɔ ma no no ba mu no.</w:t>
      </w:r>
    </w:p>
    <w:p>
      <w:pPr>
        <w:pStyle w:val="ArticleScripture"/>
        <w:jc w:val="left"/>
      </w:pPr>
      <w:r>
        <w:rPr>
          <w:rFonts w:ascii="Times New Roman" w:hAnsi="Times New Roman" w:eastAsia="Times New Roman" w:cs="Times New Roman"/>
        </w:rPr>
        <w:t>« Daniel se tient dans son lot et à sa place. Les prophéties de Daniel et de Jean doivent être comprises. Elles s’interprètent l’une l’autre. Elles donnent au monde des vérités que chacun devrait comprendre. Ces prophéties doivent être un témoignage dans le monde. Par leur accomplissement en ces derniers jours, elles s’expliqueront elles-mêmes. » The Kress Collection, 105.</w:t>
      </w:r>
    </w:p>
    <w:p>
      <w:pPr>
        <w:pStyle w:val="ArticleBody"/>
        <w:jc w:val="left"/>
      </w:pPr>
      <w:r>
        <w:rPr>
          <w:rFonts w:ascii="Times New Roman" w:hAnsi="Times New Roman" w:eastAsia="Times New Roman" w:cs="Times New Roman"/>
        </w:rPr>
        <w:t>Le prophétie des versets onze et douze est descellée par son accomplissement historique au temps du scellement des cent quarante-quatre mille; mais, « ligne sur ligne », un autre fait important se rattache à ces versets. Pour que l’étudiant de la prophétie puisse réunir les trois passages du « débordement et du passage par-dessus », il doit aussi faire entrer dans la ligne prophétique la prophétie des soixante-cinq ans. La prophétie des soixante-cinq ans marque le commencement des deux prophéties de deux mille cinq cent vingt ans, et elle indique qu’elles commencent à quarante-six ans d’intervalle l’une de l’autre. En identifiant les soixante-cinq ans au commencement, elle identifie aussi qu’Alpha et Oméga produiraient soixante-cinq ans à la fin.</w:t>
      </w:r>
    </w:p>
    <w:p>
      <w:pPr>
        <w:pStyle w:val="ArticleBody"/>
        <w:jc w:val="left"/>
      </w:pPr>
      <w:r>
        <w:rPr>
          <w:rFonts w:ascii="Nirmala UI" w:hAnsi="Nirmala UI" w:eastAsia="Nirmala UI" w:cs="Nirmala UI"/>
        </w:rPr>
        <w:t>ষাট</w:t>
      </w:r>
      <w:r>
        <w:rPr>
          <w:rFonts w:ascii="Times New Roman" w:hAnsi="Times New Roman" w:eastAsia="Times New Roman" w:cs="Times New Roman"/>
        </w:rPr>
        <w:t>-</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w:t>
      </w:r>
      <w:r>
        <w:rPr>
          <w:rFonts w:ascii="Nirmala UI" w:hAnsi="Nirmala UI" w:eastAsia="Nirmala UI" w:cs="Nirmala UI"/>
        </w:rPr>
        <w:t>আরম্ভেও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সমাপ্তিতেও</w:t>
      </w:r>
      <w:r>
        <w:rPr>
          <w:rFonts w:ascii="Times New Roman" w:hAnsi="Times New Roman" w:eastAsia="Times New Roman" w:cs="Times New Roman"/>
        </w:rPr>
        <w:t>—</w:t>
      </w:r>
      <w:r>
        <w:rPr>
          <w:rFonts w:ascii="Nirmala UI" w:hAnsi="Nirmala UI" w:eastAsia="Nirmala UI" w:cs="Nirmala UI"/>
        </w:rPr>
        <w:t>প্রত্যেকটি</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পথচিহ্নের</w:t>
      </w:r>
      <w:r>
        <w:rPr>
          <w:rFonts w:ascii="Times New Roman" w:hAnsi="Times New Roman" w:eastAsia="Times New Roman" w:cs="Times New Roman"/>
        </w:rPr>
        <w:t xml:space="preserve"> </w:t>
      </w:r>
      <w:r>
        <w:rPr>
          <w:rFonts w:ascii="Nirmala UI" w:hAnsi="Nirmala UI" w:eastAsia="Nirmala UI" w:cs="Nirmala UI"/>
        </w:rPr>
        <w:t>স্বাক্ষর</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প্রথমটি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742 BC,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ঊনিশ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723 BC,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ছেচল্লিশ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677 BC</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পথচিহ্ন</w:t>
      </w:r>
      <w:r>
        <w:rPr>
          <w:rFonts w:ascii="Times New Roman" w:hAnsi="Times New Roman" w:eastAsia="Times New Roman" w:cs="Times New Roman"/>
        </w:rPr>
        <w:t xml:space="preserve"> </w:t>
      </w:r>
      <w:r>
        <w:rPr>
          <w:rFonts w:ascii="Nirmala UI" w:hAnsi="Nirmala UI" w:eastAsia="Nirmala UI" w:cs="Nirmala UI"/>
        </w:rPr>
        <w:t>সমাপ্তিকালে</w:t>
      </w:r>
      <w:r>
        <w:rPr>
          <w:rFonts w:ascii="Times New Roman" w:hAnsi="Times New Roman" w:eastAsia="Times New Roman" w:cs="Times New Roman"/>
        </w:rPr>
        <w:t xml:space="preserve"> 1798, 1844, </w:t>
      </w:r>
      <w:r>
        <w:rPr>
          <w:rFonts w:ascii="Nirmala UI" w:hAnsi="Nirmala UI" w:eastAsia="Nirmala UI" w:cs="Nirmala UI"/>
        </w:rPr>
        <w:t>এবং</w:t>
      </w:r>
      <w:r>
        <w:rPr>
          <w:rFonts w:ascii="Times New Roman" w:hAnsi="Times New Roman" w:eastAsia="Times New Roman" w:cs="Times New Roman"/>
        </w:rPr>
        <w:t xml:space="preserve"> 1863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সূচনাকালের</w:t>
      </w:r>
      <w:r>
        <w:rPr>
          <w:rFonts w:ascii="Times New Roman" w:hAnsi="Times New Roman" w:eastAsia="Times New Roman" w:cs="Times New Roman"/>
        </w:rPr>
        <w:t xml:space="preserve"> (Alpha) </w:t>
      </w:r>
      <w:r>
        <w:rPr>
          <w:rFonts w:ascii="Nirmala UI" w:hAnsi="Nirmala UI" w:eastAsia="Nirmala UI" w:cs="Nirmala UI"/>
        </w:rPr>
        <w:t>ছেচল্লিশ</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হওয়াকে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সমাপ্তিকালের</w:t>
      </w:r>
      <w:r>
        <w:rPr>
          <w:rFonts w:ascii="Times New Roman" w:hAnsi="Times New Roman" w:eastAsia="Times New Roman" w:cs="Times New Roman"/>
        </w:rPr>
        <w:t xml:space="preserve"> (Omega) </w:t>
      </w:r>
      <w:r>
        <w:rPr>
          <w:rFonts w:ascii="Nirmala UI" w:hAnsi="Nirmala UI" w:eastAsia="Nirmala UI" w:cs="Nirmala UI"/>
        </w:rPr>
        <w:t>ছেচল্লিশ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পুনঃস্থাপনকে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Alpha </w:t>
      </w:r>
      <w:r>
        <w:rPr>
          <w:rFonts w:ascii="Nirmala UI" w:hAnsi="Nirmala UI" w:eastAsia="Nirmala UI" w:cs="Nirmala UI"/>
        </w:rPr>
        <w:t>ও</w:t>
      </w:r>
      <w:r>
        <w:rPr>
          <w:rFonts w:ascii="Times New Roman" w:hAnsi="Times New Roman" w:eastAsia="Times New Roman" w:cs="Times New Roman"/>
        </w:rPr>
        <w:t xml:space="preserve"> Omega-</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হঠাৎ</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1798 </w:t>
      </w:r>
      <w:r>
        <w:rPr>
          <w:rFonts w:ascii="Nirmala UI" w:hAnsi="Nirmala UI" w:eastAsia="Nirmala UI" w:cs="Nirmala UI"/>
        </w:rPr>
        <w:t>থেকে</w:t>
      </w:r>
      <w:r>
        <w:rPr>
          <w:rFonts w:ascii="Times New Roman" w:hAnsi="Times New Roman" w:eastAsia="Times New Roman" w:cs="Times New Roman"/>
        </w:rPr>
        <w:t xml:space="preserve"> 1844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ছেচল্লিশ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করেছিলেন।</w:t>
      </w:r>
    </w:p>
    <w:p>
      <w:pPr>
        <w:pStyle w:val="ArticleBody"/>
        <w:jc w:val="left"/>
      </w:pPr>
      <w:r>
        <w:rPr>
          <w:rFonts w:ascii="Nirmala UI" w:hAnsi="Nirmala UI" w:eastAsia="Nirmala UI" w:cs="Nirmala UI"/>
        </w:rPr>
        <w:t>९८६</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७४२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कायास्थिक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1844 </w:t>
      </w:r>
      <w:r>
        <w:rPr>
          <w:rFonts w:ascii="Nirmala UI" w:hAnsi="Nirmala UI" w:eastAsia="Nirmala UI" w:cs="Nirmala UI"/>
        </w:rPr>
        <w:t>से</w:t>
      </w:r>
      <w:r>
        <w:rPr>
          <w:rFonts w:ascii="Times New Roman" w:hAnsi="Times New Roman" w:eastAsia="Times New Roman" w:cs="Times New Roman"/>
        </w:rPr>
        <w:t xml:space="preserve"> 1863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विद्यार्थी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1844 </w:t>
      </w:r>
      <w:r>
        <w:rPr>
          <w:rFonts w:ascii="Nirmala UI" w:hAnsi="Nirmala UI" w:eastAsia="Nirmala UI" w:cs="Nirmala UI"/>
        </w:rPr>
        <w:t>से</w:t>
      </w:r>
      <w:r>
        <w:rPr>
          <w:rFonts w:ascii="Times New Roman" w:hAnsi="Times New Roman" w:eastAsia="Times New Roman" w:cs="Times New Roman"/>
        </w:rPr>
        <w:t xml:space="preserve"> 1863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1844 نشان‌دهندۀ آمدنِ فرشتۀ سوم است، و به‌گونه‌ای نمادین آمدنِ فرشتۀ سوم را در 11 سپتامبر 2001 نیز مجسّم می‌سازد. 1863 بیانگر آن عصیانی است که به‌واسطۀ بازسازی اَریحا نمادپردازی شده است. علامتِ راهِ 1863 همچنین نمونه‌وار اطاعتِ آن یکصد و چهل و چهار هزار نفری را نشان می‌دهد که در شرفِ وقوعِ قانونِ یکشنبه به‌کار گرفته می‌شوند تا «دیوارهای اَریحا را فرو ریزند». در آیاتی که در نظر داریم، آیۀ شانزدهم نمایانگر قانونِ یکشنبه در ایالات متحدۀ آمریکا است. آیۀ یازدهم از 2014 تا پیروزی نهایی پوتین را مشخص می‌سازد. این آیات آغازِ دومین جنگ نیابتی را معیّن می‌کنند که پس از آن سومین جنگ نیابتی می‌آید، چنان‌که در آیات سیزده تا پانزده بازنمایی شده است.</w:t>
      </w:r>
    </w:p>
    <w:p>
      <w:pPr>
        <w:pStyle w:val="ArticleBody"/>
        <w:jc w:val="left"/>
      </w:pPr>
      <w:r>
        <w:rPr>
          <w:rFonts w:ascii="Times New Roman" w:hAnsi="Times New Roman" w:eastAsia="Times New Roman" w:cs="Times New Roman"/>
        </w:rPr>
        <w:t>En réunissant le verset deux avec les versets onze et douze, nous identifions la guerre d’Ukraine commençant en 2014, suivie ensuite par la campagne présidentielle américaine de 2015, puis par l’élection, en 2016, du président le plus riche. Le verset douze est suivi des représailles du dernier président avant la loi du dimanche, dans la troisième guerre par procuration. La deuxième guerre par procuration, qui est la bataille de la ligne de démarcation, commença juste avant l’élection du sixième et du plus riche des présidents.</w:t>
      </w:r>
    </w:p>
    <w:p>
      <w:pPr>
        <w:pStyle w:val="ArticleBody"/>
        <w:jc w:val="left"/>
      </w:pPr>
      <w:r>
        <w:rPr>
          <w:rFonts w:ascii="Times New Roman" w:hAnsi="Times New Roman" w:eastAsia="Times New Roman" w:cs="Times New Roman"/>
        </w:rPr>
        <w:t>En l’histoire de 1844 à 1863, les deux bâtons d’Ézéchiel devaient être réunis. Leur réunion représentait l’union de la divinité et de l’humanité, qui est l’œuvre du scellement des cent quarante-quatre mille. En 1844, le troisième ange arriva et descella la lumière associée au sanctuaire céleste, à la loi de Dieu, au sabbat, et au troisième ange. En 1849, le Seigneur étendit Sa main une seconde fois pour rassembler le troupeau dispersé qui avait subi une dispersion lors de la grande déception. En 1850, Il conduisit Son peuple à préparer la seconde carte d’Habacuc, afin d’illustrer graphiquement le message que Son peuple devait proclamer, tandis qu’Il les conduisait à « faire tomber les murailles de Jéricho ». Cette carte comprenait les « sept temps », tout comme l’« ancienne carte ».</w:t>
      </w:r>
    </w:p>
    <w:p>
      <w:pPr>
        <w:pStyle w:val="ArticleBody"/>
        <w:jc w:val="left"/>
      </w:pPr>
      <w:r>
        <w:rPr>
          <w:rFonts w:ascii="Times New Roman" w:hAnsi="Times New Roman" w:eastAsia="Times New Roman" w:cs="Times New Roman"/>
        </w:rPr>
        <w:t>Noong 1856, Kaniyang binuksan ang liwanag na magtatatak sa Kaniyang bayan bilang paghahanda sa “Labanan sa Jerico.” Ang liwanag na iyon ay karagdagan ng unang liwanag na inihayag ng Alpha at Omega kay William Miller. Iyon ang liwanag ng “pitong panahon,” gaya ng paulit-ulit na inilarawan sa sinaunang Labanan sa Jerico. Ang liwanag na magtatatak sa Kaniyang bayan ay siya ring mensahe sa Laodicea na gigising sa kanila, at maglilipat sa kanila pabalik muli sa karanasan ng Philadelphia. Ang huling liwanag na iyon ay karagdagan ng unang liwanag, ngunit pinabayaan ng Kaniyang bayan ang liwanag at sa gayon, sa kawalan ng ibang pagpili, ay pinili nilang maglibot sa ilang ng Laodicea. Ang 1844, 1849, 1850, 1856, at 1863 ay kumakatawan sa limang panandang-daan na inihahalintulad sa kasaysayan mula Setyembre 11, 2001 hanggang sa nalalapit na batas ng Linggo.</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Microsoft YaHei" w:hAnsi="Microsoft YaHei" w:eastAsia="Microsoft YaHei" w:cs="Microsoft YaHei"/>
        </w:rPr>
        <w:t>现在耶利哥城因以色列人就严严地关闭</w:t>
      </w:r>
      <w:r>
        <w:rPr>
          <w:rFonts w:ascii="Times New Roman" w:hAnsi="Times New Roman" w:eastAsia="Times New Roman" w:cs="Times New Roman"/>
        </w:rPr>
        <w:t>,</w:t>
      </w:r>
      <w:r>
        <w:rPr>
          <w:rFonts w:ascii="Microsoft YaHei" w:hAnsi="Microsoft YaHei" w:eastAsia="Microsoft YaHei" w:cs="Microsoft YaHei"/>
        </w:rPr>
        <w:t>无人出入</w:t>
      </w:r>
      <w:r>
        <w:rPr>
          <w:rFonts w:ascii="Times New Roman" w:hAnsi="Times New Roman" w:eastAsia="Times New Roman" w:cs="Times New Roman"/>
        </w:rPr>
        <w:t>.</w:t>
      </w:r>
      <w:r>
        <w:rPr>
          <w:rFonts w:ascii="Microsoft YaHei" w:hAnsi="Microsoft YaHei" w:eastAsia="Microsoft YaHei" w:cs="Microsoft YaHei"/>
        </w:rPr>
        <w:t>耶和华对约书亚说：</w:t>
      </w:r>
      <w:r>
        <w:rPr>
          <w:rFonts w:ascii="Times New Roman" w:hAnsi="Times New Roman" w:eastAsia="Times New Roman" w:cs="Times New Roman"/>
        </w:rPr>
        <w:t>“</w:t>
      </w:r>
      <w:r>
        <w:rPr>
          <w:rFonts w:ascii="Microsoft YaHei" w:hAnsi="Microsoft YaHei" w:eastAsia="Microsoft YaHei" w:cs="Microsoft YaHei"/>
        </w:rPr>
        <w:t>看哪</w:t>
      </w:r>
      <w:r>
        <w:rPr>
          <w:rFonts w:ascii="Times New Roman" w:hAnsi="Times New Roman" w:eastAsia="Times New Roman" w:cs="Times New Roman"/>
        </w:rPr>
        <w:t>,</w:t>
      </w:r>
      <w:r>
        <w:rPr>
          <w:rFonts w:ascii="Microsoft YaHei" w:hAnsi="Microsoft YaHei" w:eastAsia="Microsoft YaHei" w:cs="Microsoft YaHei"/>
        </w:rPr>
        <w:t>我已经把耶利哥和耶利哥王</w:t>
      </w:r>
      <w:r>
        <w:rPr>
          <w:rFonts w:ascii="Times New Roman" w:hAnsi="Times New Roman" w:eastAsia="Times New Roman" w:cs="Times New Roman"/>
        </w:rPr>
        <w:t>,</w:t>
      </w:r>
      <w:r>
        <w:rPr>
          <w:rFonts w:ascii="Microsoft YaHei" w:hAnsi="Microsoft YaHei" w:eastAsia="Microsoft YaHei" w:cs="Microsoft YaHei"/>
        </w:rPr>
        <w:t>并大能的勇士</w:t>
      </w:r>
      <w:r>
        <w:rPr>
          <w:rFonts w:ascii="Times New Roman" w:hAnsi="Times New Roman" w:eastAsia="Times New Roman" w:cs="Times New Roman"/>
        </w:rPr>
        <w:t>,</w:t>
      </w:r>
      <w:r>
        <w:rPr>
          <w:rFonts w:ascii="Microsoft YaHei" w:hAnsi="Microsoft YaHei" w:eastAsia="Microsoft YaHei" w:cs="Microsoft YaHei"/>
        </w:rPr>
        <w:t>都交在你手中</w:t>
      </w:r>
      <w:r>
        <w:rPr>
          <w:rFonts w:ascii="Times New Roman" w:hAnsi="Times New Roman" w:eastAsia="Times New Roman" w:cs="Times New Roman"/>
        </w:rPr>
        <w:t>.</w:t>
      </w:r>
      <w:r>
        <w:rPr>
          <w:rFonts w:ascii="Microsoft YaHei" w:hAnsi="Microsoft YaHei" w:eastAsia="Microsoft YaHei" w:cs="Microsoft YaHei"/>
        </w:rPr>
        <w:t>你们一切战士要围绕这城</w:t>
      </w:r>
      <w:r>
        <w:rPr>
          <w:rFonts w:ascii="Times New Roman" w:hAnsi="Times New Roman" w:eastAsia="Times New Roman" w:cs="Times New Roman"/>
        </w:rPr>
        <w:t>,</w:t>
      </w:r>
      <w:r>
        <w:rPr>
          <w:rFonts w:ascii="Microsoft YaHei" w:hAnsi="Microsoft YaHei" w:eastAsia="Microsoft YaHei" w:cs="Microsoft YaHei"/>
        </w:rPr>
        <w:t>一日绕城一次</w:t>
      </w:r>
      <w:r>
        <w:rPr>
          <w:rFonts w:ascii="Times New Roman" w:hAnsi="Times New Roman" w:eastAsia="Times New Roman" w:cs="Times New Roman"/>
        </w:rPr>
        <w:t>;</w:t>
      </w:r>
      <w:r>
        <w:rPr>
          <w:rFonts w:ascii="Microsoft YaHei" w:hAnsi="Microsoft YaHei" w:eastAsia="Microsoft YaHei" w:cs="Microsoft YaHei"/>
        </w:rPr>
        <w:t>你要这样行六日</w:t>
      </w:r>
      <w:r>
        <w:rPr>
          <w:rFonts w:ascii="Times New Roman" w:hAnsi="Times New Roman" w:eastAsia="Times New Roman" w:cs="Times New Roman"/>
        </w:rPr>
        <w:t>.</w:t>
      </w:r>
      <w:r>
        <w:rPr>
          <w:rFonts w:ascii="Microsoft YaHei" w:hAnsi="Microsoft YaHei" w:eastAsia="Microsoft YaHei" w:cs="Microsoft YaHei"/>
        </w:rPr>
        <w:t>七个祭司要在约柜前拿着七个羊角</w:t>
      </w:r>
      <w:r>
        <w:rPr>
          <w:rFonts w:ascii="Times New Roman" w:hAnsi="Times New Roman" w:eastAsia="Times New Roman" w:cs="Times New Roman"/>
        </w:rPr>
        <w:t>;</w:t>
      </w:r>
      <w:r>
        <w:rPr>
          <w:rFonts w:ascii="Microsoft YaHei" w:hAnsi="Microsoft YaHei" w:eastAsia="Microsoft YaHei" w:cs="Microsoft YaHei"/>
        </w:rPr>
        <w:t>到第七日</w:t>
      </w:r>
      <w:r>
        <w:rPr>
          <w:rFonts w:ascii="Times New Roman" w:hAnsi="Times New Roman" w:eastAsia="Times New Roman" w:cs="Times New Roman"/>
        </w:rPr>
        <w:t>,</w:t>
      </w:r>
      <w:r>
        <w:rPr>
          <w:rFonts w:ascii="Microsoft YaHei" w:hAnsi="Microsoft YaHei" w:eastAsia="Microsoft YaHei" w:cs="Microsoft YaHei"/>
        </w:rPr>
        <w:t>你们要绕城七次</w:t>
      </w:r>
      <w:r>
        <w:rPr>
          <w:rFonts w:ascii="Times New Roman" w:hAnsi="Times New Roman" w:eastAsia="Times New Roman" w:cs="Times New Roman"/>
        </w:rPr>
        <w:t>,</w:t>
      </w:r>
      <w:r>
        <w:rPr>
          <w:rFonts w:ascii="Microsoft YaHei" w:hAnsi="Microsoft YaHei" w:eastAsia="Microsoft YaHei" w:cs="Microsoft YaHei"/>
        </w:rPr>
        <w:t>祭司也要吹角</w:t>
      </w:r>
      <w:r>
        <w:rPr>
          <w:rFonts w:ascii="Times New Roman" w:hAnsi="Times New Roman" w:eastAsia="Times New Roman" w:cs="Times New Roman"/>
        </w:rPr>
        <w:t>.</w:t>
      </w:r>
      <w:r>
        <w:rPr>
          <w:rFonts w:ascii="Microsoft YaHei" w:hAnsi="Microsoft YaHei" w:eastAsia="Microsoft YaHei" w:cs="Microsoft YaHei"/>
        </w:rPr>
        <w:t>到他们拉长声吹羊角的时候</w:t>
      </w:r>
      <w:r>
        <w:rPr>
          <w:rFonts w:ascii="Times New Roman" w:hAnsi="Times New Roman" w:eastAsia="Times New Roman" w:cs="Times New Roman"/>
        </w:rPr>
        <w:t>,</w:t>
      </w:r>
      <w:r>
        <w:rPr>
          <w:rFonts w:ascii="Microsoft YaHei" w:hAnsi="Microsoft YaHei" w:eastAsia="Microsoft YaHei" w:cs="Microsoft YaHei"/>
        </w:rPr>
        <w:t>你们一听见角声</w:t>
      </w:r>
      <w:r>
        <w:rPr>
          <w:rFonts w:ascii="Times New Roman" w:hAnsi="Times New Roman" w:eastAsia="Times New Roman" w:cs="Times New Roman"/>
        </w:rPr>
        <w:t>,</w:t>
      </w:r>
      <w:r>
        <w:rPr>
          <w:rFonts w:ascii="Microsoft YaHei" w:hAnsi="Microsoft YaHei" w:eastAsia="Microsoft YaHei" w:cs="Microsoft YaHei"/>
        </w:rPr>
        <w:t>众百姓都要大声呼喊</w:t>
      </w:r>
      <w:r>
        <w:rPr>
          <w:rFonts w:ascii="Times New Roman" w:hAnsi="Times New Roman" w:eastAsia="Times New Roman" w:cs="Times New Roman"/>
        </w:rPr>
        <w:t>;</w:t>
      </w:r>
      <w:r>
        <w:rPr>
          <w:rFonts w:ascii="Microsoft YaHei" w:hAnsi="Microsoft YaHei" w:eastAsia="Microsoft YaHei" w:cs="Microsoft YaHei"/>
        </w:rPr>
        <w:t>城墙就必塌陷</w:t>
      </w:r>
      <w:r>
        <w:rPr>
          <w:rFonts w:ascii="Times New Roman" w:hAnsi="Times New Roman" w:eastAsia="Times New Roman" w:cs="Times New Roman"/>
        </w:rPr>
        <w:t>,</w:t>
      </w:r>
      <w:r>
        <w:rPr>
          <w:rFonts w:ascii="Microsoft YaHei" w:hAnsi="Microsoft YaHei" w:eastAsia="Microsoft YaHei" w:cs="Microsoft YaHei"/>
        </w:rPr>
        <w:t>百姓各人都要向前直上</w:t>
      </w:r>
      <w:r>
        <w:rPr>
          <w:rFonts w:ascii="Times New Roman" w:hAnsi="Times New Roman" w:eastAsia="Times New Roman" w:cs="Times New Roman"/>
        </w:rPr>
        <w:t>.”</w:t>
      </w:r>
      <w:r>
        <w:rPr>
          <w:rFonts w:ascii="Microsoft YaHei" w:hAnsi="Microsoft YaHei" w:eastAsia="Microsoft YaHei" w:cs="Microsoft YaHei"/>
        </w:rPr>
        <w:t>嫩的儿子约书亚就召了祭司来</w:t>
      </w:r>
      <w:r>
        <w:rPr>
          <w:rFonts w:ascii="Times New Roman" w:hAnsi="Times New Roman" w:eastAsia="Times New Roman" w:cs="Times New Roman"/>
        </w:rPr>
        <w:t>,</w:t>
      </w:r>
      <w:r>
        <w:rPr>
          <w:rFonts w:ascii="Microsoft YaHei" w:hAnsi="Microsoft YaHei" w:eastAsia="Microsoft YaHei" w:cs="Microsoft YaHei"/>
        </w:rPr>
        <w:t>对他们说：</w:t>
      </w:r>
      <w:r>
        <w:rPr>
          <w:rFonts w:ascii="Times New Roman" w:hAnsi="Times New Roman" w:eastAsia="Times New Roman" w:cs="Times New Roman"/>
        </w:rPr>
        <w:t>“</w:t>
      </w:r>
      <w:r>
        <w:rPr>
          <w:rFonts w:ascii="Microsoft YaHei" w:hAnsi="Microsoft YaHei" w:eastAsia="Microsoft YaHei" w:cs="Microsoft YaHei"/>
        </w:rPr>
        <w:t>你们抬起约柜</w:t>
      </w:r>
      <w:r>
        <w:rPr>
          <w:rFonts w:ascii="Times New Roman" w:hAnsi="Times New Roman" w:eastAsia="Times New Roman" w:cs="Times New Roman"/>
        </w:rPr>
        <w:t>,</w:t>
      </w:r>
      <w:r>
        <w:rPr>
          <w:rFonts w:ascii="Microsoft YaHei" w:hAnsi="Microsoft YaHei" w:eastAsia="Microsoft YaHei" w:cs="Microsoft YaHei"/>
        </w:rPr>
        <w:t>让七个祭司拿着七个羊角走在耶和华的约柜前</w:t>
      </w:r>
      <w:r>
        <w:rPr>
          <w:rFonts w:ascii="Times New Roman" w:hAnsi="Times New Roman" w:eastAsia="Times New Roman" w:cs="Times New Roman"/>
        </w:rPr>
        <w:t>.”</w:t>
      </w:r>
      <w:r>
        <w:rPr>
          <w:rFonts w:ascii="Microsoft YaHei" w:hAnsi="Microsoft YaHei" w:eastAsia="Microsoft YaHei" w:cs="Microsoft YaHei"/>
        </w:rPr>
        <w:t>又对百姓说：</w:t>
      </w:r>
      <w:r>
        <w:rPr>
          <w:rFonts w:ascii="Times New Roman" w:hAnsi="Times New Roman" w:eastAsia="Times New Roman" w:cs="Times New Roman"/>
        </w:rPr>
        <w:t>“</w:t>
      </w:r>
      <w:r>
        <w:rPr>
          <w:rFonts w:ascii="Microsoft YaHei" w:hAnsi="Microsoft YaHei" w:eastAsia="Microsoft YaHei" w:cs="Microsoft YaHei"/>
        </w:rPr>
        <w:t>你们前去绕城</w:t>
      </w:r>
      <w:r>
        <w:rPr>
          <w:rFonts w:ascii="Times New Roman" w:hAnsi="Times New Roman" w:eastAsia="Times New Roman" w:cs="Times New Roman"/>
        </w:rPr>
        <w:t>,</w:t>
      </w:r>
      <w:r>
        <w:rPr>
          <w:rFonts w:ascii="Microsoft YaHei" w:hAnsi="Microsoft YaHei" w:eastAsia="Microsoft YaHei" w:cs="Microsoft YaHei"/>
        </w:rPr>
        <w:t>带兵器的人要走在耶和华约柜的前面</w:t>
      </w:r>
      <w:r>
        <w:rPr>
          <w:rFonts w:ascii="Times New Roman" w:hAnsi="Times New Roman" w:eastAsia="Times New Roman" w:cs="Times New Roman"/>
        </w:rPr>
        <w:t>.”</w:t>
      </w:r>
      <w:r>
        <w:rPr>
          <w:rFonts w:ascii="Microsoft YaHei" w:hAnsi="Microsoft YaHei" w:eastAsia="Microsoft YaHei" w:cs="Microsoft YaHei"/>
        </w:rPr>
        <w:t>约书亚对百姓说完了话</w:t>
      </w:r>
      <w:r>
        <w:rPr>
          <w:rFonts w:ascii="Times New Roman" w:hAnsi="Times New Roman" w:eastAsia="Times New Roman" w:cs="Times New Roman"/>
        </w:rPr>
        <w:t>,</w:t>
      </w:r>
      <w:r>
        <w:rPr>
          <w:rFonts w:ascii="Microsoft YaHei" w:hAnsi="Microsoft YaHei" w:eastAsia="Microsoft YaHei" w:cs="Microsoft YaHei"/>
        </w:rPr>
        <w:t>七个拿着七个羊角的祭司就走在耶和华面前吹角</w:t>
      </w:r>
      <w:r>
        <w:rPr>
          <w:rFonts w:ascii="Times New Roman" w:hAnsi="Times New Roman" w:eastAsia="Times New Roman" w:cs="Times New Roman"/>
        </w:rPr>
        <w:t>;</w:t>
      </w:r>
      <w:r>
        <w:rPr>
          <w:rFonts w:ascii="Microsoft YaHei" w:hAnsi="Microsoft YaHei" w:eastAsia="Microsoft YaHei" w:cs="Microsoft YaHei"/>
        </w:rPr>
        <w:t>耶和华的约柜跟随着他们</w:t>
      </w:r>
      <w:r>
        <w:rPr>
          <w:rFonts w:ascii="Times New Roman" w:hAnsi="Times New Roman" w:eastAsia="Times New Roman" w:cs="Times New Roman"/>
        </w:rPr>
        <w:t>.</w:t>
      </w:r>
      <w:r>
        <w:rPr>
          <w:rFonts w:ascii="Microsoft YaHei" w:hAnsi="Microsoft YaHei" w:eastAsia="Microsoft YaHei" w:cs="Microsoft YaHei"/>
        </w:rPr>
        <w:t>带兵器的人走在吹角的祭司前面</w:t>
      </w:r>
      <w:r>
        <w:rPr>
          <w:rFonts w:ascii="Times New Roman" w:hAnsi="Times New Roman" w:eastAsia="Times New Roman" w:cs="Times New Roman"/>
        </w:rPr>
        <w:t>,</w:t>
      </w:r>
      <w:r>
        <w:rPr>
          <w:rFonts w:ascii="Microsoft YaHei" w:hAnsi="Microsoft YaHei" w:eastAsia="Microsoft YaHei" w:cs="Microsoft YaHei"/>
        </w:rPr>
        <w:t>后队随着约柜</w:t>
      </w:r>
      <w:r>
        <w:rPr>
          <w:rFonts w:ascii="Times New Roman" w:hAnsi="Times New Roman" w:eastAsia="Times New Roman" w:cs="Times New Roman"/>
        </w:rPr>
        <w:t>;</w:t>
      </w:r>
      <w:r>
        <w:rPr>
          <w:rFonts w:ascii="Microsoft YaHei" w:hAnsi="Microsoft YaHei" w:eastAsia="Microsoft YaHei" w:cs="Microsoft YaHei"/>
        </w:rPr>
        <w:t>祭司一面行走</w:t>
      </w:r>
      <w:r>
        <w:rPr>
          <w:rFonts w:ascii="Times New Roman" w:hAnsi="Times New Roman" w:eastAsia="Times New Roman" w:cs="Times New Roman"/>
        </w:rPr>
        <w:t>,</w:t>
      </w:r>
      <w:r>
        <w:rPr>
          <w:rFonts w:ascii="Microsoft YaHei" w:hAnsi="Microsoft YaHei" w:eastAsia="Microsoft YaHei" w:cs="Microsoft YaHei"/>
        </w:rPr>
        <w:t>一面吹角</w:t>
      </w:r>
      <w:r>
        <w:rPr>
          <w:rFonts w:ascii="Times New Roman" w:hAnsi="Times New Roman" w:eastAsia="Times New Roman" w:cs="Times New Roman"/>
        </w:rPr>
        <w:t>.</w:t>
      </w:r>
      <w:r>
        <w:rPr>
          <w:rFonts w:ascii="Microsoft YaHei" w:hAnsi="Microsoft YaHei" w:eastAsia="Microsoft YaHei" w:cs="Microsoft YaHei"/>
        </w:rPr>
        <w:t>约书亚曾吩咐百姓说：</w:t>
      </w:r>
      <w:r>
        <w:rPr>
          <w:rFonts w:ascii="Times New Roman" w:hAnsi="Times New Roman" w:eastAsia="Times New Roman" w:cs="Times New Roman"/>
        </w:rPr>
        <w:t>“</w:t>
      </w:r>
      <w:r>
        <w:rPr>
          <w:rFonts w:ascii="Microsoft YaHei" w:hAnsi="Microsoft YaHei" w:eastAsia="Microsoft YaHei" w:cs="Microsoft YaHei"/>
        </w:rPr>
        <w:t>你们不可呼喊</w:t>
      </w:r>
      <w:r>
        <w:rPr>
          <w:rFonts w:ascii="Times New Roman" w:hAnsi="Times New Roman" w:eastAsia="Times New Roman" w:cs="Times New Roman"/>
        </w:rPr>
        <w:t>,</w:t>
      </w:r>
      <w:r>
        <w:rPr>
          <w:rFonts w:ascii="Microsoft YaHei" w:hAnsi="Microsoft YaHei" w:eastAsia="Microsoft YaHei" w:cs="Microsoft YaHei"/>
        </w:rPr>
        <w:t>不可使你们的声音发出来</w:t>
      </w:r>
      <w:r>
        <w:rPr>
          <w:rFonts w:ascii="Times New Roman" w:hAnsi="Times New Roman" w:eastAsia="Times New Roman" w:cs="Times New Roman"/>
        </w:rPr>
        <w:t>,</w:t>
      </w:r>
      <w:r>
        <w:rPr>
          <w:rFonts w:ascii="Microsoft YaHei" w:hAnsi="Microsoft YaHei" w:eastAsia="Microsoft YaHei" w:cs="Microsoft YaHei"/>
        </w:rPr>
        <w:t>连一句话也不可出你们的口</w:t>
      </w:r>
      <w:r>
        <w:rPr>
          <w:rFonts w:ascii="Times New Roman" w:hAnsi="Times New Roman" w:eastAsia="Times New Roman" w:cs="Times New Roman"/>
        </w:rPr>
        <w:t>,</w:t>
      </w:r>
      <w:r>
        <w:rPr>
          <w:rFonts w:ascii="Microsoft YaHei" w:hAnsi="Microsoft YaHei" w:eastAsia="Microsoft YaHei" w:cs="Microsoft YaHei"/>
        </w:rPr>
        <w:t>等到我吩咐你们呼喊的那日</w:t>
      </w:r>
      <w:r>
        <w:rPr>
          <w:rFonts w:ascii="Times New Roman" w:hAnsi="Times New Roman" w:eastAsia="Times New Roman" w:cs="Times New Roman"/>
        </w:rPr>
        <w:t>,</w:t>
      </w:r>
      <w:r>
        <w:rPr>
          <w:rFonts w:ascii="Microsoft YaHei" w:hAnsi="Microsoft YaHei" w:eastAsia="Microsoft YaHei" w:cs="Microsoft YaHei"/>
        </w:rPr>
        <w:t>你们才可以呼喊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Alors l’arche de l’Éternel fit le tour de la ville, en en faisant une fois le circuit; puis ils rentrèrent au camp et passèrent la nuit dans le camp. Et Josué se leva de bon matin, et les sacrificateurs portèrent l’arche de l’Éternel. Et sept sacrificateurs, portant sept trompettes de cornes de bélier devant l’arche de l’Éternel, avançaient continuellement et sonnaient des trompettes; les hommes armés marchaient devant eux; mais l’arrière-garde suivait l’arche de l’Éternel, tandis que les sacrificateurs avançaient en sonnant des trompettes. Le second jour, ils firent une fois le tour de la ville et retournèrent au camp: ainsi firent-ils pendant six jours. Le septième jour, ils se levèrent de bon matin, à l’aube du jour, et firent, de la même manière, sept fois le tour de la ville; ce fut seulement ce jour-là qu’ils firent sept fois le tour de la ville. Et à la septième fois, comme les sacrificateurs sonnaient des trompettes, Josué dit au peuple: Poussez des cris, car l’Éternel vous a donné la ville.</w:t>
      </w:r>
    </w:p>
    <w:p>
      <w:pPr>
        <w:pStyle w:val="ArticleScripture"/>
        <w:jc w:val="left"/>
      </w:pPr>
      <w:r>
        <w:rPr>
          <w:rFonts w:ascii="Times New Roman" w:hAnsi="Times New Roman" w:eastAsia="Times New Roman" w:cs="Times New Roman"/>
        </w:rPr>
        <w:t>Le la lha thuam a ni ang, amah leh a chhunga awm zawng zawngte pawh, Lalpa hnenah: Rahab, nula sualnu chu amah leh a in chhunga a hnena awm zawng zawngte chauh an nung ang; kan thlah thuchah puangte a thup avangin. Nangni erawh chu, thuam thilah chuan inmahni inveng rawh u, chuti lo chuan thuam thil chu in lak chuan inmahni ngei thuam in ni ang a, Israela riahbuk chu thuam in siam ang a, buaina in thlen ang. Nimahsela, tangka zawng zawng leh rangka leh dar leh thir bungruate chu Lalpa hnena hlan thianghlim an ni; chu te chu Lalpa rokhawma lut tur an ni. Tichuan puithiamte an beramtawt an tum laiin mipuite chu an au va; mipuite chuan beramtawt ri an hriat hunah, mipuite chu au nasa takin an au a, kulh chu a tlap sup sup mai a; chutiang chuan mipuite chu khawpui chhungah an kai lut a, mi tin chu amah hmaa awm ang zelin an lut a, khawpui chu an lak ta.</w:t>
      </w:r>
    </w:p>
    <w:p>
      <w:pPr>
        <w:pStyle w:val="ArticleScripture"/>
        <w:jc w:val="left"/>
      </w:pPr>
      <w:r>
        <w:rPr>
          <w:rFonts w:ascii="Times New Roman" w:hAnsi="Times New Roman" w:eastAsia="Times New Roman" w:cs="Times New Roman"/>
        </w:rPr>
        <w:t>И всички, които бяха в града, предадоха на пълно изтребление с острието на меча: и мъж и жена, и млад и стар, и вол, и овца, и осел. А Иисус беше казал на двамата мъже, които бяха съгледали земята: Влезте в къщата на блудницата и изведете оттам жената и всичко, което има, както ѝ се заклехте. И младите мъже, които бяха съгледвачи, влязоха и изведоха Раав, и баща ѝ, и майка ѝ, и братята ѝ, и всичко, което имаше; изведоха и всичките ѝ сродници и ги оставиха вън от стана Израилев. А града изгориха с огън, и всичко, което беше в него; само среброто и златото, и съдовете от мед и желязо сложиха в съкровищницата на дома Господен. И Иисус остави жива блудницата Раав, и дома на баща ѝ, и всичко, което имаше; и тя живее в Израил и до днес, защото скри пратениците, които Иисус беше изпратил да съгледат Иерихон. И в онова време Иисус ги закле, казвайки: Проклет да бъде пред Господа човекът, който стане и съгради този град Иерихон: върху първородния си ще положи основите му и върху най-младия си син ще постави портите му. И Господ беше с Иисус; и славата му се разнесе по цялата земя. Иисус Навин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soixante-huit</dc:title>
  <dc:subject>Dévoilement de la vérité prophétique : la seconde bataille des guerres par procuration et le scellement des 144 000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